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0A0A1">
      <w:pPr>
        <w:spacing w:line="400" w:lineRule="exact"/>
        <w:ind w:firstLine="422" w:firstLineChars="200"/>
        <w:rPr>
          <w:rFonts w:ascii="Times New Roman" w:hAnsi="Times New Roman" w:eastAsia="楷体" w:cs="Times New Roman"/>
          <w:b/>
          <w:color w:val="auto"/>
          <w:szCs w:val="21"/>
        </w:rPr>
      </w:pPr>
      <w:bookmarkStart w:id="0" w:name="_Toc224122153"/>
    </w:p>
    <w:p w14:paraId="6F665554">
      <w:pPr>
        <w:spacing w:line="400" w:lineRule="exact"/>
        <w:ind w:firstLine="422" w:firstLineChars="200"/>
        <w:rPr>
          <w:rFonts w:ascii="Times New Roman" w:hAnsi="Times New Roman" w:eastAsia="楷体" w:cs="Times New Roman"/>
          <w:b/>
          <w:color w:val="auto"/>
          <w:szCs w:val="21"/>
        </w:rPr>
      </w:pPr>
    </w:p>
    <w:bookmarkEnd w:id="0"/>
    <w:p w14:paraId="349BC0C5">
      <w:pPr>
        <w:tabs>
          <w:tab w:val="center" w:pos="4394"/>
          <w:tab w:val="right" w:pos="8788"/>
        </w:tabs>
        <w:spacing w:line="400" w:lineRule="exact"/>
        <w:ind w:firstLine="723" w:firstLineChars="200"/>
        <w:jc w:val="left"/>
        <w:rPr>
          <w:rFonts w:ascii="Times New Roman" w:hAnsi="Times New Roman" w:eastAsia="楷体" w:cs="Times New Roman"/>
          <w:b/>
          <w:color w:val="auto"/>
          <w:sz w:val="36"/>
          <w:szCs w:val="36"/>
        </w:rPr>
      </w:pPr>
      <w:r>
        <w:rPr>
          <w:rFonts w:ascii="Times New Roman" w:hAnsi="Times New Roman" w:eastAsia="楷体" w:cs="Times New Roman"/>
          <w:b/>
          <w:color w:val="auto"/>
          <w:sz w:val="36"/>
          <w:szCs w:val="36"/>
        </w:rPr>
        <w:tab/>
      </w:r>
    </w:p>
    <w:p w14:paraId="379E88B8">
      <w:pPr>
        <w:tabs>
          <w:tab w:val="center" w:pos="4394"/>
          <w:tab w:val="right" w:pos="8788"/>
        </w:tabs>
        <w:spacing w:line="800" w:lineRule="exact"/>
        <w:jc w:val="center"/>
        <w:rPr>
          <w:rFonts w:hint="eastAsia" w:ascii="Times New Roman" w:hAnsi="Times New Roman" w:eastAsia="楷体" w:cs="Times New Roman"/>
          <w:b/>
          <w:color w:val="auto"/>
          <w:sz w:val="36"/>
          <w:szCs w:val="36"/>
          <w:lang w:eastAsia="zh-CN"/>
        </w:rPr>
      </w:pPr>
      <w:r>
        <w:rPr>
          <w:rFonts w:hint="eastAsia" w:ascii="Times New Roman" w:hAnsi="Times New Roman" w:eastAsia="楷体" w:cs="Times New Roman"/>
          <w:b/>
          <w:color w:val="auto"/>
          <w:sz w:val="56"/>
          <w:szCs w:val="56"/>
          <w:lang w:eastAsia="zh-CN"/>
        </w:rPr>
        <w:t>河北协鑫新能源有限公司</w:t>
      </w:r>
    </w:p>
    <w:p w14:paraId="31A5164D">
      <w:pPr>
        <w:tabs>
          <w:tab w:val="center" w:pos="4394"/>
          <w:tab w:val="right" w:pos="8788"/>
        </w:tabs>
        <w:spacing w:line="800" w:lineRule="exact"/>
        <w:jc w:val="center"/>
        <w:rPr>
          <w:rFonts w:ascii="方正小标宋简体" w:hAnsi="楷体" w:eastAsia="方正小标宋简体" w:cs="Times New Roman"/>
          <w:color w:val="auto"/>
          <w:sz w:val="44"/>
          <w:szCs w:val="44"/>
        </w:rPr>
      </w:pPr>
    </w:p>
    <w:p w14:paraId="7B059D16">
      <w:pPr>
        <w:adjustRightInd w:val="0"/>
        <w:snapToGrid w:val="0"/>
        <w:spacing w:line="800" w:lineRule="exact"/>
        <w:jc w:val="center"/>
        <w:rPr>
          <w:rFonts w:hint="eastAsia" w:ascii="方正小标宋简体" w:hAnsi="楷体" w:eastAsia="方正小标宋简体" w:cs="Times New Roman"/>
          <w:color w:val="auto"/>
          <w:sz w:val="48"/>
          <w:szCs w:val="48"/>
          <w:lang w:eastAsia="zh-CN"/>
        </w:rPr>
      </w:pPr>
      <w:r>
        <w:rPr>
          <w:rFonts w:hint="eastAsia" w:ascii="方正小标宋简体" w:hAnsi="楷体" w:eastAsia="方正小标宋简体" w:cs="Times New Roman"/>
          <w:color w:val="auto"/>
          <w:sz w:val="48"/>
          <w:szCs w:val="48"/>
          <w:lang w:eastAsia="zh-CN"/>
        </w:rPr>
        <w:t>所辖项目电站35kV变压器检测及维修</w:t>
      </w:r>
    </w:p>
    <w:p w14:paraId="7027E230">
      <w:pPr>
        <w:adjustRightInd w:val="0"/>
        <w:snapToGrid w:val="0"/>
        <w:spacing w:line="800" w:lineRule="exact"/>
        <w:jc w:val="center"/>
        <w:rPr>
          <w:rFonts w:ascii="Times New Roman" w:hAnsi="Times New Roman" w:eastAsia="楷体" w:cs="Times New Roman"/>
          <w:b/>
          <w:color w:val="auto"/>
          <w:sz w:val="22"/>
          <w:szCs w:val="22"/>
        </w:rPr>
      </w:pPr>
      <w:r>
        <w:rPr>
          <w:rFonts w:hint="eastAsia" w:ascii="方正小标宋简体" w:hAnsi="楷体" w:eastAsia="方正小标宋简体" w:cs="Times New Roman"/>
          <w:color w:val="auto"/>
          <w:sz w:val="48"/>
          <w:szCs w:val="48"/>
          <w:lang w:eastAsia="zh-CN"/>
        </w:rPr>
        <w:t>框架采购</w:t>
      </w:r>
    </w:p>
    <w:p w14:paraId="3FA2010E">
      <w:pPr>
        <w:adjustRightInd w:val="0"/>
        <w:snapToGrid w:val="0"/>
        <w:spacing w:line="900" w:lineRule="exact"/>
        <w:jc w:val="center"/>
        <w:rPr>
          <w:rFonts w:ascii="Times New Roman" w:hAnsi="Times New Roman" w:eastAsia="楷体" w:cs="Times New Roman"/>
          <w:b/>
          <w:color w:val="auto"/>
          <w:spacing w:val="20"/>
          <w:sz w:val="84"/>
          <w:szCs w:val="84"/>
        </w:rPr>
      </w:pPr>
      <w:r>
        <w:rPr>
          <w:rFonts w:ascii="Times New Roman" w:hAnsi="Times New Roman" w:eastAsia="楷体" w:cs="Times New Roman"/>
          <w:b/>
          <w:color w:val="auto"/>
          <w:spacing w:val="20"/>
          <w:sz w:val="84"/>
          <w:szCs w:val="84"/>
        </w:rPr>
        <w:t>竞争性谈判文件</w:t>
      </w:r>
    </w:p>
    <w:p w14:paraId="499E16B4">
      <w:pPr>
        <w:adjustRightInd w:val="0"/>
        <w:snapToGrid w:val="0"/>
        <w:spacing w:line="800" w:lineRule="exact"/>
        <w:jc w:val="center"/>
        <w:rPr>
          <w:rFonts w:ascii="Times New Roman" w:hAnsi="Times New Roman" w:eastAsia="楷体" w:cs="Times New Roman"/>
          <w:color w:val="auto"/>
          <w:sz w:val="32"/>
          <w:szCs w:val="32"/>
        </w:rPr>
      </w:pPr>
      <w:r>
        <w:rPr>
          <w:rFonts w:ascii="Times New Roman" w:hAnsi="Times New Roman" w:eastAsia="楷体" w:cs="Times New Roman"/>
          <w:b/>
          <w:color w:val="auto"/>
          <w:sz w:val="32"/>
          <w:szCs w:val="32"/>
        </w:rPr>
        <w:t xml:space="preserve">项目编号：  </w:t>
      </w:r>
    </w:p>
    <w:p w14:paraId="5F15272B">
      <w:pPr>
        <w:adjustRightInd w:val="0"/>
        <w:snapToGrid w:val="0"/>
        <w:spacing w:line="400" w:lineRule="exact"/>
        <w:jc w:val="center"/>
        <w:rPr>
          <w:rFonts w:ascii="Times New Roman" w:hAnsi="Times New Roman" w:eastAsia="楷体" w:cs="Times New Roman"/>
          <w:color w:val="auto"/>
          <w:szCs w:val="21"/>
        </w:rPr>
      </w:pPr>
    </w:p>
    <w:p w14:paraId="0646D57B">
      <w:pPr>
        <w:adjustRightInd w:val="0"/>
        <w:snapToGrid w:val="0"/>
        <w:spacing w:line="400" w:lineRule="exact"/>
        <w:jc w:val="center"/>
        <w:rPr>
          <w:rFonts w:ascii="Times New Roman" w:hAnsi="Times New Roman" w:eastAsia="楷体" w:cs="Times New Roman"/>
          <w:color w:val="auto"/>
          <w:szCs w:val="21"/>
        </w:rPr>
      </w:pPr>
    </w:p>
    <w:p w14:paraId="21B27FED">
      <w:pPr>
        <w:adjustRightInd w:val="0"/>
        <w:snapToGrid w:val="0"/>
        <w:spacing w:line="400" w:lineRule="exact"/>
        <w:jc w:val="center"/>
        <w:rPr>
          <w:rFonts w:ascii="Times New Roman" w:hAnsi="Times New Roman" w:eastAsia="楷体" w:cs="Times New Roman"/>
          <w:color w:val="auto"/>
          <w:szCs w:val="21"/>
        </w:rPr>
      </w:pPr>
    </w:p>
    <w:p w14:paraId="21912460">
      <w:pPr>
        <w:adjustRightInd w:val="0"/>
        <w:snapToGrid w:val="0"/>
        <w:spacing w:line="400" w:lineRule="exact"/>
        <w:jc w:val="center"/>
        <w:rPr>
          <w:rFonts w:ascii="Times New Roman" w:hAnsi="Times New Roman" w:eastAsia="楷体" w:cs="Times New Roman"/>
          <w:color w:val="auto"/>
          <w:szCs w:val="21"/>
        </w:rPr>
      </w:pPr>
    </w:p>
    <w:p w14:paraId="5659D98A">
      <w:pPr>
        <w:adjustRightInd w:val="0"/>
        <w:snapToGrid w:val="0"/>
        <w:spacing w:line="400" w:lineRule="exact"/>
        <w:jc w:val="center"/>
        <w:rPr>
          <w:rFonts w:ascii="Times New Roman" w:hAnsi="Times New Roman" w:eastAsia="楷体" w:cs="Times New Roman"/>
          <w:color w:val="auto"/>
          <w:szCs w:val="21"/>
        </w:rPr>
      </w:pPr>
    </w:p>
    <w:p w14:paraId="5167FA2C">
      <w:pPr>
        <w:adjustRightInd w:val="0"/>
        <w:snapToGrid w:val="0"/>
        <w:spacing w:line="400" w:lineRule="exact"/>
        <w:jc w:val="center"/>
        <w:rPr>
          <w:rFonts w:ascii="Times New Roman" w:hAnsi="Times New Roman" w:eastAsia="楷体" w:cs="Times New Roman"/>
          <w:color w:val="auto"/>
          <w:szCs w:val="21"/>
        </w:rPr>
      </w:pPr>
    </w:p>
    <w:p w14:paraId="168066EA">
      <w:pPr>
        <w:adjustRightInd w:val="0"/>
        <w:snapToGrid w:val="0"/>
        <w:spacing w:line="400" w:lineRule="exact"/>
        <w:jc w:val="center"/>
        <w:rPr>
          <w:rFonts w:ascii="Times New Roman" w:hAnsi="Times New Roman" w:eastAsia="楷体" w:cs="Times New Roman"/>
          <w:color w:val="auto"/>
          <w:szCs w:val="21"/>
        </w:rPr>
      </w:pPr>
    </w:p>
    <w:p w14:paraId="326248C5">
      <w:pPr>
        <w:adjustRightInd w:val="0"/>
        <w:snapToGrid w:val="0"/>
        <w:spacing w:line="400" w:lineRule="exact"/>
        <w:jc w:val="center"/>
        <w:rPr>
          <w:rFonts w:ascii="Times New Roman" w:hAnsi="Times New Roman" w:eastAsia="楷体" w:cs="Times New Roman"/>
          <w:color w:val="auto"/>
          <w:szCs w:val="21"/>
        </w:rPr>
      </w:pPr>
    </w:p>
    <w:p w14:paraId="04F4AC3A">
      <w:pPr>
        <w:adjustRightInd w:val="0"/>
        <w:snapToGrid w:val="0"/>
        <w:spacing w:line="400" w:lineRule="exact"/>
        <w:jc w:val="center"/>
        <w:rPr>
          <w:rFonts w:ascii="Times New Roman" w:hAnsi="Times New Roman" w:eastAsia="楷体" w:cs="Times New Roman"/>
          <w:color w:val="auto"/>
          <w:szCs w:val="21"/>
        </w:rPr>
      </w:pPr>
    </w:p>
    <w:p w14:paraId="5AF84C24">
      <w:pPr>
        <w:adjustRightInd w:val="0"/>
        <w:snapToGrid w:val="0"/>
        <w:spacing w:line="360" w:lineRule="auto"/>
        <w:jc w:val="center"/>
        <w:rPr>
          <w:rFonts w:hint="eastAsia" w:ascii="Times New Roman" w:hAnsi="Times New Roman" w:eastAsia="楷体" w:cs="Times New Roman"/>
          <w:b/>
          <w:color w:val="auto"/>
          <w:sz w:val="32"/>
          <w:szCs w:val="32"/>
          <w:lang w:eastAsia="zh-CN"/>
        </w:rPr>
      </w:pPr>
      <w:r>
        <w:rPr>
          <w:rFonts w:ascii="Times New Roman" w:hAnsi="Times New Roman" w:eastAsia="楷体" w:cs="Times New Roman"/>
          <w:b/>
          <w:color w:val="auto"/>
          <w:sz w:val="32"/>
          <w:szCs w:val="32"/>
        </w:rPr>
        <w:t>采购人：</w:t>
      </w:r>
      <w:r>
        <w:rPr>
          <w:rFonts w:hint="eastAsia" w:ascii="Times New Roman" w:hAnsi="Times New Roman" w:eastAsia="楷体" w:cs="Times New Roman"/>
          <w:b/>
          <w:color w:val="auto"/>
          <w:sz w:val="32"/>
          <w:szCs w:val="32"/>
          <w:lang w:eastAsia="zh-CN"/>
        </w:rPr>
        <w:t>河北协鑫新能源有限公司</w:t>
      </w:r>
    </w:p>
    <w:p w14:paraId="31F23E72">
      <w:pPr>
        <w:adjustRightInd w:val="0"/>
        <w:snapToGrid w:val="0"/>
        <w:spacing w:line="360" w:lineRule="auto"/>
        <w:jc w:val="center"/>
        <w:rPr>
          <w:rFonts w:ascii="Times New Roman" w:hAnsi="Times New Roman" w:eastAsia="楷体" w:cs="Times New Roman"/>
          <w:b/>
          <w:color w:val="0000FF"/>
          <w:sz w:val="32"/>
          <w:szCs w:val="32"/>
        </w:rPr>
      </w:pPr>
      <w:r>
        <w:rPr>
          <w:rFonts w:ascii="Times New Roman" w:hAnsi="Times New Roman" w:eastAsia="楷体" w:cs="Times New Roman"/>
          <w:b/>
          <w:color w:val="auto"/>
          <w:sz w:val="32"/>
          <w:szCs w:val="32"/>
        </w:rPr>
        <w:t>二〇二</w:t>
      </w:r>
      <w:r>
        <w:rPr>
          <w:rFonts w:hint="eastAsia" w:ascii="Times New Roman" w:hAnsi="Times New Roman" w:eastAsia="楷体" w:cs="Times New Roman"/>
          <w:b/>
          <w:color w:val="auto"/>
          <w:sz w:val="32"/>
          <w:szCs w:val="32"/>
          <w:lang w:val="en-US" w:eastAsia="zh-CN"/>
        </w:rPr>
        <w:t>四</w:t>
      </w:r>
      <w:r>
        <w:rPr>
          <w:rFonts w:ascii="Times New Roman" w:hAnsi="Times New Roman" w:eastAsia="楷体" w:cs="Times New Roman"/>
          <w:b/>
          <w:color w:val="auto"/>
          <w:sz w:val="32"/>
          <w:szCs w:val="32"/>
        </w:rPr>
        <w:t>年</w:t>
      </w:r>
      <w:r>
        <w:rPr>
          <w:rFonts w:hint="eastAsia" w:ascii="Times New Roman" w:hAnsi="Times New Roman" w:eastAsia="楷体" w:cs="Times New Roman"/>
          <w:b/>
          <w:color w:val="auto"/>
          <w:sz w:val="32"/>
          <w:szCs w:val="32"/>
          <w:lang w:val="en-US" w:eastAsia="zh-CN"/>
        </w:rPr>
        <w:t>九</w:t>
      </w:r>
      <w:r>
        <w:rPr>
          <w:rFonts w:ascii="Times New Roman" w:hAnsi="Times New Roman" w:eastAsia="楷体" w:cs="Times New Roman"/>
          <w:b/>
          <w:color w:val="auto"/>
          <w:sz w:val="32"/>
          <w:szCs w:val="32"/>
        </w:rPr>
        <w:t>月</w:t>
      </w:r>
    </w:p>
    <w:p w14:paraId="66257F57">
      <w:pPr>
        <w:adjustRightInd w:val="0"/>
        <w:snapToGrid w:val="0"/>
        <w:spacing w:line="360" w:lineRule="auto"/>
        <w:ind w:firstLine="643" w:firstLineChars="200"/>
        <w:jc w:val="center"/>
        <w:rPr>
          <w:rFonts w:ascii="Times New Roman" w:hAnsi="Times New Roman" w:eastAsia="楷体" w:cs="Times New Roman"/>
          <w:b/>
          <w:color w:val="0000FF"/>
          <w:kern w:val="0"/>
          <w:sz w:val="32"/>
          <w:szCs w:val="32"/>
        </w:rPr>
      </w:pPr>
      <w:r>
        <w:rPr>
          <w:rFonts w:ascii="Times New Roman" w:hAnsi="Times New Roman" w:eastAsia="楷体" w:cs="Times New Roman"/>
          <w:b/>
          <w:color w:val="0000FF"/>
          <w:sz w:val="32"/>
          <w:szCs w:val="32"/>
        </w:rPr>
        <w:br w:type="page"/>
      </w:r>
      <w:bookmarkStart w:id="1" w:name="_Toc12789052"/>
      <w:bookmarkStart w:id="2" w:name="_Toc11641050"/>
      <w:bookmarkStart w:id="3" w:name="_Toc7667"/>
    </w:p>
    <w:sdt>
      <w:sdtPr>
        <w:rPr>
          <w:rFonts w:asciiTheme="minorHAnsi" w:hAnsiTheme="minorHAnsi" w:eastAsiaTheme="minorEastAsia" w:cstheme="minorBidi"/>
          <w:color w:val="auto"/>
          <w:kern w:val="2"/>
          <w:sz w:val="21"/>
          <w:szCs w:val="22"/>
          <w:lang w:val="zh-CN"/>
        </w:rPr>
        <w:id w:val="-349951641"/>
        <w:docPartObj>
          <w:docPartGallery w:val="Table of Contents"/>
          <w:docPartUnique/>
        </w:docPartObj>
      </w:sdtPr>
      <w:sdtEndPr>
        <w:rPr>
          <w:rFonts w:ascii="Times New Roman" w:hAnsi="Times New Roman" w:eastAsia="楷体" w:cs="Times New Roman"/>
          <w:color w:val="0000FF"/>
          <w:kern w:val="0"/>
          <w:sz w:val="30"/>
          <w:szCs w:val="24"/>
          <w:lang w:val="zh-CN"/>
        </w:rPr>
      </w:sdtEndPr>
      <w:sdtContent>
        <w:p w14:paraId="258EA4DF">
          <w:pPr>
            <w:pStyle w:val="329"/>
            <w:jc w:val="center"/>
            <w:rPr>
              <w:color w:val="auto"/>
            </w:rPr>
          </w:pPr>
          <w:r>
            <w:rPr>
              <w:color w:val="auto"/>
              <w:lang w:val="zh-CN"/>
            </w:rPr>
            <w:t>目录</w:t>
          </w:r>
        </w:p>
        <w:p w14:paraId="6A2EC567">
          <w:pPr>
            <w:pStyle w:val="56"/>
            <w:tabs>
              <w:tab w:val="right" w:leader="dot" w:pos="8788"/>
            </w:tabs>
            <w:rPr>
              <w:color w:val="0000FF"/>
            </w:rPr>
          </w:pPr>
          <w:r>
            <w:rPr>
              <w:color w:val="0000FF"/>
            </w:rPr>
            <w:fldChar w:fldCharType="begin"/>
          </w:r>
          <w:r>
            <w:rPr>
              <w:color w:val="0000FF"/>
            </w:rPr>
            <w:instrText xml:space="preserve"> TOC \o "1-3" \h \z \u </w:instrText>
          </w:r>
          <w:r>
            <w:rPr>
              <w:color w:val="0000FF"/>
            </w:rPr>
            <w:fldChar w:fldCharType="separate"/>
          </w:r>
          <w:r>
            <w:rPr>
              <w:color w:val="0000FF"/>
            </w:rPr>
            <w:fldChar w:fldCharType="begin"/>
          </w:r>
          <w:r>
            <w:rPr>
              <w:color w:val="0000FF"/>
            </w:rPr>
            <w:instrText xml:space="preserve"> HYPERLINK \l "_Toc26083" </w:instrText>
          </w:r>
          <w:r>
            <w:rPr>
              <w:color w:val="0000FF"/>
            </w:rPr>
            <w:fldChar w:fldCharType="separate"/>
          </w:r>
          <w:r>
            <w:rPr>
              <w:rFonts w:eastAsia="楷体"/>
              <w:color w:val="0000FF"/>
              <w:kern w:val="0"/>
              <w:szCs w:val="32"/>
            </w:rPr>
            <w:t>第一章  竞争性谈判</w:t>
          </w:r>
          <w:r>
            <w:rPr>
              <w:rFonts w:hint="eastAsia" w:eastAsia="楷体"/>
              <w:color w:val="0000FF"/>
              <w:kern w:val="0"/>
              <w:szCs w:val="32"/>
              <w:lang w:val="en-US" w:eastAsia="zh-CN"/>
            </w:rPr>
            <w:t>公告</w:t>
          </w:r>
          <w:r>
            <w:rPr>
              <w:color w:val="0000FF"/>
            </w:rPr>
            <w:tab/>
          </w:r>
          <w:r>
            <w:rPr>
              <w:color w:val="0000FF"/>
            </w:rPr>
            <w:fldChar w:fldCharType="begin"/>
          </w:r>
          <w:r>
            <w:rPr>
              <w:color w:val="0000FF"/>
            </w:rPr>
            <w:instrText xml:space="preserve"> PAGEREF _Toc26083 \h </w:instrText>
          </w:r>
          <w:r>
            <w:rPr>
              <w:color w:val="0000FF"/>
            </w:rPr>
            <w:fldChar w:fldCharType="separate"/>
          </w:r>
          <w:r>
            <w:rPr>
              <w:color w:val="0000FF"/>
            </w:rPr>
            <w:t>4</w:t>
          </w:r>
          <w:r>
            <w:rPr>
              <w:color w:val="0000FF"/>
            </w:rPr>
            <w:fldChar w:fldCharType="end"/>
          </w:r>
          <w:r>
            <w:rPr>
              <w:color w:val="0000FF"/>
            </w:rPr>
            <w:fldChar w:fldCharType="end"/>
          </w:r>
        </w:p>
        <w:p w14:paraId="4B34B520">
          <w:pPr>
            <w:pStyle w:val="70"/>
            <w:tabs>
              <w:tab w:val="right" w:leader="dot" w:pos="8788"/>
              <w:tab w:val="clear" w:pos="9061"/>
            </w:tabs>
            <w:rPr>
              <w:color w:val="0000FF"/>
            </w:rPr>
          </w:pPr>
          <w:r>
            <w:rPr>
              <w:color w:val="0000FF"/>
            </w:rPr>
            <w:fldChar w:fldCharType="begin"/>
          </w:r>
          <w:r>
            <w:rPr>
              <w:color w:val="0000FF"/>
            </w:rPr>
            <w:instrText xml:space="preserve"> HYPERLINK \l "_Toc31729" </w:instrText>
          </w:r>
          <w:r>
            <w:rPr>
              <w:color w:val="0000FF"/>
            </w:rPr>
            <w:fldChar w:fldCharType="separate"/>
          </w:r>
          <w:r>
            <w:rPr>
              <w:rFonts w:eastAsia="楷体"/>
              <w:bCs/>
              <w:color w:val="0000FF"/>
              <w:szCs w:val="24"/>
            </w:rPr>
            <w:t>一、项目概况</w:t>
          </w:r>
          <w:r>
            <w:rPr>
              <w:color w:val="0000FF"/>
            </w:rPr>
            <w:tab/>
          </w:r>
          <w:r>
            <w:rPr>
              <w:color w:val="0000FF"/>
            </w:rPr>
            <w:fldChar w:fldCharType="begin"/>
          </w:r>
          <w:r>
            <w:rPr>
              <w:color w:val="0000FF"/>
            </w:rPr>
            <w:instrText xml:space="preserve"> PAGEREF _Toc31729 \h </w:instrText>
          </w:r>
          <w:r>
            <w:rPr>
              <w:color w:val="0000FF"/>
            </w:rPr>
            <w:fldChar w:fldCharType="separate"/>
          </w:r>
          <w:r>
            <w:rPr>
              <w:color w:val="0000FF"/>
            </w:rPr>
            <w:t>4</w:t>
          </w:r>
          <w:r>
            <w:rPr>
              <w:color w:val="0000FF"/>
            </w:rPr>
            <w:fldChar w:fldCharType="end"/>
          </w:r>
          <w:r>
            <w:rPr>
              <w:color w:val="0000FF"/>
            </w:rPr>
            <w:fldChar w:fldCharType="end"/>
          </w:r>
        </w:p>
        <w:p w14:paraId="2A99A5B5">
          <w:pPr>
            <w:pStyle w:val="70"/>
            <w:tabs>
              <w:tab w:val="right" w:leader="dot" w:pos="8788"/>
              <w:tab w:val="clear" w:pos="9061"/>
            </w:tabs>
            <w:rPr>
              <w:color w:val="0000FF"/>
            </w:rPr>
          </w:pPr>
          <w:r>
            <w:rPr>
              <w:color w:val="0000FF"/>
            </w:rPr>
            <w:fldChar w:fldCharType="begin"/>
          </w:r>
          <w:r>
            <w:rPr>
              <w:color w:val="0000FF"/>
            </w:rPr>
            <w:instrText xml:space="preserve"> HYPERLINK \l "_Toc13942" </w:instrText>
          </w:r>
          <w:r>
            <w:rPr>
              <w:color w:val="0000FF"/>
            </w:rPr>
            <w:fldChar w:fldCharType="separate"/>
          </w:r>
          <w:r>
            <w:rPr>
              <w:rFonts w:hint="eastAsia" w:eastAsia="楷体"/>
              <w:bCs/>
              <w:color w:val="0000FF"/>
              <w:szCs w:val="24"/>
            </w:rPr>
            <w:t>二、</w:t>
          </w:r>
          <w:r>
            <w:rPr>
              <w:rFonts w:hint="eastAsia" w:eastAsia="楷体"/>
              <w:bCs/>
              <w:color w:val="0000FF"/>
              <w:szCs w:val="24"/>
              <w:lang w:val="en-US" w:eastAsia="zh-CN"/>
            </w:rPr>
            <w:t>选聘资质及服务要求</w:t>
          </w:r>
          <w:r>
            <w:rPr>
              <w:color w:val="0000FF"/>
            </w:rPr>
            <w:tab/>
          </w:r>
          <w:r>
            <w:rPr>
              <w:rFonts w:hint="eastAsia"/>
              <w:color w:val="0000FF"/>
              <w:lang w:val="en-US" w:eastAsia="zh-CN"/>
            </w:rPr>
            <w:t>6</w:t>
          </w:r>
          <w:r>
            <w:rPr>
              <w:color w:val="0000FF"/>
            </w:rPr>
            <w:fldChar w:fldCharType="end"/>
          </w:r>
        </w:p>
        <w:p w14:paraId="5F651550">
          <w:pPr>
            <w:pStyle w:val="70"/>
            <w:tabs>
              <w:tab w:val="right" w:leader="dot" w:pos="8788"/>
              <w:tab w:val="clear" w:pos="9061"/>
            </w:tabs>
            <w:rPr>
              <w:color w:val="0000FF"/>
            </w:rPr>
          </w:pPr>
          <w:r>
            <w:rPr>
              <w:color w:val="0000FF"/>
            </w:rPr>
            <w:fldChar w:fldCharType="begin"/>
          </w:r>
          <w:r>
            <w:rPr>
              <w:color w:val="0000FF"/>
            </w:rPr>
            <w:instrText xml:space="preserve"> HYPERLINK \l "_Toc27341" </w:instrText>
          </w:r>
          <w:r>
            <w:rPr>
              <w:color w:val="0000FF"/>
            </w:rPr>
            <w:fldChar w:fldCharType="separate"/>
          </w:r>
          <w:r>
            <w:rPr>
              <w:rFonts w:hint="eastAsia" w:eastAsia="楷体"/>
              <w:bCs/>
              <w:color w:val="0000FF"/>
              <w:szCs w:val="24"/>
            </w:rPr>
            <w:t>三、竞争性谈判文件的获取</w:t>
          </w:r>
          <w:r>
            <w:rPr>
              <w:color w:val="0000FF"/>
            </w:rPr>
            <w:tab/>
          </w:r>
          <w:r>
            <w:rPr>
              <w:rFonts w:hint="eastAsia"/>
              <w:color w:val="0000FF"/>
              <w:lang w:val="en-US" w:eastAsia="zh-CN"/>
            </w:rPr>
            <w:t>7</w:t>
          </w:r>
          <w:r>
            <w:rPr>
              <w:color w:val="0000FF"/>
            </w:rPr>
            <w:fldChar w:fldCharType="end"/>
          </w:r>
        </w:p>
        <w:p w14:paraId="7BC2C5A0">
          <w:pPr>
            <w:pStyle w:val="70"/>
            <w:tabs>
              <w:tab w:val="right" w:leader="dot" w:pos="8788"/>
              <w:tab w:val="clear" w:pos="9061"/>
            </w:tabs>
            <w:rPr>
              <w:color w:val="0000FF"/>
            </w:rPr>
          </w:pPr>
          <w:r>
            <w:rPr>
              <w:color w:val="0000FF"/>
            </w:rPr>
            <w:fldChar w:fldCharType="begin"/>
          </w:r>
          <w:r>
            <w:rPr>
              <w:color w:val="0000FF"/>
            </w:rPr>
            <w:instrText xml:space="preserve"> HYPERLINK \l "_Toc21572" </w:instrText>
          </w:r>
          <w:r>
            <w:rPr>
              <w:color w:val="0000FF"/>
            </w:rPr>
            <w:fldChar w:fldCharType="separate"/>
          </w:r>
          <w:r>
            <w:rPr>
              <w:rFonts w:hint="eastAsia" w:eastAsia="楷体"/>
              <w:bCs/>
              <w:color w:val="0000FF"/>
              <w:szCs w:val="24"/>
            </w:rPr>
            <w:t>四、竞争性谈判响应文件的递交及谈判</w:t>
          </w:r>
          <w:r>
            <w:rPr>
              <w:color w:val="0000FF"/>
            </w:rPr>
            <w:tab/>
          </w:r>
          <w:r>
            <w:rPr>
              <w:rFonts w:hint="eastAsia"/>
              <w:color w:val="0000FF"/>
              <w:lang w:val="en-US" w:eastAsia="zh-CN"/>
            </w:rPr>
            <w:t>7</w:t>
          </w:r>
          <w:r>
            <w:rPr>
              <w:color w:val="0000FF"/>
            </w:rPr>
            <w:fldChar w:fldCharType="end"/>
          </w:r>
        </w:p>
        <w:p w14:paraId="2040D779">
          <w:pPr>
            <w:pStyle w:val="70"/>
            <w:tabs>
              <w:tab w:val="right" w:leader="dot" w:pos="8788"/>
              <w:tab w:val="clear" w:pos="9061"/>
            </w:tabs>
            <w:rPr>
              <w:color w:val="0000FF"/>
            </w:rPr>
          </w:pPr>
          <w:r>
            <w:rPr>
              <w:color w:val="0000FF"/>
            </w:rPr>
            <w:fldChar w:fldCharType="begin"/>
          </w:r>
          <w:r>
            <w:rPr>
              <w:color w:val="0000FF"/>
            </w:rPr>
            <w:instrText xml:space="preserve"> HYPERLINK \l "_Toc11740" </w:instrText>
          </w:r>
          <w:r>
            <w:rPr>
              <w:color w:val="0000FF"/>
            </w:rPr>
            <w:fldChar w:fldCharType="separate"/>
          </w:r>
          <w:r>
            <w:rPr>
              <w:rFonts w:eastAsia="楷体"/>
              <w:bCs/>
              <w:color w:val="0000FF"/>
              <w:szCs w:val="24"/>
            </w:rPr>
            <w:t>五、</w:t>
          </w:r>
          <w:r>
            <w:rPr>
              <w:rFonts w:hint="eastAsia" w:eastAsia="楷体"/>
              <w:bCs/>
              <w:color w:val="0000FF"/>
              <w:szCs w:val="24"/>
              <w:lang w:val="en-US" w:eastAsia="zh-CN"/>
            </w:rPr>
            <w:t>其它相关事宜</w:t>
          </w:r>
          <w:r>
            <w:rPr>
              <w:color w:val="0000FF"/>
            </w:rPr>
            <w:tab/>
          </w:r>
          <w:r>
            <w:rPr>
              <w:rFonts w:hint="eastAsia"/>
              <w:color w:val="0000FF"/>
              <w:lang w:val="en-US" w:eastAsia="zh-CN"/>
            </w:rPr>
            <w:t>7</w:t>
          </w:r>
          <w:r>
            <w:rPr>
              <w:color w:val="0000FF"/>
            </w:rPr>
            <w:fldChar w:fldCharType="end"/>
          </w:r>
        </w:p>
        <w:p w14:paraId="2F3D52B4">
          <w:pPr>
            <w:pStyle w:val="70"/>
            <w:tabs>
              <w:tab w:val="right" w:leader="dot" w:pos="8788"/>
              <w:tab w:val="clear" w:pos="9061"/>
            </w:tabs>
            <w:rPr>
              <w:color w:val="0000FF"/>
            </w:rPr>
          </w:pPr>
          <w:r>
            <w:rPr>
              <w:color w:val="0000FF"/>
            </w:rPr>
            <w:fldChar w:fldCharType="begin"/>
          </w:r>
          <w:r>
            <w:rPr>
              <w:color w:val="0000FF"/>
            </w:rPr>
            <w:instrText xml:space="preserve"> HYPERLINK \l "_Toc8909" </w:instrText>
          </w:r>
          <w:r>
            <w:rPr>
              <w:color w:val="0000FF"/>
            </w:rPr>
            <w:fldChar w:fldCharType="separate"/>
          </w:r>
          <w:r>
            <w:rPr>
              <w:rFonts w:eastAsia="楷体"/>
              <w:bCs/>
              <w:color w:val="0000FF"/>
              <w:szCs w:val="24"/>
            </w:rPr>
            <w:t>六、</w:t>
          </w:r>
          <w:r>
            <w:rPr>
              <w:rFonts w:hint="eastAsia" w:eastAsia="楷体"/>
              <w:bCs/>
              <w:color w:val="0000FF"/>
              <w:szCs w:val="24"/>
              <w:lang w:val="en-US" w:eastAsia="zh-CN"/>
            </w:rPr>
            <w:t>联系方式</w:t>
          </w:r>
          <w:r>
            <w:rPr>
              <w:color w:val="0000FF"/>
            </w:rPr>
            <w:tab/>
          </w:r>
          <w:r>
            <w:rPr>
              <w:rFonts w:hint="eastAsia"/>
              <w:color w:val="0000FF"/>
              <w:lang w:val="en-US" w:eastAsia="zh-CN"/>
            </w:rPr>
            <w:t>8</w:t>
          </w:r>
          <w:r>
            <w:rPr>
              <w:color w:val="0000FF"/>
            </w:rPr>
            <w:fldChar w:fldCharType="end"/>
          </w:r>
        </w:p>
        <w:p w14:paraId="49B10F91">
          <w:pPr>
            <w:pStyle w:val="70"/>
            <w:tabs>
              <w:tab w:val="right" w:leader="dot" w:pos="8788"/>
              <w:tab w:val="clear" w:pos="9061"/>
            </w:tabs>
            <w:rPr>
              <w:color w:val="0000FF"/>
            </w:rPr>
          </w:pPr>
          <w:r>
            <w:rPr>
              <w:color w:val="0000FF"/>
            </w:rPr>
            <w:fldChar w:fldCharType="begin"/>
          </w:r>
          <w:r>
            <w:rPr>
              <w:color w:val="0000FF"/>
            </w:rPr>
            <w:instrText xml:space="preserve"> HYPERLINK \l "_Toc13248" </w:instrText>
          </w:r>
          <w:r>
            <w:rPr>
              <w:color w:val="0000FF"/>
            </w:rPr>
            <w:fldChar w:fldCharType="separate"/>
          </w:r>
          <w:r>
            <w:rPr>
              <w:rFonts w:eastAsia="楷体"/>
              <w:bCs/>
              <w:color w:val="0000FF"/>
              <w:szCs w:val="24"/>
            </w:rPr>
            <w:t>七、</w:t>
          </w:r>
          <w:r>
            <w:rPr>
              <w:rFonts w:hint="eastAsia" w:eastAsia="楷体"/>
              <w:bCs/>
              <w:color w:val="0000FF"/>
              <w:szCs w:val="24"/>
              <w:lang w:val="en-US" w:eastAsia="zh-CN"/>
            </w:rPr>
            <w:t>附件：竞争性谈判参与确认函</w:t>
          </w:r>
          <w:r>
            <w:rPr>
              <w:color w:val="0000FF"/>
            </w:rPr>
            <w:tab/>
          </w:r>
          <w:r>
            <w:rPr>
              <w:rFonts w:hint="eastAsia"/>
              <w:color w:val="0000FF"/>
              <w:lang w:val="en-US" w:eastAsia="zh-CN"/>
            </w:rPr>
            <w:t>8</w:t>
          </w:r>
          <w:r>
            <w:rPr>
              <w:color w:val="0000FF"/>
            </w:rPr>
            <w:fldChar w:fldCharType="end"/>
          </w:r>
        </w:p>
        <w:p w14:paraId="52D87608">
          <w:pPr>
            <w:pStyle w:val="56"/>
            <w:tabs>
              <w:tab w:val="right" w:leader="dot" w:pos="8788"/>
            </w:tabs>
            <w:rPr>
              <w:rFonts w:hint="eastAsia" w:eastAsia="宋体"/>
              <w:color w:val="0000FF"/>
              <w:lang w:val="en-US" w:eastAsia="zh-CN"/>
            </w:rPr>
          </w:pPr>
          <w:r>
            <w:rPr>
              <w:color w:val="0000FF"/>
            </w:rPr>
            <w:fldChar w:fldCharType="begin"/>
          </w:r>
          <w:r>
            <w:rPr>
              <w:color w:val="0000FF"/>
            </w:rPr>
            <w:instrText xml:space="preserve"> HYPERLINK \l "_Toc23698" </w:instrText>
          </w:r>
          <w:r>
            <w:rPr>
              <w:color w:val="0000FF"/>
            </w:rPr>
            <w:fldChar w:fldCharType="separate"/>
          </w:r>
          <w:r>
            <w:rPr>
              <w:rFonts w:eastAsia="楷体"/>
              <w:color w:val="0000FF"/>
              <w:kern w:val="0"/>
              <w:szCs w:val="32"/>
            </w:rPr>
            <w:t>第二章  谈判须知</w:t>
          </w:r>
          <w:r>
            <w:rPr>
              <w:color w:val="0000FF"/>
            </w:rPr>
            <w:tab/>
          </w:r>
          <w:r>
            <w:rPr>
              <w:rFonts w:hint="eastAsia"/>
              <w:color w:val="0000FF"/>
              <w:lang w:val="en-US" w:eastAsia="zh-CN"/>
            </w:rPr>
            <w:t>9</w:t>
          </w:r>
          <w:r>
            <w:rPr>
              <w:color w:val="0000FF"/>
            </w:rPr>
            <w:fldChar w:fldCharType="end"/>
          </w:r>
        </w:p>
        <w:p w14:paraId="7143A39F">
          <w:pPr>
            <w:pStyle w:val="70"/>
            <w:tabs>
              <w:tab w:val="right" w:leader="dot" w:pos="8788"/>
              <w:tab w:val="clear" w:pos="9061"/>
            </w:tabs>
            <w:rPr>
              <w:color w:val="0000FF"/>
            </w:rPr>
          </w:pPr>
          <w:r>
            <w:rPr>
              <w:color w:val="0000FF"/>
            </w:rPr>
            <w:fldChar w:fldCharType="begin"/>
          </w:r>
          <w:r>
            <w:rPr>
              <w:color w:val="0000FF"/>
            </w:rPr>
            <w:instrText xml:space="preserve"> HYPERLINK \l "_Toc13639" </w:instrText>
          </w:r>
          <w:r>
            <w:rPr>
              <w:color w:val="0000FF"/>
            </w:rPr>
            <w:fldChar w:fldCharType="separate"/>
          </w:r>
          <w:r>
            <w:rPr>
              <w:rFonts w:eastAsia="楷体"/>
              <w:bCs/>
              <w:color w:val="0000FF"/>
              <w:szCs w:val="24"/>
            </w:rPr>
            <w:t>一、项目概况</w:t>
          </w:r>
          <w:r>
            <w:rPr>
              <w:color w:val="0000FF"/>
            </w:rPr>
            <w:tab/>
          </w:r>
          <w:r>
            <w:rPr>
              <w:color w:val="0000FF"/>
            </w:rPr>
            <w:fldChar w:fldCharType="begin"/>
          </w:r>
          <w:r>
            <w:rPr>
              <w:color w:val="0000FF"/>
            </w:rPr>
            <w:instrText xml:space="preserve"> PAGEREF _Toc13639 \h </w:instrText>
          </w:r>
          <w:r>
            <w:rPr>
              <w:color w:val="0000FF"/>
            </w:rPr>
            <w:fldChar w:fldCharType="separate"/>
          </w:r>
          <w:r>
            <w:rPr>
              <w:color w:val="0000FF"/>
            </w:rPr>
            <w:t>1</w:t>
          </w:r>
          <w:r>
            <w:rPr>
              <w:rFonts w:hint="eastAsia"/>
              <w:color w:val="0000FF"/>
              <w:lang w:val="en-US" w:eastAsia="zh-CN"/>
            </w:rPr>
            <w:t>3</w:t>
          </w:r>
          <w:r>
            <w:rPr>
              <w:color w:val="0000FF"/>
            </w:rPr>
            <w:fldChar w:fldCharType="end"/>
          </w:r>
          <w:r>
            <w:rPr>
              <w:color w:val="0000FF"/>
            </w:rPr>
            <w:fldChar w:fldCharType="end"/>
          </w:r>
        </w:p>
        <w:p w14:paraId="01418BB3">
          <w:pPr>
            <w:pStyle w:val="70"/>
            <w:tabs>
              <w:tab w:val="right" w:leader="dot" w:pos="8788"/>
              <w:tab w:val="clear" w:pos="9061"/>
            </w:tabs>
            <w:rPr>
              <w:color w:val="0000FF"/>
            </w:rPr>
          </w:pPr>
          <w:r>
            <w:rPr>
              <w:color w:val="0000FF"/>
            </w:rPr>
            <w:fldChar w:fldCharType="begin"/>
          </w:r>
          <w:r>
            <w:rPr>
              <w:color w:val="0000FF"/>
            </w:rPr>
            <w:instrText xml:space="preserve"> HYPERLINK \l "_Toc2235" </w:instrText>
          </w:r>
          <w:r>
            <w:rPr>
              <w:color w:val="0000FF"/>
            </w:rPr>
            <w:fldChar w:fldCharType="separate"/>
          </w:r>
          <w:r>
            <w:rPr>
              <w:rFonts w:eastAsia="楷体"/>
              <w:bCs/>
              <w:color w:val="0000FF"/>
              <w:szCs w:val="24"/>
            </w:rPr>
            <w:t>二、投标费用</w:t>
          </w:r>
          <w:r>
            <w:rPr>
              <w:color w:val="0000FF"/>
            </w:rPr>
            <w:tab/>
          </w:r>
          <w:r>
            <w:rPr>
              <w:color w:val="0000FF"/>
            </w:rPr>
            <w:fldChar w:fldCharType="begin"/>
          </w:r>
          <w:r>
            <w:rPr>
              <w:color w:val="0000FF"/>
            </w:rPr>
            <w:instrText xml:space="preserve"> PAGEREF _Toc2235 \h </w:instrText>
          </w:r>
          <w:r>
            <w:rPr>
              <w:color w:val="0000FF"/>
            </w:rPr>
            <w:fldChar w:fldCharType="separate"/>
          </w:r>
          <w:r>
            <w:rPr>
              <w:color w:val="0000FF"/>
            </w:rPr>
            <w:t>1</w:t>
          </w:r>
          <w:r>
            <w:rPr>
              <w:rFonts w:hint="eastAsia"/>
              <w:color w:val="0000FF"/>
              <w:lang w:val="en-US" w:eastAsia="zh-CN"/>
            </w:rPr>
            <w:t>3</w:t>
          </w:r>
          <w:r>
            <w:rPr>
              <w:color w:val="0000FF"/>
            </w:rPr>
            <w:fldChar w:fldCharType="end"/>
          </w:r>
          <w:r>
            <w:rPr>
              <w:color w:val="0000FF"/>
            </w:rPr>
            <w:fldChar w:fldCharType="end"/>
          </w:r>
        </w:p>
        <w:p w14:paraId="5D2A0AEB">
          <w:pPr>
            <w:pStyle w:val="70"/>
            <w:tabs>
              <w:tab w:val="right" w:leader="dot" w:pos="8788"/>
              <w:tab w:val="clear" w:pos="9061"/>
            </w:tabs>
            <w:rPr>
              <w:color w:val="0000FF"/>
            </w:rPr>
          </w:pPr>
          <w:r>
            <w:rPr>
              <w:color w:val="0000FF"/>
            </w:rPr>
            <w:fldChar w:fldCharType="begin"/>
          </w:r>
          <w:r>
            <w:rPr>
              <w:color w:val="0000FF"/>
            </w:rPr>
            <w:instrText xml:space="preserve"> HYPERLINK \l "_Toc13784" </w:instrText>
          </w:r>
          <w:r>
            <w:rPr>
              <w:color w:val="0000FF"/>
            </w:rPr>
            <w:fldChar w:fldCharType="separate"/>
          </w:r>
          <w:r>
            <w:rPr>
              <w:rFonts w:eastAsia="楷体"/>
              <w:bCs/>
              <w:color w:val="0000FF"/>
              <w:szCs w:val="24"/>
            </w:rPr>
            <w:t>三、资格要求</w:t>
          </w:r>
          <w:r>
            <w:rPr>
              <w:color w:val="0000FF"/>
            </w:rPr>
            <w:tab/>
          </w:r>
          <w:r>
            <w:rPr>
              <w:color w:val="0000FF"/>
            </w:rPr>
            <w:fldChar w:fldCharType="begin"/>
          </w:r>
          <w:r>
            <w:rPr>
              <w:color w:val="0000FF"/>
            </w:rPr>
            <w:instrText xml:space="preserve"> PAGEREF _Toc13784 \h </w:instrText>
          </w:r>
          <w:r>
            <w:rPr>
              <w:color w:val="0000FF"/>
            </w:rPr>
            <w:fldChar w:fldCharType="separate"/>
          </w:r>
          <w:r>
            <w:rPr>
              <w:color w:val="0000FF"/>
            </w:rPr>
            <w:t>1</w:t>
          </w:r>
          <w:r>
            <w:rPr>
              <w:rFonts w:hint="eastAsia"/>
              <w:color w:val="0000FF"/>
              <w:lang w:val="en-US" w:eastAsia="zh-CN"/>
            </w:rPr>
            <w:t>3</w:t>
          </w:r>
          <w:r>
            <w:rPr>
              <w:color w:val="0000FF"/>
            </w:rPr>
            <w:fldChar w:fldCharType="end"/>
          </w:r>
          <w:r>
            <w:rPr>
              <w:color w:val="0000FF"/>
            </w:rPr>
            <w:fldChar w:fldCharType="end"/>
          </w:r>
        </w:p>
        <w:p w14:paraId="77F82761">
          <w:pPr>
            <w:pStyle w:val="70"/>
            <w:tabs>
              <w:tab w:val="right" w:leader="dot" w:pos="8788"/>
              <w:tab w:val="clear" w:pos="9061"/>
            </w:tabs>
            <w:rPr>
              <w:color w:val="0000FF"/>
            </w:rPr>
          </w:pPr>
          <w:r>
            <w:rPr>
              <w:color w:val="0000FF"/>
            </w:rPr>
            <w:fldChar w:fldCharType="begin"/>
          </w:r>
          <w:r>
            <w:rPr>
              <w:color w:val="0000FF"/>
            </w:rPr>
            <w:instrText xml:space="preserve"> HYPERLINK \l "_Toc14213" </w:instrText>
          </w:r>
          <w:r>
            <w:rPr>
              <w:color w:val="0000FF"/>
            </w:rPr>
            <w:fldChar w:fldCharType="separate"/>
          </w:r>
          <w:r>
            <w:rPr>
              <w:rFonts w:eastAsia="楷体"/>
              <w:bCs/>
              <w:color w:val="0000FF"/>
              <w:szCs w:val="24"/>
            </w:rPr>
            <w:t>四、竞争性谈判文件</w:t>
          </w:r>
          <w:r>
            <w:rPr>
              <w:color w:val="0000FF"/>
            </w:rPr>
            <w:tab/>
          </w:r>
          <w:r>
            <w:rPr>
              <w:color w:val="0000FF"/>
            </w:rPr>
            <w:fldChar w:fldCharType="begin"/>
          </w:r>
          <w:r>
            <w:rPr>
              <w:color w:val="0000FF"/>
            </w:rPr>
            <w:instrText xml:space="preserve"> PAGEREF _Toc14213 \h </w:instrText>
          </w:r>
          <w:r>
            <w:rPr>
              <w:color w:val="0000FF"/>
            </w:rPr>
            <w:fldChar w:fldCharType="separate"/>
          </w:r>
          <w:r>
            <w:rPr>
              <w:color w:val="0000FF"/>
            </w:rPr>
            <w:t>1</w:t>
          </w:r>
          <w:r>
            <w:rPr>
              <w:rFonts w:hint="eastAsia"/>
              <w:color w:val="0000FF"/>
              <w:lang w:val="en-US" w:eastAsia="zh-CN"/>
            </w:rPr>
            <w:t>3</w:t>
          </w:r>
          <w:r>
            <w:rPr>
              <w:color w:val="0000FF"/>
            </w:rPr>
            <w:fldChar w:fldCharType="end"/>
          </w:r>
          <w:r>
            <w:rPr>
              <w:color w:val="0000FF"/>
            </w:rPr>
            <w:fldChar w:fldCharType="end"/>
          </w:r>
        </w:p>
        <w:p w14:paraId="32DAA99C">
          <w:pPr>
            <w:pStyle w:val="70"/>
            <w:tabs>
              <w:tab w:val="right" w:leader="dot" w:pos="8788"/>
              <w:tab w:val="clear" w:pos="9061"/>
            </w:tabs>
            <w:rPr>
              <w:color w:val="0000FF"/>
            </w:rPr>
          </w:pPr>
          <w:r>
            <w:rPr>
              <w:color w:val="0000FF"/>
            </w:rPr>
            <w:fldChar w:fldCharType="begin"/>
          </w:r>
          <w:r>
            <w:rPr>
              <w:color w:val="0000FF"/>
            </w:rPr>
            <w:instrText xml:space="preserve"> HYPERLINK \l "_Toc22816" </w:instrText>
          </w:r>
          <w:r>
            <w:rPr>
              <w:color w:val="0000FF"/>
            </w:rPr>
            <w:fldChar w:fldCharType="separate"/>
          </w:r>
          <w:r>
            <w:rPr>
              <w:rFonts w:eastAsia="楷体"/>
              <w:bCs/>
              <w:color w:val="0000FF"/>
              <w:szCs w:val="24"/>
            </w:rPr>
            <w:t>五、谈判申请文件</w:t>
          </w:r>
          <w:r>
            <w:rPr>
              <w:color w:val="0000FF"/>
            </w:rPr>
            <w:tab/>
          </w:r>
          <w:r>
            <w:rPr>
              <w:color w:val="0000FF"/>
            </w:rPr>
            <w:fldChar w:fldCharType="begin"/>
          </w:r>
          <w:r>
            <w:rPr>
              <w:color w:val="0000FF"/>
            </w:rPr>
            <w:instrText xml:space="preserve"> PAGEREF _Toc22816 \h </w:instrText>
          </w:r>
          <w:r>
            <w:rPr>
              <w:color w:val="0000FF"/>
            </w:rPr>
            <w:fldChar w:fldCharType="separate"/>
          </w:r>
          <w:r>
            <w:rPr>
              <w:color w:val="0000FF"/>
            </w:rPr>
            <w:t>1</w:t>
          </w:r>
          <w:r>
            <w:rPr>
              <w:rFonts w:hint="eastAsia"/>
              <w:color w:val="0000FF"/>
              <w:lang w:val="en-US" w:eastAsia="zh-CN"/>
            </w:rPr>
            <w:t>4</w:t>
          </w:r>
          <w:r>
            <w:rPr>
              <w:color w:val="0000FF"/>
            </w:rPr>
            <w:fldChar w:fldCharType="end"/>
          </w:r>
          <w:r>
            <w:rPr>
              <w:color w:val="0000FF"/>
            </w:rPr>
            <w:fldChar w:fldCharType="end"/>
          </w:r>
        </w:p>
        <w:p w14:paraId="53E899FF">
          <w:pPr>
            <w:pStyle w:val="70"/>
            <w:tabs>
              <w:tab w:val="right" w:leader="dot" w:pos="8788"/>
              <w:tab w:val="clear" w:pos="9061"/>
            </w:tabs>
            <w:rPr>
              <w:color w:val="0000FF"/>
            </w:rPr>
          </w:pPr>
          <w:r>
            <w:rPr>
              <w:color w:val="0000FF"/>
            </w:rPr>
            <w:fldChar w:fldCharType="begin"/>
          </w:r>
          <w:r>
            <w:rPr>
              <w:color w:val="0000FF"/>
            </w:rPr>
            <w:instrText xml:space="preserve"> HYPERLINK \l "_Toc31577" </w:instrText>
          </w:r>
          <w:r>
            <w:rPr>
              <w:color w:val="0000FF"/>
            </w:rPr>
            <w:fldChar w:fldCharType="separate"/>
          </w:r>
          <w:r>
            <w:rPr>
              <w:rFonts w:eastAsia="楷体"/>
              <w:bCs/>
              <w:color w:val="0000FF"/>
              <w:szCs w:val="24"/>
            </w:rPr>
            <w:t>六、谈判要求</w:t>
          </w:r>
          <w:r>
            <w:rPr>
              <w:color w:val="0000FF"/>
            </w:rPr>
            <w:tab/>
          </w:r>
          <w:r>
            <w:rPr>
              <w:color w:val="0000FF"/>
            </w:rPr>
            <w:fldChar w:fldCharType="begin"/>
          </w:r>
          <w:r>
            <w:rPr>
              <w:color w:val="0000FF"/>
            </w:rPr>
            <w:instrText xml:space="preserve"> PAGEREF _Toc31577 \h </w:instrText>
          </w:r>
          <w:r>
            <w:rPr>
              <w:color w:val="0000FF"/>
            </w:rPr>
            <w:fldChar w:fldCharType="separate"/>
          </w:r>
          <w:r>
            <w:rPr>
              <w:color w:val="0000FF"/>
            </w:rPr>
            <w:t>1</w:t>
          </w:r>
          <w:r>
            <w:rPr>
              <w:rFonts w:hint="eastAsia"/>
              <w:color w:val="0000FF"/>
              <w:lang w:val="en-US" w:eastAsia="zh-CN"/>
            </w:rPr>
            <w:t>4</w:t>
          </w:r>
          <w:r>
            <w:rPr>
              <w:color w:val="0000FF"/>
            </w:rPr>
            <w:fldChar w:fldCharType="end"/>
          </w:r>
          <w:r>
            <w:rPr>
              <w:color w:val="0000FF"/>
            </w:rPr>
            <w:fldChar w:fldCharType="end"/>
          </w:r>
        </w:p>
        <w:p w14:paraId="184626C9">
          <w:pPr>
            <w:pStyle w:val="70"/>
            <w:tabs>
              <w:tab w:val="right" w:leader="dot" w:pos="8788"/>
              <w:tab w:val="clear" w:pos="9061"/>
            </w:tabs>
            <w:rPr>
              <w:color w:val="0000FF"/>
            </w:rPr>
          </w:pPr>
          <w:r>
            <w:rPr>
              <w:color w:val="0000FF"/>
            </w:rPr>
            <w:fldChar w:fldCharType="begin"/>
          </w:r>
          <w:r>
            <w:rPr>
              <w:color w:val="0000FF"/>
            </w:rPr>
            <w:instrText xml:space="preserve"> HYPERLINK \l "_Toc20162" </w:instrText>
          </w:r>
          <w:r>
            <w:rPr>
              <w:color w:val="0000FF"/>
            </w:rPr>
            <w:fldChar w:fldCharType="separate"/>
          </w:r>
          <w:r>
            <w:rPr>
              <w:rFonts w:eastAsia="楷体"/>
              <w:bCs/>
              <w:color w:val="0000FF"/>
              <w:szCs w:val="24"/>
            </w:rPr>
            <w:t>七、谈判报价要求</w:t>
          </w:r>
          <w:r>
            <w:rPr>
              <w:color w:val="0000FF"/>
            </w:rPr>
            <w:tab/>
          </w:r>
          <w:r>
            <w:rPr>
              <w:color w:val="0000FF"/>
            </w:rPr>
            <w:fldChar w:fldCharType="begin"/>
          </w:r>
          <w:r>
            <w:rPr>
              <w:color w:val="0000FF"/>
            </w:rPr>
            <w:instrText xml:space="preserve"> PAGEREF _Toc20162 \h </w:instrText>
          </w:r>
          <w:r>
            <w:rPr>
              <w:color w:val="0000FF"/>
            </w:rPr>
            <w:fldChar w:fldCharType="separate"/>
          </w:r>
          <w:r>
            <w:rPr>
              <w:color w:val="0000FF"/>
            </w:rPr>
            <w:t>1</w:t>
          </w:r>
          <w:r>
            <w:rPr>
              <w:rFonts w:hint="eastAsia"/>
              <w:color w:val="0000FF"/>
              <w:lang w:val="en-US" w:eastAsia="zh-CN"/>
            </w:rPr>
            <w:t>4</w:t>
          </w:r>
          <w:r>
            <w:rPr>
              <w:color w:val="0000FF"/>
            </w:rPr>
            <w:fldChar w:fldCharType="end"/>
          </w:r>
          <w:r>
            <w:rPr>
              <w:color w:val="0000FF"/>
            </w:rPr>
            <w:fldChar w:fldCharType="end"/>
          </w:r>
        </w:p>
        <w:p w14:paraId="2F9A72DF">
          <w:pPr>
            <w:pStyle w:val="70"/>
            <w:tabs>
              <w:tab w:val="right" w:leader="dot" w:pos="8788"/>
              <w:tab w:val="clear" w:pos="9061"/>
            </w:tabs>
            <w:rPr>
              <w:color w:val="0000FF"/>
            </w:rPr>
          </w:pPr>
          <w:r>
            <w:rPr>
              <w:color w:val="0000FF"/>
            </w:rPr>
            <w:fldChar w:fldCharType="begin"/>
          </w:r>
          <w:r>
            <w:rPr>
              <w:color w:val="0000FF"/>
            </w:rPr>
            <w:instrText xml:space="preserve"> HYPERLINK \l "_Toc30913" </w:instrText>
          </w:r>
          <w:r>
            <w:rPr>
              <w:color w:val="0000FF"/>
            </w:rPr>
            <w:fldChar w:fldCharType="separate"/>
          </w:r>
          <w:r>
            <w:rPr>
              <w:rFonts w:eastAsia="楷体"/>
              <w:bCs/>
              <w:color w:val="0000FF"/>
              <w:szCs w:val="24"/>
            </w:rPr>
            <w:t>八、谈判评审办法</w:t>
          </w:r>
          <w:r>
            <w:rPr>
              <w:color w:val="0000FF"/>
            </w:rPr>
            <w:tab/>
          </w:r>
          <w:r>
            <w:rPr>
              <w:color w:val="0000FF"/>
            </w:rPr>
            <w:fldChar w:fldCharType="begin"/>
          </w:r>
          <w:r>
            <w:rPr>
              <w:color w:val="0000FF"/>
            </w:rPr>
            <w:instrText xml:space="preserve"> PAGEREF _Toc30913 \h </w:instrText>
          </w:r>
          <w:r>
            <w:rPr>
              <w:color w:val="0000FF"/>
            </w:rPr>
            <w:fldChar w:fldCharType="separate"/>
          </w:r>
          <w:r>
            <w:rPr>
              <w:color w:val="0000FF"/>
            </w:rPr>
            <w:t>1</w:t>
          </w:r>
          <w:r>
            <w:rPr>
              <w:rFonts w:hint="eastAsia"/>
              <w:color w:val="0000FF"/>
              <w:lang w:val="en-US" w:eastAsia="zh-CN"/>
            </w:rPr>
            <w:t>5</w:t>
          </w:r>
          <w:r>
            <w:rPr>
              <w:color w:val="0000FF"/>
            </w:rPr>
            <w:fldChar w:fldCharType="end"/>
          </w:r>
          <w:r>
            <w:rPr>
              <w:color w:val="0000FF"/>
            </w:rPr>
            <w:fldChar w:fldCharType="end"/>
          </w:r>
        </w:p>
        <w:p w14:paraId="7F987887">
          <w:pPr>
            <w:pStyle w:val="70"/>
            <w:tabs>
              <w:tab w:val="right" w:leader="dot" w:pos="8788"/>
              <w:tab w:val="clear" w:pos="9061"/>
            </w:tabs>
            <w:rPr>
              <w:color w:val="0000FF"/>
            </w:rPr>
          </w:pPr>
          <w:r>
            <w:rPr>
              <w:color w:val="0000FF"/>
            </w:rPr>
            <w:fldChar w:fldCharType="begin"/>
          </w:r>
          <w:r>
            <w:rPr>
              <w:color w:val="0000FF"/>
            </w:rPr>
            <w:instrText xml:space="preserve"> HYPERLINK \l "_Toc22212" </w:instrText>
          </w:r>
          <w:r>
            <w:rPr>
              <w:color w:val="0000FF"/>
            </w:rPr>
            <w:fldChar w:fldCharType="separate"/>
          </w:r>
          <w:r>
            <w:rPr>
              <w:rFonts w:eastAsia="楷体"/>
              <w:bCs/>
              <w:color w:val="0000FF"/>
              <w:szCs w:val="24"/>
            </w:rPr>
            <w:t>九、定标方式</w:t>
          </w:r>
          <w:r>
            <w:rPr>
              <w:color w:val="0000FF"/>
            </w:rPr>
            <w:tab/>
          </w:r>
          <w:r>
            <w:rPr>
              <w:color w:val="0000FF"/>
            </w:rPr>
            <w:fldChar w:fldCharType="begin"/>
          </w:r>
          <w:r>
            <w:rPr>
              <w:color w:val="0000FF"/>
            </w:rPr>
            <w:instrText xml:space="preserve"> PAGEREF _Toc22212 \h </w:instrText>
          </w:r>
          <w:r>
            <w:rPr>
              <w:color w:val="0000FF"/>
            </w:rPr>
            <w:fldChar w:fldCharType="separate"/>
          </w:r>
          <w:r>
            <w:rPr>
              <w:color w:val="0000FF"/>
            </w:rPr>
            <w:t>1</w:t>
          </w:r>
          <w:r>
            <w:rPr>
              <w:rFonts w:hint="eastAsia"/>
              <w:color w:val="0000FF"/>
              <w:lang w:val="en-US" w:eastAsia="zh-CN"/>
            </w:rPr>
            <w:t>8</w:t>
          </w:r>
          <w:r>
            <w:rPr>
              <w:color w:val="0000FF"/>
            </w:rPr>
            <w:fldChar w:fldCharType="end"/>
          </w:r>
          <w:r>
            <w:rPr>
              <w:color w:val="0000FF"/>
            </w:rPr>
            <w:fldChar w:fldCharType="end"/>
          </w:r>
        </w:p>
        <w:p w14:paraId="6DEFBD73">
          <w:pPr>
            <w:pStyle w:val="70"/>
            <w:tabs>
              <w:tab w:val="right" w:leader="dot" w:pos="8788"/>
              <w:tab w:val="clear" w:pos="9061"/>
            </w:tabs>
            <w:rPr>
              <w:color w:val="0000FF"/>
            </w:rPr>
          </w:pPr>
          <w:r>
            <w:rPr>
              <w:color w:val="0000FF"/>
            </w:rPr>
            <w:fldChar w:fldCharType="begin"/>
          </w:r>
          <w:r>
            <w:rPr>
              <w:color w:val="0000FF"/>
            </w:rPr>
            <w:instrText xml:space="preserve"> HYPERLINK \l "_Toc3752" </w:instrText>
          </w:r>
          <w:r>
            <w:rPr>
              <w:color w:val="0000FF"/>
            </w:rPr>
            <w:fldChar w:fldCharType="separate"/>
          </w:r>
          <w:r>
            <w:rPr>
              <w:rFonts w:eastAsia="楷体"/>
              <w:bCs/>
              <w:color w:val="0000FF"/>
              <w:szCs w:val="24"/>
            </w:rPr>
            <w:t>十、成交通知</w:t>
          </w:r>
          <w:r>
            <w:rPr>
              <w:color w:val="0000FF"/>
            </w:rPr>
            <w:tab/>
          </w:r>
          <w:r>
            <w:rPr>
              <w:color w:val="0000FF"/>
            </w:rPr>
            <w:fldChar w:fldCharType="begin"/>
          </w:r>
          <w:r>
            <w:rPr>
              <w:color w:val="0000FF"/>
            </w:rPr>
            <w:instrText xml:space="preserve"> PAGEREF _Toc3752 \h </w:instrText>
          </w:r>
          <w:r>
            <w:rPr>
              <w:color w:val="0000FF"/>
            </w:rPr>
            <w:fldChar w:fldCharType="separate"/>
          </w:r>
          <w:r>
            <w:rPr>
              <w:color w:val="0000FF"/>
            </w:rPr>
            <w:t>1</w:t>
          </w:r>
          <w:r>
            <w:rPr>
              <w:rFonts w:hint="eastAsia"/>
              <w:color w:val="0000FF"/>
              <w:lang w:val="en-US" w:eastAsia="zh-CN"/>
            </w:rPr>
            <w:t>8</w:t>
          </w:r>
          <w:r>
            <w:rPr>
              <w:color w:val="0000FF"/>
            </w:rPr>
            <w:fldChar w:fldCharType="end"/>
          </w:r>
          <w:r>
            <w:rPr>
              <w:color w:val="0000FF"/>
            </w:rPr>
            <w:fldChar w:fldCharType="end"/>
          </w:r>
        </w:p>
        <w:p w14:paraId="1B8026A1">
          <w:pPr>
            <w:pStyle w:val="70"/>
            <w:tabs>
              <w:tab w:val="right" w:leader="dot" w:pos="8788"/>
              <w:tab w:val="clear" w:pos="9061"/>
            </w:tabs>
            <w:rPr>
              <w:color w:val="0000FF"/>
            </w:rPr>
          </w:pPr>
          <w:r>
            <w:rPr>
              <w:color w:val="0000FF"/>
            </w:rPr>
            <w:fldChar w:fldCharType="begin"/>
          </w:r>
          <w:r>
            <w:rPr>
              <w:color w:val="0000FF"/>
            </w:rPr>
            <w:instrText xml:space="preserve"> HYPERLINK \l "_Toc32610" </w:instrText>
          </w:r>
          <w:r>
            <w:rPr>
              <w:color w:val="0000FF"/>
            </w:rPr>
            <w:fldChar w:fldCharType="separate"/>
          </w:r>
          <w:r>
            <w:rPr>
              <w:rFonts w:eastAsia="楷体"/>
              <w:bCs/>
              <w:color w:val="0000FF"/>
              <w:szCs w:val="24"/>
            </w:rPr>
            <w:t>十一、签订合同</w:t>
          </w:r>
          <w:r>
            <w:rPr>
              <w:color w:val="0000FF"/>
            </w:rPr>
            <w:tab/>
          </w:r>
          <w:r>
            <w:rPr>
              <w:color w:val="0000FF"/>
            </w:rPr>
            <w:fldChar w:fldCharType="begin"/>
          </w:r>
          <w:r>
            <w:rPr>
              <w:color w:val="0000FF"/>
            </w:rPr>
            <w:instrText xml:space="preserve"> PAGEREF _Toc32610 \h </w:instrText>
          </w:r>
          <w:r>
            <w:rPr>
              <w:color w:val="0000FF"/>
            </w:rPr>
            <w:fldChar w:fldCharType="separate"/>
          </w:r>
          <w:r>
            <w:rPr>
              <w:color w:val="0000FF"/>
            </w:rPr>
            <w:t>1</w:t>
          </w:r>
          <w:r>
            <w:rPr>
              <w:rFonts w:hint="eastAsia"/>
              <w:color w:val="0000FF"/>
              <w:lang w:val="en-US" w:eastAsia="zh-CN"/>
            </w:rPr>
            <w:t>8</w:t>
          </w:r>
          <w:r>
            <w:rPr>
              <w:color w:val="0000FF"/>
            </w:rPr>
            <w:fldChar w:fldCharType="end"/>
          </w:r>
          <w:r>
            <w:rPr>
              <w:color w:val="0000FF"/>
            </w:rPr>
            <w:fldChar w:fldCharType="end"/>
          </w:r>
        </w:p>
        <w:p w14:paraId="50CDEA7F">
          <w:pPr>
            <w:pStyle w:val="70"/>
            <w:tabs>
              <w:tab w:val="right" w:leader="dot" w:pos="8788"/>
              <w:tab w:val="clear" w:pos="9061"/>
            </w:tabs>
            <w:rPr>
              <w:color w:val="0000FF"/>
            </w:rPr>
          </w:pPr>
          <w:r>
            <w:rPr>
              <w:color w:val="0000FF"/>
            </w:rPr>
            <w:fldChar w:fldCharType="begin"/>
          </w:r>
          <w:r>
            <w:rPr>
              <w:color w:val="0000FF"/>
            </w:rPr>
            <w:instrText xml:space="preserve"> HYPERLINK \l "_Toc31089" </w:instrText>
          </w:r>
          <w:r>
            <w:rPr>
              <w:color w:val="0000FF"/>
            </w:rPr>
            <w:fldChar w:fldCharType="separate"/>
          </w:r>
          <w:r>
            <w:rPr>
              <w:rFonts w:eastAsia="楷体"/>
              <w:bCs/>
              <w:color w:val="0000FF"/>
              <w:szCs w:val="24"/>
            </w:rPr>
            <w:t>十二、纪律要求</w:t>
          </w:r>
          <w:r>
            <w:rPr>
              <w:color w:val="0000FF"/>
            </w:rPr>
            <w:tab/>
          </w:r>
          <w:r>
            <w:rPr>
              <w:color w:val="0000FF"/>
            </w:rPr>
            <w:fldChar w:fldCharType="begin"/>
          </w:r>
          <w:r>
            <w:rPr>
              <w:color w:val="0000FF"/>
            </w:rPr>
            <w:instrText xml:space="preserve"> PAGEREF _Toc31089 \h </w:instrText>
          </w:r>
          <w:r>
            <w:rPr>
              <w:color w:val="0000FF"/>
            </w:rPr>
            <w:fldChar w:fldCharType="separate"/>
          </w:r>
          <w:r>
            <w:rPr>
              <w:color w:val="0000FF"/>
            </w:rPr>
            <w:t>1</w:t>
          </w:r>
          <w:r>
            <w:rPr>
              <w:rFonts w:hint="eastAsia"/>
              <w:color w:val="0000FF"/>
              <w:lang w:val="en-US" w:eastAsia="zh-CN"/>
            </w:rPr>
            <w:t>8</w:t>
          </w:r>
          <w:r>
            <w:rPr>
              <w:color w:val="0000FF"/>
            </w:rPr>
            <w:fldChar w:fldCharType="end"/>
          </w:r>
          <w:r>
            <w:rPr>
              <w:color w:val="0000FF"/>
            </w:rPr>
            <w:fldChar w:fldCharType="end"/>
          </w:r>
        </w:p>
        <w:p w14:paraId="6A137233">
          <w:pPr>
            <w:pStyle w:val="70"/>
            <w:tabs>
              <w:tab w:val="right" w:leader="dot" w:pos="8788"/>
              <w:tab w:val="clear" w:pos="9061"/>
            </w:tabs>
            <w:rPr>
              <w:color w:val="0000FF"/>
            </w:rPr>
          </w:pPr>
          <w:r>
            <w:rPr>
              <w:color w:val="0000FF"/>
            </w:rPr>
            <w:fldChar w:fldCharType="begin"/>
          </w:r>
          <w:r>
            <w:rPr>
              <w:color w:val="0000FF"/>
            </w:rPr>
            <w:instrText xml:space="preserve"> HYPERLINK \l "_Toc9791" </w:instrText>
          </w:r>
          <w:r>
            <w:rPr>
              <w:color w:val="0000FF"/>
            </w:rPr>
            <w:fldChar w:fldCharType="separate"/>
          </w:r>
          <w:r>
            <w:rPr>
              <w:rFonts w:eastAsia="楷体"/>
              <w:bCs/>
              <w:color w:val="0000FF"/>
              <w:szCs w:val="24"/>
            </w:rPr>
            <w:t>十三、竞争性谈判文件解释</w:t>
          </w:r>
          <w:r>
            <w:rPr>
              <w:color w:val="0000FF"/>
            </w:rPr>
            <w:tab/>
          </w:r>
          <w:r>
            <w:rPr>
              <w:color w:val="0000FF"/>
            </w:rPr>
            <w:fldChar w:fldCharType="begin"/>
          </w:r>
          <w:r>
            <w:rPr>
              <w:color w:val="0000FF"/>
            </w:rPr>
            <w:instrText xml:space="preserve"> PAGEREF _Toc9791 \h </w:instrText>
          </w:r>
          <w:r>
            <w:rPr>
              <w:color w:val="0000FF"/>
            </w:rPr>
            <w:fldChar w:fldCharType="separate"/>
          </w:r>
          <w:r>
            <w:rPr>
              <w:rFonts w:hint="eastAsia"/>
              <w:color w:val="0000FF"/>
              <w:lang w:val="en-US" w:eastAsia="zh-CN"/>
            </w:rPr>
            <w:t>19</w:t>
          </w:r>
          <w:r>
            <w:rPr>
              <w:color w:val="0000FF"/>
            </w:rPr>
            <w:fldChar w:fldCharType="end"/>
          </w:r>
          <w:r>
            <w:rPr>
              <w:color w:val="0000FF"/>
            </w:rPr>
            <w:fldChar w:fldCharType="end"/>
          </w:r>
        </w:p>
        <w:p w14:paraId="16C25AD9">
          <w:pPr>
            <w:pStyle w:val="56"/>
            <w:tabs>
              <w:tab w:val="right" w:leader="dot" w:pos="8788"/>
            </w:tabs>
            <w:rPr>
              <w:rFonts w:hint="eastAsia" w:eastAsia="宋体"/>
              <w:color w:val="0000FF"/>
              <w:lang w:val="en-US" w:eastAsia="zh-CN"/>
            </w:rPr>
          </w:pPr>
          <w:r>
            <w:rPr>
              <w:color w:val="0000FF"/>
            </w:rPr>
            <w:fldChar w:fldCharType="begin"/>
          </w:r>
          <w:r>
            <w:rPr>
              <w:color w:val="0000FF"/>
            </w:rPr>
            <w:instrText xml:space="preserve"> HYPERLINK \l "_Toc4051" </w:instrText>
          </w:r>
          <w:r>
            <w:rPr>
              <w:color w:val="0000FF"/>
            </w:rPr>
            <w:fldChar w:fldCharType="separate"/>
          </w:r>
          <w:r>
            <w:rPr>
              <w:rFonts w:eastAsia="楷体"/>
              <w:color w:val="0000FF"/>
              <w:kern w:val="0"/>
              <w:szCs w:val="24"/>
            </w:rPr>
            <w:t>第三章  合同标准条款和格式</w:t>
          </w:r>
          <w:r>
            <w:rPr>
              <w:color w:val="0000FF"/>
            </w:rPr>
            <w:tab/>
          </w:r>
          <w:r>
            <w:rPr>
              <w:rFonts w:hint="eastAsia"/>
              <w:color w:val="0000FF"/>
              <w:lang w:val="en-US" w:eastAsia="zh-CN"/>
            </w:rPr>
            <w:t>2</w:t>
          </w:r>
          <w:r>
            <w:rPr>
              <w:color w:val="0000FF"/>
            </w:rPr>
            <w:fldChar w:fldCharType="end"/>
          </w:r>
          <w:r>
            <w:rPr>
              <w:rFonts w:hint="eastAsia"/>
              <w:color w:val="0000FF"/>
              <w:lang w:val="en-US" w:eastAsia="zh-CN"/>
            </w:rPr>
            <w:t>0</w:t>
          </w:r>
        </w:p>
        <w:p w14:paraId="1892D73A">
          <w:pPr>
            <w:pStyle w:val="56"/>
            <w:tabs>
              <w:tab w:val="right" w:leader="dot" w:pos="8788"/>
            </w:tabs>
            <w:rPr>
              <w:rFonts w:hint="eastAsia" w:eastAsia="宋体"/>
              <w:color w:val="0000FF"/>
              <w:lang w:val="en-US" w:eastAsia="zh-CN"/>
            </w:rPr>
          </w:pPr>
          <w:r>
            <w:rPr>
              <w:color w:val="0000FF"/>
            </w:rPr>
            <w:fldChar w:fldCharType="begin"/>
          </w:r>
          <w:r>
            <w:rPr>
              <w:color w:val="0000FF"/>
            </w:rPr>
            <w:instrText xml:space="preserve"> HYPERLINK \l "_Toc79" </w:instrText>
          </w:r>
          <w:r>
            <w:rPr>
              <w:color w:val="0000FF"/>
            </w:rPr>
            <w:fldChar w:fldCharType="separate"/>
          </w:r>
          <w:r>
            <w:rPr>
              <w:rFonts w:eastAsia="楷体"/>
              <w:color w:val="0000FF"/>
              <w:kern w:val="0"/>
              <w:szCs w:val="24"/>
            </w:rPr>
            <w:t>第四章  谈判申请文件格式要求</w:t>
          </w:r>
          <w:r>
            <w:rPr>
              <w:color w:val="0000FF"/>
            </w:rPr>
            <w:tab/>
          </w:r>
          <w:r>
            <w:rPr>
              <w:rFonts w:hint="eastAsia"/>
              <w:color w:val="0000FF"/>
              <w:lang w:val="en-US" w:eastAsia="zh-CN"/>
            </w:rPr>
            <w:t>2</w:t>
          </w:r>
          <w:r>
            <w:rPr>
              <w:color w:val="0000FF"/>
            </w:rPr>
            <w:fldChar w:fldCharType="end"/>
          </w:r>
          <w:r>
            <w:rPr>
              <w:rFonts w:hint="eastAsia"/>
              <w:color w:val="0000FF"/>
              <w:lang w:val="en-US" w:eastAsia="zh-CN"/>
            </w:rPr>
            <w:t>1</w:t>
          </w:r>
        </w:p>
        <w:p w14:paraId="703501DB">
          <w:pPr>
            <w:pStyle w:val="70"/>
            <w:tabs>
              <w:tab w:val="right" w:leader="dot" w:pos="8788"/>
              <w:tab w:val="clear" w:pos="9061"/>
            </w:tabs>
            <w:rPr>
              <w:color w:val="0000FF"/>
            </w:rPr>
          </w:pPr>
          <w:r>
            <w:rPr>
              <w:color w:val="0000FF"/>
            </w:rPr>
            <w:fldChar w:fldCharType="begin"/>
          </w:r>
          <w:r>
            <w:rPr>
              <w:color w:val="0000FF"/>
            </w:rPr>
            <w:instrText xml:space="preserve"> HYPERLINK \l "_Toc28581" </w:instrText>
          </w:r>
          <w:r>
            <w:rPr>
              <w:color w:val="0000FF"/>
            </w:rPr>
            <w:fldChar w:fldCharType="separate"/>
          </w:r>
          <w:r>
            <w:rPr>
              <w:rFonts w:eastAsia="楷体"/>
              <w:bCs/>
              <w:color w:val="0000FF"/>
              <w:szCs w:val="24"/>
            </w:rPr>
            <w:t>一、谈判申请函（“文件格式”）</w:t>
          </w:r>
          <w:r>
            <w:rPr>
              <w:color w:val="0000FF"/>
            </w:rPr>
            <w:tab/>
          </w:r>
          <w:r>
            <w:rPr>
              <w:color w:val="0000FF"/>
            </w:rPr>
            <w:fldChar w:fldCharType="begin"/>
          </w:r>
          <w:r>
            <w:rPr>
              <w:color w:val="0000FF"/>
            </w:rPr>
            <w:instrText xml:space="preserve"> PAGEREF _Toc28581 \h </w:instrText>
          </w:r>
          <w:r>
            <w:rPr>
              <w:color w:val="0000FF"/>
            </w:rPr>
            <w:fldChar w:fldCharType="separate"/>
          </w:r>
          <w:r>
            <w:rPr>
              <w:color w:val="0000FF"/>
            </w:rPr>
            <w:t>2</w:t>
          </w:r>
          <w:r>
            <w:rPr>
              <w:rFonts w:hint="eastAsia"/>
              <w:color w:val="0000FF"/>
              <w:lang w:val="en-US" w:eastAsia="zh-CN"/>
            </w:rPr>
            <w:t>3</w:t>
          </w:r>
          <w:r>
            <w:rPr>
              <w:color w:val="0000FF"/>
            </w:rPr>
            <w:fldChar w:fldCharType="end"/>
          </w:r>
          <w:r>
            <w:rPr>
              <w:color w:val="0000FF"/>
            </w:rPr>
            <w:fldChar w:fldCharType="end"/>
          </w:r>
        </w:p>
        <w:p w14:paraId="1C167FF1">
          <w:pPr>
            <w:pStyle w:val="70"/>
            <w:tabs>
              <w:tab w:val="right" w:leader="dot" w:pos="8788"/>
              <w:tab w:val="clear" w:pos="9061"/>
            </w:tabs>
            <w:rPr>
              <w:color w:val="0000FF"/>
            </w:rPr>
          </w:pPr>
          <w:r>
            <w:rPr>
              <w:color w:val="0000FF"/>
            </w:rPr>
            <w:fldChar w:fldCharType="begin"/>
          </w:r>
          <w:r>
            <w:rPr>
              <w:color w:val="0000FF"/>
            </w:rPr>
            <w:instrText xml:space="preserve"> HYPERLINK \l "_Toc17909" </w:instrText>
          </w:r>
          <w:r>
            <w:rPr>
              <w:color w:val="0000FF"/>
            </w:rPr>
            <w:fldChar w:fldCharType="separate"/>
          </w:r>
          <w:r>
            <w:rPr>
              <w:rFonts w:eastAsia="楷体"/>
              <w:bCs/>
              <w:color w:val="0000FF"/>
              <w:szCs w:val="24"/>
            </w:rPr>
            <w:t>二、廉洁谈判保证书</w:t>
          </w:r>
          <w:r>
            <w:rPr>
              <w:rFonts w:eastAsia="楷体"/>
              <w:bCs/>
              <w:color w:val="0000FF"/>
              <w:szCs w:val="21"/>
            </w:rPr>
            <w:t>（“文件格式”）</w:t>
          </w:r>
          <w:r>
            <w:rPr>
              <w:color w:val="0000FF"/>
            </w:rPr>
            <w:tab/>
          </w:r>
          <w:r>
            <w:rPr>
              <w:color w:val="0000FF"/>
            </w:rPr>
            <w:fldChar w:fldCharType="begin"/>
          </w:r>
          <w:r>
            <w:rPr>
              <w:color w:val="0000FF"/>
            </w:rPr>
            <w:instrText xml:space="preserve"> PAGEREF _Toc17909 \h </w:instrText>
          </w:r>
          <w:r>
            <w:rPr>
              <w:color w:val="0000FF"/>
            </w:rPr>
            <w:fldChar w:fldCharType="separate"/>
          </w:r>
          <w:r>
            <w:rPr>
              <w:color w:val="0000FF"/>
            </w:rPr>
            <w:t>2</w:t>
          </w:r>
          <w:r>
            <w:rPr>
              <w:rFonts w:hint="eastAsia"/>
              <w:color w:val="0000FF"/>
              <w:lang w:val="en-US" w:eastAsia="zh-CN"/>
            </w:rPr>
            <w:t>4</w:t>
          </w:r>
          <w:r>
            <w:rPr>
              <w:color w:val="0000FF"/>
            </w:rPr>
            <w:fldChar w:fldCharType="end"/>
          </w:r>
          <w:r>
            <w:rPr>
              <w:color w:val="0000FF"/>
            </w:rPr>
            <w:fldChar w:fldCharType="end"/>
          </w:r>
        </w:p>
        <w:p w14:paraId="6BE9C9EC">
          <w:pPr>
            <w:pStyle w:val="70"/>
            <w:tabs>
              <w:tab w:val="right" w:leader="dot" w:pos="8788"/>
              <w:tab w:val="clear" w:pos="9061"/>
            </w:tabs>
            <w:rPr>
              <w:color w:val="0000FF"/>
            </w:rPr>
          </w:pPr>
          <w:r>
            <w:rPr>
              <w:color w:val="0000FF"/>
            </w:rPr>
            <w:fldChar w:fldCharType="begin"/>
          </w:r>
          <w:r>
            <w:rPr>
              <w:color w:val="0000FF"/>
            </w:rPr>
            <w:instrText xml:space="preserve"> HYPERLINK \l "_Toc25086" </w:instrText>
          </w:r>
          <w:r>
            <w:rPr>
              <w:color w:val="0000FF"/>
            </w:rPr>
            <w:fldChar w:fldCharType="separate"/>
          </w:r>
          <w:r>
            <w:rPr>
              <w:rFonts w:eastAsia="楷体"/>
              <w:bCs/>
              <w:color w:val="0000FF"/>
              <w:szCs w:val="24"/>
            </w:rPr>
            <w:t>三、谈判报价书</w:t>
          </w:r>
          <w:r>
            <w:rPr>
              <w:rFonts w:eastAsia="楷体"/>
              <w:bCs/>
              <w:color w:val="0000FF"/>
              <w:szCs w:val="21"/>
            </w:rPr>
            <w:t>（“文件格式”）</w:t>
          </w:r>
          <w:r>
            <w:rPr>
              <w:color w:val="0000FF"/>
            </w:rPr>
            <w:tab/>
          </w:r>
          <w:r>
            <w:rPr>
              <w:color w:val="0000FF"/>
            </w:rPr>
            <w:fldChar w:fldCharType="begin"/>
          </w:r>
          <w:r>
            <w:rPr>
              <w:color w:val="0000FF"/>
            </w:rPr>
            <w:instrText xml:space="preserve"> PAGEREF _Toc25086 \h </w:instrText>
          </w:r>
          <w:r>
            <w:rPr>
              <w:color w:val="0000FF"/>
            </w:rPr>
            <w:fldChar w:fldCharType="separate"/>
          </w:r>
          <w:r>
            <w:rPr>
              <w:color w:val="0000FF"/>
            </w:rPr>
            <w:t>2</w:t>
          </w:r>
          <w:r>
            <w:rPr>
              <w:rFonts w:hint="eastAsia"/>
              <w:color w:val="0000FF"/>
              <w:lang w:val="en-US" w:eastAsia="zh-CN"/>
            </w:rPr>
            <w:t>5</w:t>
          </w:r>
          <w:r>
            <w:rPr>
              <w:color w:val="0000FF"/>
            </w:rPr>
            <w:fldChar w:fldCharType="end"/>
          </w:r>
          <w:r>
            <w:rPr>
              <w:color w:val="0000FF"/>
            </w:rPr>
            <w:fldChar w:fldCharType="end"/>
          </w:r>
        </w:p>
        <w:p w14:paraId="723AC690">
          <w:pPr>
            <w:pStyle w:val="70"/>
            <w:tabs>
              <w:tab w:val="right" w:leader="dot" w:pos="8788"/>
              <w:tab w:val="clear" w:pos="9061"/>
            </w:tabs>
            <w:rPr>
              <w:color w:val="0000FF"/>
            </w:rPr>
          </w:pPr>
          <w:r>
            <w:rPr>
              <w:color w:val="0000FF"/>
            </w:rPr>
            <w:fldChar w:fldCharType="begin"/>
          </w:r>
          <w:r>
            <w:rPr>
              <w:color w:val="0000FF"/>
            </w:rPr>
            <w:instrText xml:space="preserve"> HYPERLINK \l "_Toc19750" </w:instrText>
          </w:r>
          <w:r>
            <w:rPr>
              <w:color w:val="0000FF"/>
            </w:rPr>
            <w:fldChar w:fldCharType="separate"/>
          </w:r>
          <w:r>
            <w:rPr>
              <w:rFonts w:hint="eastAsia" w:ascii="宋体" w:hAnsi="宋体" w:cs="宋体"/>
              <w:color w:val="0000FF"/>
              <w:szCs w:val="24"/>
            </w:rPr>
            <w:t>◆</w:t>
          </w:r>
          <w:r>
            <w:rPr>
              <w:rFonts w:eastAsia="楷体"/>
              <w:color w:val="0000FF"/>
              <w:szCs w:val="24"/>
            </w:rPr>
            <w:t>附件：最终报价确认书</w:t>
          </w:r>
          <w:r>
            <w:rPr>
              <w:rFonts w:eastAsia="楷体"/>
              <w:color w:val="0000FF"/>
              <w:kern w:val="0"/>
              <w:szCs w:val="21"/>
            </w:rPr>
            <w:t>（</w:t>
          </w:r>
          <w:r>
            <w:rPr>
              <w:rFonts w:eastAsia="楷体"/>
              <w:color w:val="0000FF"/>
              <w:szCs w:val="21"/>
            </w:rPr>
            <w:t>“文件格式”</w:t>
          </w:r>
          <w:r>
            <w:rPr>
              <w:rFonts w:eastAsia="楷体"/>
              <w:color w:val="0000FF"/>
              <w:kern w:val="0"/>
              <w:szCs w:val="21"/>
            </w:rPr>
            <w:t>）</w:t>
          </w:r>
          <w:r>
            <w:rPr>
              <w:color w:val="0000FF"/>
            </w:rPr>
            <w:tab/>
          </w:r>
          <w:r>
            <w:rPr>
              <w:color w:val="0000FF"/>
            </w:rPr>
            <w:fldChar w:fldCharType="begin"/>
          </w:r>
          <w:r>
            <w:rPr>
              <w:color w:val="0000FF"/>
            </w:rPr>
            <w:instrText xml:space="preserve"> PAGEREF _Toc19750 \h </w:instrText>
          </w:r>
          <w:r>
            <w:rPr>
              <w:color w:val="0000FF"/>
            </w:rPr>
            <w:fldChar w:fldCharType="separate"/>
          </w:r>
          <w:r>
            <w:rPr>
              <w:color w:val="0000FF"/>
            </w:rPr>
            <w:t>2</w:t>
          </w:r>
          <w:r>
            <w:rPr>
              <w:rFonts w:hint="eastAsia"/>
              <w:color w:val="0000FF"/>
              <w:lang w:val="en-US" w:eastAsia="zh-CN"/>
            </w:rPr>
            <w:t>8</w:t>
          </w:r>
          <w:r>
            <w:rPr>
              <w:color w:val="0000FF"/>
            </w:rPr>
            <w:fldChar w:fldCharType="end"/>
          </w:r>
          <w:r>
            <w:rPr>
              <w:color w:val="0000FF"/>
            </w:rPr>
            <w:fldChar w:fldCharType="end"/>
          </w:r>
        </w:p>
        <w:p w14:paraId="3D392E45">
          <w:pPr>
            <w:pStyle w:val="70"/>
            <w:tabs>
              <w:tab w:val="right" w:leader="dot" w:pos="8788"/>
              <w:tab w:val="clear" w:pos="9061"/>
            </w:tabs>
            <w:rPr>
              <w:color w:val="0000FF"/>
            </w:rPr>
          </w:pPr>
          <w:r>
            <w:rPr>
              <w:color w:val="0000FF"/>
            </w:rPr>
            <w:fldChar w:fldCharType="begin"/>
          </w:r>
          <w:r>
            <w:rPr>
              <w:color w:val="0000FF"/>
            </w:rPr>
            <w:instrText xml:space="preserve"> HYPERLINK \l "_Toc14674" </w:instrText>
          </w:r>
          <w:r>
            <w:rPr>
              <w:color w:val="0000FF"/>
            </w:rPr>
            <w:fldChar w:fldCharType="separate"/>
          </w:r>
          <w:r>
            <w:rPr>
              <w:rFonts w:eastAsia="楷体"/>
              <w:bCs/>
              <w:color w:val="0000FF"/>
              <w:szCs w:val="24"/>
            </w:rPr>
            <w:t>四、法定代表人身份证明书</w:t>
          </w:r>
          <w:r>
            <w:rPr>
              <w:rFonts w:eastAsia="楷体"/>
              <w:bCs/>
              <w:color w:val="0000FF"/>
              <w:szCs w:val="21"/>
            </w:rPr>
            <w:t>（“文件格式”）</w:t>
          </w:r>
          <w:r>
            <w:rPr>
              <w:color w:val="0000FF"/>
            </w:rPr>
            <w:tab/>
          </w:r>
          <w:r>
            <w:rPr>
              <w:color w:val="0000FF"/>
            </w:rPr>
            <w:fldChar w:fldCharType="begin"/>
          </w:r>
          <w:r>
            <w:rPr>
              <w:color w:val="0000FF"/>
            </w:rPr>
            <w:instrText xml:space="preserve"> PAGEREF _Toc14674 \h </w:instrText>
          </w:r>
          <w:r>
            <w:rPr>
              <w:color w:val="0000FF"/>
            </w:rPr>
            <w:fldChar w:fldCharType="separate"/>
          </w:r>
          <w:r>
            <w:rPr>
              <w:rFonts w:hint="eastAsia"/>
              <w:color w:val="0000FF"/>
              <w:lang w:val="en-US" w:eastAsia="zh-CN"/>
            </w:rPr>
            <w:t>31</w:t>
          </w:r>
          <w:r>
            <w:rPr>
              <w:color w:val="0000FF"/>
            </w:rPr>
            <w:fldChar w:fldCharType="end"/>
          </w:r>
          <w:r>
            <w:rPr>
              <w:color w:val="0000FF"/>
            </w:rPr>
            <w:fldChar w:fldCharType="end"/>
          </w:r>
        </w:p>
        <w:p w14:paraId="18645AA9">
          <w:pPr>
            <w:pStyle w:val="70"/>
            <w:tabs>
              <w:tab w:val="right" w:leader="dot" w:pos="8788"/>
              <w:tab w:val="clear" w:pos="9061"/>
            </w:tabs>
            <w:rPr>
              <w:rFonts w:hint="eastAsia" w:eastAsia="宋体"/>
              <w:color w:val="0000FF"/>
              <w:lang w:val="en-US" w:eastAsia="zh-CN"/>
            </w:rPr>
          </w:pPr>
          <w:r>
            <w:rPr>
              <w:color w:val="0000FF"/>
            </w:rPr>
            <w:fldChar w:fldCharType="begin"/>
          </w:r>
          <w:r>
            <w:rPr>
              <w:color w:val="0000FF"/>
            </w:rPr>
            <w:instrText xml:space="preserve"> HYPERLINK \l "_Toc27027" </w:instrText>
          </w:r>
          <w:r>
            <w:rPr>
              <w:color w:val="0000FF"/>
            </w:rPr>
            <w:fldChar w:fldCharType="separate"/>
          </w:r>
          <w:r>
            <w:rPr>
              <w:rFonts w:eastAsia="楷体"/>
              <w:bCs/>
              <w:color w:val="0000FF"/>
              <w:szCs w:val="24"/>
            </w:rPr>
            <w:t>五、法定代表人授权委托书</w:t>
          </w:r>
          <w:r>
            <w:rPr>
              <w:rFonts w:eastAsia="楷体"/>
              <w:bCs/>
              <w:color w:val="0000FF"/>
              <w:szCs w:val="21"/>
            </w:rPr>
            <w:t>（“文件格式”）</w:t>
          </w:r>
          <w:r>
            <w:rPr>
              <w:color w:val="0000FF"/>
            </w:rPr>
            <w:tab/>
          </w:r>
          <w:r>
            <w:rPr>
              <w:rFonts w:hint="eastAsia"/>
              <w:color w:val="0000FF"/>
              <w:lang w:val="en-US" w:eastAsia="zh-CN"/>
            </w:rPr>
            <w:t>3</w:t>
          </w:r>
          <w:r>
            <w:rPr>
              <w:color w:val="0000FF"/>
            </w:rPr>
            <w:fldChar w:fldCharType="end"/>
          </w:r>
          <w:r>
            <w:rPr>
              <w:rFonts w:hint="eastAsia"/>
              <w:color w:val="0000FF"/>
              <w:lang w:val="en-US" w:eastAsia="zh-CN"/>
            </w:rPr>
            <w:t>2</w:t>
          </w:r>
        </w:p>
        <w:p w14:paraId="2AD8B523">
          <w:pPr>
            <w:pStyle w:val="70"/>
            <w:tabs>
              <w:tab w:val="right" w:leader="dot" w:pos="8788"/>
              <w:tab w:val="clear" w:pos="9061"/>
            </w:tabs>
            <w:rPr>
              <w:rFonts w:hint="eastAsia" w:eastAsia="宋体"/>
              <w:color w:val="0000FF"/>
              <w:lang w:val="en-US" w:eastAsia="zh-CN"/>
            </w:rPr>
          </w:pPr>
          <w:r>
            <w:rPr>
              <w:color w:val="0000FF"/>
            </w:rPr>
            <w:fldChar w:fldCharType="begin"/>
          </w:r>
          <w:r>
            <w:rPr>
              <w:color w:val="0000FF"/>
            </w:rPr>
            <w:instrText xml:space="preserve"> HYPERLINK \l "_Toc16754" </w:instrText>
          </w:r>
          <w:r>
            <w:rPr>
              <w:color w:val="0000FF"/>
            </w:rPr>
            <w:fldChar w:fldCharType="separate"/>
          </w:r>
          <w:r>
            <w:rPr>
              <w:rFonts w:eastAsia="楷体"/>
              <w:bCs/>
              <w:color w:val="0000FF"/>
              <w:szCs w:val="24"/>
            </w:rPr>
            <w:t>六、资格申请文件</w:t>
          </w:r>
          <w:r>
            <w:rPr>
              <w:rFonts w:eastAsia="楷体"/>
              <w:bCs/>
              <w:color w:val="0000FF"/>
              <w:szCs w:val="21"/>
            </w:rPr>
            <w:t>（“文件格式”）</w:t>
          </w:r>
          <w:r>
            <w:rPr>
              <w:color w:val="0000FF"/>
            </w:rPr>
            <w:tab/>
          </w:r>
          <w:r>
            <w:rPr>
              <w:rFonts w:hint="eastAsia"/>
              <w:color w:val="0000FF"/>
              <w:lang w:val="en-US" w:eastAsia="zh-CN"/>
            </w:rPr>
            <w:t>3</w:t>
          </w:r>
          <w:r>
            <w:rPr>
              <w:color w:val="0000FF"/>
            </w:rPr>
            <w:fldChar w:fldCharType="end"/>
          </w:r>
          <w:r>
            <w:rPr>
              <w:rFonts w:hint="eastAsia"/>
              <w:color w:val="0000FF"/>
              <w:lang w:val="en-US" w:eastAsia="zh-CN"/>
            </w:rPr>
            <w:t>3</w:t>
          </w:r>
        </w:p>
        <w:p w14:paraId="27134EC1">
          <w:pPr>
            <w:pStyle w:val="70"/>
            <w:tabs>
              <w:tab w:val="right" w:leader="dot" w:pos="8788"/>
              <w:tab w:val="clear" w:pos="9061"/>
            </w:tabs>
            <w:rPr>
              <w:color w:val="0000FF"/>
            </w:rPr>
          </w:pPr>
          <w:r>
            <w:rPr>
              <w:color w:val="0000FF"/>
            </w:rPr>
            <w:fldChar w:fldCharType="begin"/>
          </w:r>
          <w:r>
            <w:rPr>
              <w:color w:val="0000FF"/>
            </w:rPr>
            <w:instrText xml:space="preserve"> HYPERLINK \l "_Toc27426" </w:instrText>
          </w:r>
          <w:r>
            <w:rPr>
              <w:color w:val="0000FF"/>
            </w:rPr>
            <w:fldChar w:fldCharType="separate"/>
          </w:r>
          <w:r>
            <w:rPr>
              <w:rFonts w:eastAsia="楷体"/>
              <w:bCs/>
              <w:color w:val="0000FF"/>
              <w:szCs w:val="24"/>
            </w:rPr>
            <w:t>七、商务谈判申请文件</w:t>
          </w:r>
          <w:r>
            <w:rPr>
              <w:color w:val="0000FF"/>
            </w:rPr>
            <w:tab/>
          </w:r>
          <w:r>
            <w:rPr>
              <w:color w:val="0000FF"/>
            </w:rPr>
            <w:fldChar w:fldCharType="begin"/>
          </w:r>
          <w:r>
            <w:rPr>
              <w:color w:val="0000FF"/>
            </w:rPr>
            <w:instrText xml:space="preserve"> PAGEREF _Toc27426 \h </w:instrText>
          </w:r>
          <w:r>
            <w:rPr>
              <w:color w:val="0000FF"/>
            </w:rPr>
            <w:fldChar w:fldCharType="separate"/>
          </w:r>
          <w:r>
            <w:rPr>
              <w:color w:val="0000FF"/>
            </w:rPr>
            <w:t>3</w:t>
          </w:r>
          <w:r>
            <w:rPr>
              <w:rFonts w:hint="eastAsia"/>
              <w:color w:val="0000FF"/>
              <w:lang w:val="en-US" w:eastAsia="zh-CN"/>
            </w:rPr>
            <w:t>6</w:t>
          </w:r>
          <w:r>
            <w:rPr>
              <w:color w:val="0000FF"/>
            </w:rPr>
            <w:fldChar w:fldCharType="end"/>
          </w:r>
          <w:r>
            <w:rPr>
              <w:color w:val="0000FF"/>
            </w:rPr>
            <w:fldChar w:fldCharType="end"/>
          </w:r>
        </w:p>
        <w:p w14:paraId="2B2F4397">
          <w:pPr>
            <w:pStyle w:val="70"/>
            <w:tabs>
              <w:tab w:val="right" w:leader="dot" w:pos="8788"/>
              <w:tab w:val="clear" w:pos="9061"/>
            </w:tabs>
            <w:rPr>
              <w:color w:val="0000FF"/>
            </w:rPr>
          </w:pPr>
          <w:r>
            <w:rPr>
              <w:color w:val="0000FF"/>
            </w:rPr>
            <w:fldChar w:fldCharType="begin"/>
          </w:r>
          <w:r>
            <w:rPr>
              <w:color w:val="0000FF"/>
            </w:rPr>
            <w:instrText xml:space="preserve"> HYPERLINK \l "_Toc22682" </w:instrText>
          </w:r>
          <w:r>
            <w:rPr>
              <w:color w:val="0000FF"/>
            </w:rPr>
            <w:fldChar w:fldCharType="separate"/>
          </w:r>
          <w:r>
            <w:rPr>
              <w:rFonts w:eastAsia="楷体"/>
              <w:bCs/>
              <w:color w:val="0000FF"/>
              <w:szCs w:val="24"/>
            </w:rPr>
            <w:t>八、技术谈判申请文件</w:t>
          </w:r>
          <w:r>
            <w:rPr>
              <w:color w:val="0000FF"/>
            </w:rPr>
            <w:tab/>
          </w:r>
          <w:r>
            <w:rPr>
              <w:color w:val="0000FF"/>
            </w:rPr>
            <w:fldChar w:fldCharType="begin"/>
          </w:r>
          <w:r>
            <w:rPr>
              <w:color w:val="0000FF"/>
            </w:rPr>
            <w:instrText xml:space="preserve"> PAGEREF _Toc22682 \h </w:instrText>
          </w:r>
          <w:r>
            <w:rPr>
              <w:color w:val="0000FF"/>
            </w:rPr>
            <w:fldChar w:fldCharType="separate"/>
          </w:r>
          <w:r>
            <w:rPr>
              <w:color w:val="0000FF"/>
            </w:rPr>
            <w:t>3</w:t>
          </w:r>
          <w:r>
            <w:rPr>
              <w:rFonts w:hint="eastAsia"/>
              <w:color w:val="0000FF"/>
              <w:lang w:val="en-US" w:eastAsia="zh-CN"/>
            </w:rPr>
            <w:t>7</w:t>
          </w:r>
          <w:r>
            <w:rPr>
              <w:color w:val="0000FF"/>
            </w:rPr>
            <w:fldChar w:fldCharType="end"/>
          </w:r>
          <w:r>
            <w:rPr>
              <w:color w:val="0000FF"/>
            </w:rPr>
            <w:fldChar w:fldCharType="end"/>
          </w:r>
        </w:p>
        <w:p w14:paraId="032325FA">
          <w:pPr>
            <w:pStyle w:val="70"/>
            <w:tabs>
              <w:tab w:val="right" w:leader="dot" w:pos="8788"/>
              <w:tab w:val="clear" w:pos="9061"/>
            </w:tabs>
            <w:rPr>
              <w:color w:val="0000FF"/>
            </w:rPr>
          </w:pPr>
          <w:r>
            <w:rPr>
              <w:color w:val="0000FF"/>
            </w:rPr>
            <w:fldChar w:fldCharType="begin"/>
          </w:r>
          <w:r>
            <w:rPr>
              <w:color w:val="0000FF"/>
            </w:rPr>
            <w:instrText xml:space="preserve"> HYPERLINK \l "_Toc22682" </w:instrText>
          </w:r>
          <w:r>
            <w:rPr>
              <w:color w:val="0000FF"/>
            </w:rPr>
            <w:fldChar w:fldCharType="separate"/>
          </w:r>
          <w:r>
            <w:rPr>
              <w:rFonts w:hint="eastAsia" w:eastAsia="楷体"/>
              <w:bCs/>
              <w:color w:val="0000FF"/>
              <w:szCs w:val="24"/>
              <w:lang w:val="en-US" w:eastAsia="zh-CN"/>
            </w:rPr>
            <w:t>九</w:t>
          </w:r>
          <w:r>
            <w:rPr>
              <w:rFonts w:eastAsia="楷体"/>
              <w:bCs/>
              <w:color w:val="0000FF"/>
              <w:szCs w:val="24"/>
            </w:rPr>
            <w:t>、</w:t>
          </w:r>
          <w:r>
            <w:rPr>
              <w:rFonts w:hint="eastAsia" w:eastAsia="楷体"/>
              <w:bCs/>
              <w:color w:val="0000FF"/>
              <w:szCs w:val="24"/>
            </w:rPr>
            <w:t>谈判申请单位认为有必要提供的其他资料</w:t>
          </w:r>
          <w:r>
            <w:rPr>
              <w:color w:val="0000FF"/>
            </w:rPr>
            <w:tab/>
          </w:r>
          <w:r>
            <w:rPr>
              <w:color w:val="0000FF"/>
            </w:rPr>
            <w:fldChar w:fldCharType="begin"/>
          </w:r>
          <w:r>
            <w:rPr>
              <w:color w:val="0000FF"/>
            </w:rPr>
            <w:instrText xml:space="preserve"> PAGEREF _Toc22682 \h </w:instrText>
          </w:r>
          <w:r>
            <w:rPr>
              <w:color w:val="0000FF"/>
            </w:rPr>
            <w:fldChar w:fldCharType="separate"/>
          </w:r>
          <w:r>
            <w:rPr>
              <w:color w:val="0000FF"/>
            </w:rPr>
            <w:t>3</w:t>
          </w:r>
          <w:r>
            <w:rPr>
              <w:rFonts w:hint="eastAsia"/>
              <w:color w:val="0000FF"/>
              <w:lang w:val="en-US" w:eastAsia="zh-CN"/>
            </w:rPr>
            <w:t>7</w:t>
          </w:r>
          <w:r>
            <w:rPr>
              <w:color w:val="0000FF"/>
            </w:rPr>
            <w:fldChar w:fldCharType="end"/>
          </w:r>
          <w:r>
            <w:rPr>
              <w:color w:val="0000FF"/>
            </w:rPr>
            <w:fldChar w:fldCharType="end"/>
          </w:r>
        </w:p>
        <w:p w14:paraId="1A8C59D4">
          <w:pPr>
            <w:pStyle w:val="56"/>
            <w:tabs>
              <w:tab w:val="right" w:leader="dot" w:pos="8788"/>
            </w:tabs>
            <w:rPr>
              <w:rFonts w:hint="eastAsia" w:eastAsia="宋体"/>
              <w:color w:val="0000FF"/>
              <w:sz w:val="28"/>
              <w:szCs w:val="20"/>
              <w:lang w:eastAsia="zh-CN"/>
            </w:rPr>
          </w:pPr>
          <w:r>
            <w:rPr>
              <w:rFonts w:hint="eastAsia" w:ascii="楷体" w:hAnsi="楷体" w:eastAsia="楷体" w:cs="楷体"/>
              <w:b/>
              <w:bCs/>
              <w:color w:val="0000FF"/>
            </w:rPr>
            <w:fldChar w:fldCharType="begin"/>
          </w:r>
          <w:r>
            <w:rPr>
              <w:rFonts w:hint="eastAsia" w:ascii="楷体" w:hAnsi="楷体" w:eastAsia="楷体" w:cs="楷体"/>
              <w:b/>
              <w:bCs/>
              <w:color w:val="0000FF"/>
            </w:rPr>
            <w:instrText xml:space="preserve"> HYPERLINK \l _Toc4203 </w:instrText>
          </w:r>
          <w:r>
            <w:rPr>
              <w:rFonts w:hint="eastAsia" w:ascii="楷体" w:hAnsi="楷体" w:eastAsia="楷体" w:cs="楷体"/>
              <w:b/>
              <w:bCs/>
              <w:color w:val="0000FF"/>
            </w:rPr>
            <w:fldChar w:fldCharType="separate"/>
          </w:r>
          <w:r>
            <w:rPr>
              <w:rFonts w:hint="eastAsia" w:ascii="楷体" w:hAnsi="楷体" w:eastAsia="楷体" w:cs="楷体"/>
              <w:b/>
              <w:bCs/>
              <w:color w:val="0000FF"/>
            </w:rPr>
            <w:t>第五章  项目需求及即技术要求</w:t>
          </w:r>
          <w:r>
            <w:rPr>
              <w:rFonts w:hint="eastAsia" w:ascii="楷体" w:hAnsi="楷体" w:eastAsia="楷体" w:cs="楷体"/>
              <w:b/>
              <w:bCs/>
              <w:color w:val="0000FF"/>
            </w:rPr>
            <w:tab/>
          </w:r>
          <w:r>
            <w:rPr>
              <w:rFonts w:hint="eastAsia" w:ascii="楷体" w:hAnsi="楷体" w:eastAsia="楷体" w:cs="楷体"/>
              <w:b/>
              <w:bCs/>
              <w:color w:val="0000FF"/>
            </w:rPr>
            <w:fldChar w:fldCharType="begin"/>
          </w:r>
          <w:r>
            <w:rPr>
              <w:rFonts w:hint="eastAsia" w:ascii="楷体" w:hAnsi="楷体" w:eastAsia="楷体" w:cs="楷体"/>
              <w:b/>
              <w:bCs/>
              <w:color w:val="0000FF"/>
            </w:rPr>
            <w:instrText xml:space="preserve"> PAGEREF _Toc4203 \h </w:instrText>
          </w:r>
          <w:r>
            <w:rPr>
              <w:rFonts w:hint="eastAsia" w:ascii="楷体" w:hAnsi="楷体" w:eastAsia="楷体" w:cs="楷体"/>
              <w:b/>
              <w:bCs/>
              <w:color w:val="0000FF"/>
            </w:rPr>
            <w:fldChar w:fldCharType="separate"/>
          </w:r>
          <w:r>
            <w:rPr>
              <w:rFonts w:hint="eastAsia" w:ascii="楷体" w:hAnsi="楷体" w:eastAsia="楷体" w:cs="楷体"/>
              <w:b/>
              <w:bCs/>
              <w:color w:val="0000FF"/>
            </w:rPr>
            <w:t>3</w:t>
          </w:r>
          <w:r>
            <w:rPr>
              <w:rFonts w:hint="eastAsia" w:ascii="楷体" w:hAnsi="楷体" w:eastAsia="楷体" w:cs="楷体"/>
              <w:b/>
              <w:bCs/>
              <w:color w:val="0000FF"/>
              <w:lang w:val="en-US" w:eastAsia="zh-CN"/>
            </w:rPr>
            <w:t>8</w:t>
          </w:r>
          <w:r>
            <w:rPr>
              <w:rFonts w:hint="eastAsia" w:ascii="楷体" w:hAnsi="楷体" w:eastAsia="楷体" w:cs="楷体"/>
              <w:b/>
              <w:bCs/>
              <w:color w:val="0000FF"/>
            </w:rPr>
            <w:fldChar w:fldCharType="end"/>
          </w:r>
          <w:r>
            <w:rPr>
              <w:rFonts w:hint="eastAsia" w:ascii="楷体" w:hAnsi="楷体" w:eastAsia="楷体" w:cs="楷体"/>
              <w:b/>
              <w:bCs/>
              <w:color w:val="0000FF"/>
            </w:rPr>
            <w:fldChar w:fldCharType="end"/>
          </w:r>
        </w:p>
        <w:p w14:paraId="7FBE4EBC">
          <w:pPr>
            <w:pStyle w:val="56"/>
            <w:tabs>
              <w:tab w:val="right" w:leader="dot" w:pos="8788"/>
            </w:tabs>
            <w:rPr>
              <w:rFonts w:hint="eastAsia" w:eastAsia="宋体"/>
              <w:color w:val="0000FF"/>
              <w:sz w:val="28"/>
              <w:szCs w:val="20"/>
              <w:lang w:eastAsia="zh-CN"/>
            </w:rPr>
          </w:pPr>
        </w:p>
        <w:p w14:paraId="0354721F">
          <w:pPr>
            <w:pStyle w:val="56"/>
            <w:tabs>
              <w:tab w:val="right" w:leader="dot" w:pos="8788"/>
            </w:tabs>
            <w:rPr>
              <w:rFonts w:ascii="Times New Roman" w:hAnsi="Times New Roman" w:eastAsia="楷体" w:cs="Times New Roman"/>
              <w:color w:val="0000FF"/>
              <w:kern w:val="0"/>
              <w:sz w:val="30"/>
              <w:szCs w:val="24"/>
              <w:lang w:val="zh-CN"/>
            </w:rPr>
          </w:pPr>
          <w:r>
            <w:rPr>
              <w:bCs/>
              <w:color w:val="0000FF"/>
              <w:lang w:val="zh-CN"/>
            </w:rPr>
            <w:fldChar w:fldCharType="end"/>
          </w:r>
        </w:p>
      </w:sdtContent>
    </w:sdt>
    <w:p w14:paraId="50B9229C">
      <w:pPr>
        <w:rPr>
          <w:rFonts w:ascii="Times New Roman" w:hAnsi="Times New Roman" w:eastAsia="楷体" w:cs="Times New Roman"/>
          <w:color w:val="0000FF"/>
          <w:kern w:val="0"/>
          <w:sz w:val="30"/>
          <w:szCs w:val="24"/>
        </w:rPr>
      </w:pPr>
    </w:p>
    <w:p w14:paraId="408FAC9B">
      <w:pPr>
        <w:widowControl/>
        <w:jc w:val="left"/>
        <w:rPr>
          <w:rFonts w:ascii="Times New Roman" w:hAnsi="Times New Roman" w:eastAsia="楷体" w:cs="Times New Roman"/>
          <w:b/>
          <w:color w:val="0000FF"/>
          <w:kern w:val="0"/>
          <w:sz w:val="32"/>
          <w:szCs w:val="32"/>
        </w:rPr>
      </w:pPr>
      <w:r>
        <w:rPr>
          <w:rFonts w:ascii="Times New Roman" w:hAnsi="Times New Roman" w:eastAsia="楷体" w:cs="Times New Roman"/>
          <w:b/>
          <w:color w:val="0000FF"/>
          <w:kern w:val="0"/>
          <w:sz w:val="32"/>
          <w:szCs w:val="32"/>
        </w:rPr>
        <w:br w:type="page"/>
      </w:r>
    </w:p>
    <w:p w14:paraId="4984B7EB">
      <w:pPr>
        <w:keepNext/>
        <w:snapToGrid w:val="0"/>
        <w:spacing w:line="400" w:lineRule="exact"/>
        <w:ind w:firstLine="643" w:firstLineChars="200"/>
        <w:jc w:val="center"/>
        <w:outlineLvl w:val="0"/>
        <w:rPr>
          <w:rFonts w:hint="eastAsia" w:ascii="Times New Roman" w:hAnsi="Times New Roman" w:eastAsia="楷体" w:cs="Times New Roman"/>
          <w:b/>
          <w:color w:val="auto"/>
          <w:kern w:val="0"/>
          <w:sz w:val="32"/>
          <w:szCs w:val="32"/>
          <w:lang w:val="en-US" w:eastAsia="zh-CN"/>
        </w:rPr>
      </w:pPr>
      <w:bookmarkStart w:id="4" w:name="_Toc26083"/>
      <w:bookmarkStart w:id="5" w:name="_Hlk88823837"/>
      <w:r>
        <w:rPr>
          <w:rFonts w:ascii="Times New Roman" w:hAnsi="Times New Roman" w:eastAsia="楷体" w:cs="Times New Roman"/>
          <w:b/>
          <w:color w:val="auto"/>
          <w:kern w:val="0"/>
          <w:sz w:val="32"/>
          <w:szCs w:val="32"/>
        </w:rPr>
        <w:t xml:space="preserve">第一章  </w:t>
      </w:r>
      <w:bookmarkEnd w:id="1"/>
      <w:bookmarkEnd w:id="2"/>
      <w:r>
        <w:rPr>
          <w:rFonts w:hint="eastAsia" w:ascii="Times New Roman" w:hAnsi="Times New Roman" w:eastAsia="楷体" w:cs="Times New Roman"/>
          <w:b/>
          <w:color w:val="auto"/>
          <w:kern w:val="0"/>
          <w:sz w:val="32"/>
          <w:szCs w:val="32"/>
          <w:lang w:val="en-US" w:eastAsia="zh-CN"/>
        </w:rPr>
        <w:t>河北协鑫新能源有限公司所辖项目电站35kV变压器检测及维修框架项目的</w:t>
      </w:r>
      <w:r>
        <w:rPr>
          <w:rFonts w:ascii="Times New Roman" w:hAnsi="Times New Roman" w:eastAsia="楷体" w:cs="Times New Roman"/>
          <w:b/>
          <w:color w:val="auto"/>
          <w:kern w:val="0"/>
          <w:sz w:val="32"/>
          <w:szCs w:val="32"/>
        </w:rPr>
        <w:t>竞争性谈判</w:t>
      </w:r>
      <w:bookmarkEnd w:id="3"/>
      <w:bookmarkEnd w:id="4"/>
      <w:r>
        <w:rPr>
          <w:rFonts w:hint="eastAsia" w:ascii="Times New Roman" w:hAnsi="Times New Roman" w:eastAsia="楷体" w:cs="Times New Roman"/>
          <w:b/>
          <w:color w:val="auto"/>
          <w:kern w:val="0"/>
          <w:sz w:val="32"/>
          <w:szCs w:val="32"/>
          <w:lang w:val="en-US" w:eastAsia="zh-CN"/>
        </w:rPr>
        <w:t>公告</w:t>
      </w:r>
    </w:p>
    <w:p w14:paraId="16A325F3">
      <w:pPr>
        <w:snapToGrid w:val="0"/>
        <w:spacing w:line="300" w:lineRule="auto"/>
        <w:ind w:firstLine="480" w:firstLineChars="200"/>
        <w:rPr>
          <w:rFonts w:ascii="Times New Roman" w:hAnsi="Times New Roman" w:eastAsia="楷体" w:cs="Times New Roman"/>
          <w:color w:val="auto"/>
          <w:sz w:val="24"/>
          <w:szCs w:val="24"/>
          <w:highlight w:val="none"/>
        </w:rPr>
      </w:pPr>
      <w:bookmarkStart w:id="6" w:name="_Toc102227313"/>
      <w:r>
        <w:rPr>
          <w:rFonts w:hint="eastAsia" w:ascii="Times New Roman" w:hAnsi="Times New Roman" w:eastAsia="楷体" w:cs="Times New Roman"/>
          <w:color w:val="auto"/>
          <w:sz w:val="24"/>
          <w:szCs w:val="24"/>
          <w:highlight w:val="none"/>
          <w:lang w:val="en-US" w:eastAsia="zh-CN"/>
        </w:rPr>
        <w:t>根据业务需要，</w:t>
      </w:r>
      <w:r>
        <w:rPr>
          <w:rFonts w:hint="eastAsia" w:ascii="Times New Roman" w:hAnsi="Times New Roman" w:eastAsia="楷体" w:cs="Times New Roman"/>
          <w:color w:val="auto"/>
          <w:sz w:val="24"/>
          <w:szCs w:val="24"/>
          <w:highlight w:val="none"/>
          <w:lang w:eastAsia="zh-CN"/>
        </w:rPr>
        <w:t>河北协鑫新能源有限公司</w:t>
      </w:r>
      <w:r>
        <w:rPr>
          <w:rFonts w:ascii="Times New Roman" w:hAnsi="Times New Roman" w:eastAsia="楷体" w:cs="Times New Roman"/>
          <w:color w:val="auto"/>
          <w:sz w:val="24"/>
          <w:szCs w:val="24"/>
          <w:highlight w:val="none"/>
        </w:rPr>
        <w:t>（以下简称“</w:t>
      </w:r>
      <w:r>
        <w:rPr>
          <w:rFonts w:hint="eastAsia" w:ascii="Times New Roman" w:hAnsi="Times New Roman" w:eastAsia="楷体" w:cs="Times New Roman"/>
          <w:color w:val="auto"/>
          <w:sz w:val="24"/>
          <w:szCs w:val="24"/>
          <w:highlight w:val="none"/>
          <w:lang w:eastAsia="zh-CN"/>
        </w:rPr>
        <w:t>河</w:t>
      </w:r>
      <w:r>
        <w:rPr>
          <w:rFonts w:hint="eastAsia" w:ascii="Times New Roman" w:hAnsi="Times New Roman" w:eastAsia="楷体" w:cs="Times New Roman"/>
          <w:color w:val="auto"/>
          <w:sz w:val="24"/>
          <w:szCs w:val="24"/>
          <w:highlight w:val="none"/>
          <w:u w:val="none"/>
          <w:lang w:eastAsia="zh-CN"/>
        </w:rPr>
        <w:t>北公司”）开展所辖项目电站35kV变压器检测及维修框架</w:t>
      </w:r>
      <w:r>
        <w:rPr>
          <w:rFonts w:hint="eastAsia" w:ascii="Times New Roman" w:hAnsi="Times New Roman" w:eastAsia="楷体" w:cs="Times New Roman"/>
          <w:color w:val="auto"/>
          <w:sz w:val="24"/>
          <w:szCs w:val="24"/>
          <w:highlight w:val="none"/>
          <w:u w:val="none"/>
          <w:lang w:val="en-US" w:eastAsia="zh-CN"/>
        </w:rPr>
        <w:t>工作</w:t>
      </w:r>
      <w:r>
        <w:rPr>
          <w:rFonts w:hint="eastAsia" w:ascii="Times New Roman" w:hAnsi="Times New Roman" w:eastAsia="楷体" w:cs="Times New Roman"/>
          <w:color w:val="auto"/>
          <w:sz w:val="24"/>
          <w:szCs w:val="24"/>
          <w:highlight w:val="none"/>
          <w:u w:val="none"/>
          <w:lang w:eastAsia="zh-CN"/>
        </w:rPr>
        <w:t>，</w:t>
      </w:r>
      <w:r>
        <w:rPr>
          <w:rFonts w:hint="eastAsia" w:ascii="Times New Roman" w:hAnsi="Times New Roman" w:eastAsia="楷体" w:cs="Times New Roman"/>
          <w:color w:val="auto"/>
          <w:sz w:val="24"/>
          <w:szCs w:val="24"/>
          <w:highlight w:val="none"/>
          <w:u w:val="none"/>
          <w:lang w:val="en-US" w:eastAsia="zh-CN"/>
        </w:rPr>
        <w:t>本次采购以公开竞争性谈判的方式开展，具体事项如下：</w:t>
      </w:r>
    </w:p>
    <w:p w14:paraId="21F7EC5E">
      <w:pPr>
        <w:spacing w:line="400" w:lineRule="exact"/>
        <w:ind w:firstLine="482" w:firstLineChars="200"/>
        <w:outlineLvl w:val="1"/>
        <w:rPr>
          <w:rFonts w:hint="eastAsia" w:ascii="Times New Roman" w:hAnsi="Times New Roman" w:eastAsia="楷体" w:cs="Times New Roman"/>
          <w:color w:val="auto"/>
          <w:sz w:val="24"/>
          <w:szCs w:val="24"/>
          <w:highlight w:val="none"/>
          <w:lang w:eastAsia="zh-CN"/>
        </w:rPr>
      </w:pPr>
      <w:bookmarkStart w:id="7" w:name="_Toc88645050"/>
      <w:bookmarkStart w:id="8" w:name="_Toc31729"/>
      <w:bookmarkStart w:id="9" w:name="_Toc2766_WPSOffice_Level2"/>
      <w:r>
        <w:rPr>
          <w:rFonts w:ascii="Times New Roman" w:hAnsi="Times New Roman" w:eastAsia="楷体" w:cs="Times New Roman"/>
          <w:b/>
          <w:bCs/>
          <w:color w:val="auto"/>
          <w:sz w:val="24"/>
          <w:szCs w:val="24"/>
          <w:highlight w:val="none"/>
        </w:rPr>
        <w:t>一、项目</w:t>
      </w:r>
      <w:bookmarkEnd w:id="7"/>
      <w:bookmarkEnd w:id="8"/>
      <w:bookmarkEnd w:id="9"/>
      <w:r>
        <w:rPr>
          <w:rFonts w:hint="eastAsia" w:ascii="Times New Roman" w:hAnsi="Times New Roman" w:eastAsia="楷体" w:cs="Times New Roman"/>
          <w:b/>
          <w:bCs/>
          <w:color w:val="auto"/>
          <w:sz w:val="24"/>
          <w:szCs w:val="24"/>
          <w:highlight w:val="none"/>
          <w:lang w:val="en-US" w:eastAsia="zh-CN"/>
        </w:rPr>
        <w:t>情况</w:t>
      </w:r>
    </w:p>
    <w:p w14:paraId="1CAD8C23">
      <w:pPr>
        <w:spacing w:line="400" w:lineRule="exact"/>
        <w:ind w:firstLine="480" w:firstLineChars="200"/>
        <w:rPr>
          <w:rFonts w:hint="eastAsia" w:ascii="Times New Roman" w:hAnsi="Times New Roman" w:eastAsia="楷体" w:cs="Times New Roman"/>
          <w:color w:val="auto"/>
          <w:sz w:val="24"/>
          <w:szCs w:val="24"/>
          <w:highlight w:val="none"/>
          <w:lang w:eastAsia="zh-CN"/>
        </w:rPr>
      </w:pPr>
      <w:r>
        <w:rPr>
          <w:rFonts w:ascii="Times New Roman" w:hAnsi="Times New Roman" w:eastAsia="楷体" w:cs="Times New Roman"/>
          <w:color w:val="auto"/>
          <w:sz w:val="24"/>
          <w:szCs w:val="24"/>
          <w:highlight w:val="none"/>
        </w:rPr>
        <w:t>1.项目名称：</w:t>
      </w:r>
      <w:r>
        <w:rPr>
          <w:rFonts w:hint="eastAsia" w:ascii="Times New Roman" w:hAnsi="Times New Roman" w:eastAsia="楷体" w:cs="Times New Roman"/>
          <w:color w:val="auto"/>
          <w:sz w:val="24"/>
          <w:szCs w:val="24"/>
          <w:highlight w:val="none"/>
          <w:lang w:eastAsia="zh-CN"/>
        </w:rPr>
        <w:t>河北公司所辖项目电站35kV变压器检测及维修框架采购</w:t>
      </w:r>
    </w:p>
    <w:p w14:paraId="6C7C123C">
      <w:pPr>
        <w:ind w:firstLine="480" w:firstLineChars="200"/>
        <w:jc w:val="lef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2.项目概况：</w:t>
      </w:r>
    </w:p>
    <w:p w14:paraId="3D4CA739">
      <w:pPr>
        <w:numPr>
          <w:ilvl w:val="0"/>
          <w:numId w:val="0"/>
        </w:num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河北公司所辖尚义元辰、尚义协鑫、张家口协鑫、邯能广平、武邑润丰、武邑新阳、临城协鑫、石能平山、平山世景、曲阳晶投、无极协诚11座光伏电站变压器检测及维修框架项目的采购。</w:t>
      </w:r>
    </w:p>
    <w:p w14:paraId="6B7B6FB6">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2.1尚义元辰新能源开发有限公司（一、二、三期）、尚义协鑫光伏电力开发有限公司位于河北省张家口市尚义县大青沟镇二工地。</w:t>
      </w:r>
    </w:p>
    <w:p w14:paraId="61712041">
      <w:pPr>
        <w:spacing w:line="520" w:lineRule="exact"/>
        <w:ind w:firstLine="480" w:firstLineChars="200"/>
        <w:rPr>
          <w:rFonts w:hint="eastAsia"/>
          <w:lang w:val="en-US" w:eastAsia="zh-CN"/>
        </w:rPr>
      </w:pPr>
      <w:r>
        <w:rPr>
          <w:rFonts w:hint="eastAsia" w:ascii="Times New Roman" w:hAnsi="Times New Roman" w:eastAsia="楷体" w:cs="Times New Roman"/>
          <w:color w:val="auto"/>
          <w:sz w:val="24"/>
          <w:szCs w:val="24"/>
          <w:highlight w:val="none"/>
          <w:lang w:val="en-US" w:eastAsia="zh-CN"/>
        </w:rPr>
        <w:t>2.2张家口协鑫光伏发电有限公司位于河北省张家口市康保县张纪镇孙家村。</w:t>
      </w:r>
    </w:p>
    <w:p w14:paraId="3BAE5FCA">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2.3邯能广平县光伏电力开发有限公司位于河北省邯郸市广平县东张孟乡张洞村南。</w:t>
      </w:r>
    </w:p>
    <w:p w14:paraId="4B251135">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2.4临城协鑫光伏发电有限公司位于河北省邢台市临城县黑城乡刘家洞村。</w:t>
      </w:r>
    </w:p>
    <w:p w14:paraId="2A6A367E">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2.5武邑润丰新能源有限公司位于河北省衡水市武邑县审坡镇西官庄村。</w:t>
      </w:r>
    </w:p>
    <w:p w14:paraId="4DF46BEC">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2.6武邑新阳新能源有限公司位于河北省衡水市武邑县赵桥镇政府北。</w:t>
      </w:r>
    </w:p>
    <w:p w14:paraId="0DAF4AF4">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2.7曲阳晶投新能源科技有限公司位于河北省保定市曲阳县灵山镇庞家洼村。</w:t>
      </w:r>
    </w:p>
    <w:p w14:paraId="626A3580">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2.8平山县世景新能源有限公司位于河北省石家庄市平山县小觉镇风山沟村。</w:t>
      </w:r>
    </w:p>
    <w:p w14:paraId="4B9A443C">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2.9石能平山光伏电力开发有限公司位于河北省石家庄市平山县东回舍镇白塔坡村。</w:t>
      </w:r>
    </w:p>
    <w:p w14:paraId="054F5B46">
      <w:pPr>
        <w:spacing w:line="52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b w:val="0"/>
          <w:bCs w:val="0"/>
          <w:color w:val="auto"/>
          <w:kern w:val="2"/>
          <w:sz w:val="24"/>
          <w:szCs w:val="24"/>
          <w:highlight w:val="none"/>
          <w:lang w:val="en-US" w:eastAsia="zh-CN" w:bidi="ar-SA"/>
        </w:rPr>
        <w:t>2.10无极县协诚光伏发电有限公司位于河北省石家庄市无极县里城道镇</w:t>
      </w:r>
      <w:r>
        <w:rPr>
          <w:rFonts w:hint="eastAsia" w:ascii="Times New Roman" w:hAnsi="Times New Roman" w:eastAsia="楷体" w:cs="Times New Roman"/>
          <w:color w:val="auto"/>
          <w:sz w:val="24"/>
          <w:szCs w:val="24"/>
          <w:highlight w:val="none"/>
          <w:lang w:val="en-US" w:eastAsia="zh-CN"/>
        </w:rPr>
        <w:t>。</w:t>
      </w:r>
    </w:p>
    <w:p w14:paraId="344955E9">
      <w:pPr>
        <w:spacing w:line="520" w:lineRule="exact"/>
        <w:ind w:firstLine="480" w:firstLineChars="200"/>
        <w:rPr>
          <w:rFonts w:hint="eastAsia"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val="en-US" w:eastAsia="zh-CN"/>
        </w:rPr>
        <w:t>3.</w:t>
      </w:r>
      <w:r>
        <w:rPr>
          <w:rFonts w:hint="eastAsia" w:ascii="Times New Roman" w:hAnsi="Times New Roman" w:eastAsia="楷体" w:cs="Times New Roman"/>
          <w:color w:val="auto"/>
          <w:sz w:val="24"/>
          <w:szCs w:val="24"/>
          <w:highlight w:val="none"/>
        </w:rPr>
        <w:t>采购范围：</w:t>
      </w:r>
    </w:p>
    <w:p w14:paraId="0CAE4E88">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color w:val="auto"/>
          <w:sz w:val="24"/>
          <w:szCs w:val="24"/>
          <w:highlight w:val="none"/>
        </w:rPr>
        <w:t xml:space="preserve"> </w:t>
      </w:r>
      <w:r>
        <w:rPr>
          <w:rFonts w:hint="eastAsia" w:ascii="Times New Roman" w:hAnsi="Times New Roman" w:eastAsia="楷体" w:cs="Times New Roman"/>
          <w:color w:val="auto"/>
          <w:sz w:val="24"/>
          <w:szCs w:val="24"/>
          <w:highlight w:val="none"/>
          <w:lang w:val="en-US" w:eastAsia="zh-CN"/>
        </w:rPr>
        <w:t>11座光伏电站</w:t>
      </w:r>
      <w:r>
        <w:rPr>
          <w:rFonts w:hint="eastAsia" w:ascii="Times New Roman" w:hAnsi="Times New Roman" w:eastAsia="楷体" w:cs="Times New Roman"/>
          <w:color w:val="auto"/>
          <w:sz w:val="24"/>
          <w:szCs w:val="24"/>
          <w:highlight w:val="none"/>
          <w:lang w:eastAsia="zh-CN"/>
        </w:rPr>
        <w:t>变压器检测及维修</w:t>
      </w:r>
      <w:r>
        <w:rPr>
          <w:rFonts w:hint="eastAsia" w:ascii="Times New Roman" w:hAnsi="Times New Roman" w:eastAsia="楷体" w:cs="Times New Roman"/>
          <w:b w:val="0"/>
          <w:bCs w:val="0"/>
          <w:color w:val="auto"/>
          <w:kern w:val="2"/>
          <w:sz w:val="24"/>
          <w:szCs w:val="24"/>
          <w:highlight w:val="none"/>
          <w:lang w:val="en-US" w:eastAsia="zh-CN" w:bidi="ar-SA"/>
        </w:rPr>
        <w:t>：包括不限于：</w:t>
      </w:r>
    </w:p>
    <w:p w14:paraId="56E14E01">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b w:val="0"/>
          <w:bCs w:val="0"/>
          <w:color w:val="auto"/>
          <w:kern w:val="2"/>
          <w:sz w:val="24"/>
          <w:szCs w:val="24"/>
          <w:highlight w:val="none"/>
          <w:lang w:val="en-US" w:eastAsia="zh-CN" w:bidi="ar-SA"/>
        </w:rPr>
        <w:t xml:space="preserve">3.1变压器解体、吊芯检查；变压器高压侧套管拆装、更换；变压器低压侧套管拆装、更换；变压器高、低压绕组（铜材）拆装、更换；变压器瓦斯继电器拆装、更换；变压器压力表拆装、更换；变压器温度表拆装、更换；组合式箱变无载分接开关及操动机构更换；组合式箱变高压负荷开关拆装、更换；组合式箱变高压熔断器拆装、更换；箱沿密封胶条；变压器注油（25#油）；变压器注油（45#油）；变压器滤油； 变压器器身内壁有效处理；变压器维修后试验费；变压器附件密封胶垫检查、处理，并出具合格试验报告等； </w:t>
      </w:r>
    </w:p>
    <w:p w14:paraId="08D33EC9">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b w:val="0"/>
          <w:bCs w:val="0"/>
          <w:color w:val="auto"/>
          <w:kern w:val="2"/>
          <w:sz w:val="24"/>
          <w:szCs w:val="24"/>
          <w:highlight w:val="none"/>
          <w:lang w:val="en-US" w:eastAsia="zh-CN" w:bidi="ar-SA"/>
        </w:rPr>
        <w:t>3.2箱变吊装、往返运输；</w:t>
      </w:r>
    </w:p>
    <w:p w14:paraId="41FB3D37">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b w:val="0"/>
          <w:bCs w:val="0"/>
          <w:color w:val="auto"/>
          <w:kern w:val="2"/>
          <w:sz w:val="24"/>
          <w:szCs w:val="24"/>
          <w:highlight w:val="none"/>
          <w:lang w:val="en-US" w:eastAsia="zh-CN" w:bidi="ar-SA"/>
        </w:rPr>
        <w:t>3.3涉及绕组和变压器油，按照实际报价铜线称重和实际加油kG数量结算等。</w:t>
      </w:r>
    </w:p>
    <w:p w14:paraId="4224B931">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b w:val="0"/>
          <w:bCs w:val="0"/>
          <w:color w:val="auto"/>
          <w:kern w:val="2"/>
          <w:sz w:val="24"/>
          <w:szCs w:val="24"/>
          <w:highlight w:val="none"/>
          <w:lang w:val="en-US" w:eastAsia="zh-CN" w:bidi="ar-SA"/>
        </w:rPr>
        <w:t>3.4箱变涉及品牌参数：</w:t>
      </w:r>
    </w:p>
    <w:tbl>
      <w:tblPr>
        <w:tblStyle w:val="84"/>
        <w:tblW w:w="86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2755"/>
        <w:gridCol w:w="2559"/>
        <w:gridCol w:w="1457"/>
        <w:gridCol w:w="828"/>
      </w:tblGrid>
      <w:tr w14:paraId="509D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4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场站名称</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A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B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C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生产日期</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4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212D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0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邯能广平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D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明珠电气有限公司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A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ZGSB11-Z.G-1000/35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F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8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r>
      <w:tr w14:paraId="28B1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DD3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6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保定天威恒通电气有限公司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A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THT-DKSC-1300/38.5-500/0.4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D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2014年11月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1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06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A0A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9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广西柳州特变科技有限责任公司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S11-10000/35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D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2014年11月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0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E90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2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临城协鑫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B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东盟电气集团有限公司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A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ZGS11-1000/35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5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8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60AC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467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1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申达电气集团有限公司</w:t>
            </w:r>
          </w:p>
        </w:tc>
        <w:tc>
          <w:tcPr>
            <w:tcW w:w="0" w:type="auto"/>
            <w:tcBorders>
              <w:top w:val="nil"/>
              <w:left w:val="nil"/>
              <w:bottom w:val="nil"/>
              <w:right w:val="nil"/>
            </w:tcBorders>
            <w:shd w:val="clear" w:color="auto" w:fill="auto"/>
            <w:noWrap/>
            <w:vAlign w:val="center"/>
          </w:tcPr>
          <w:p w14:paraId="73AF1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S11-4000/38.5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B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9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489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A9C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2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保定天威恒通电气有限公司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2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THT-DKSC-1000/38.5-250/0.4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F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1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910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3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武邑新阳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0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无锡亿能电力设备股份有限公司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6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ZGS11-GF1000/37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2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9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41A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B2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2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申达电气集团有限公司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A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S11-4000/35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B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C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47D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E8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B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保定天威恒通电气有限公司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F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THT-SC11-160/35/0.4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9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2014年4月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4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543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1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武邑润丰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A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无锡亿能电力设备股份有限公司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7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ZGS11-GF1000/37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F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7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14F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60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9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申达电气集团有限公司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F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S11-4000/35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F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7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61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16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8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保定天威恒通电气有限公司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E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THT-SC11-160/35/0.4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B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A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FCA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7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石能平山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7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东盟电气集团南京股份有限公司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2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ZGSF11-1250/35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D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B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0D56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2C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1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河南大大电力设备有限公司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S11-4000/35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B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0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36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821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8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保定威帆电力科技有限公司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C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DKSC-630/38.5-200/0.6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8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6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95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AE34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平山世景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D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江苏东源电器集团股份有限公司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D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S11-1250/35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A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A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14:paraId="2D27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D2F7A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0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山东金乡光明电气有限公司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A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S11-3000/37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4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7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BC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5CC01A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8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许继变压器有限公司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A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DKSG-630/38.5-200/0.4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0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8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697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B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无极协诚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2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海南金盘电气有限公司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2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SCB10-1600/10.5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B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6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73C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1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曲阳晶投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4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宁波奥克斯高科技有限公司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F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ZGS11-Z.G-1000/35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8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5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14C2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4A4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8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济南西电特种变压器有限公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5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ZGS11-1250/38.5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0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7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103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7D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C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江苏东源电器集团股份有限公司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D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S11-1250-35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1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8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14:paraId="13E2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3A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9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山东鲁能泰山电力设备有限公司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F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ZGS11-Z.G-1250/35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5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C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64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0B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8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济南青和电器有限公司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8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S11-6000/37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5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6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4AC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26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5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广州智光电气股份有限公司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2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DKSC-1100/38.5-250/0.4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D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13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0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张家口协鑫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C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山东鲁能泰山电力设备有限公司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1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ZGS11-Z.G-1000/35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2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6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14:paraId="04FF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977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8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山东泰开电力电子公司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D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SM-3000/37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0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0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F82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B4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C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保定市安特变压器厂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E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DKSC11-900/37-400/0.4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7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8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045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E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尚义协鑫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6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江苏中容科技有限公司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1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ZGSF11/ZG/1600/88.5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6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2018年3月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6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0C58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A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尚义元辰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8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江苏东源电器集团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1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S11-1000/35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1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2014年11月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3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4840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CB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5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唐山变压器厂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4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ZGS11-Z.G-1000/38.5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B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2015年9 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B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278B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701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D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江苏中容科技有限公司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0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ZGSF11-ZG-1600/36.75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5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2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r>
      <w:tr w14:paraId="278A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AC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B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江苏中容科技有限公司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A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ZGSF11-ZG-1000/36.75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0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F70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27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9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许继电气股份有限公司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5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DKSCB11-1600/35-800/0.4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7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A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836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F4B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5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广东智光电气有限公司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4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DKSC-1000/35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8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8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485839A3">
      <w:pPr>
        <w:spacing w:line="520" w:lineRule="exact"/>
        <w:ind w:firstLine="480" w:firstLineChars="200"/>
        <w:rPr>
          <w:rFonts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rPr>
        <w:t>4.采购控制价：无</w:t>
      </w:r>
    </w:p>
    <w:p w14:paraId="74533F9C">
      <w:pPr>
        <w:spacing w:line="400" w:lineRule="exact"/>
        <w:ind w:firstLine="480" w:firstLineChars="200"/>
        <w:rPr>
          <w:rFonts w:hint="default" w:ascii="Times New Roman" w:hAnsi="Times New Roman" w:eastAsia="楷体" w:cs="Times New Roman"/>
          <w:color w:val="auto"/>
          <w:sz w:val="24"/>
          <w:szCs w:val="24"/>
          <w:highlight w:val="none"/>
          <w:lang w:val="en-US" w:eastAsia="zh-CN"/>
        </w:rPr>
      </w:pPr>
      <w:r>
        <w:rPr>
          <w:rFonts w:ascii="Times New Roman" w:hAnsi="Times New Roman" w:eastAsia="楷体" w:cs="Times New Roman"/>
          <w:color w:val="auto"/>
          <w:sz w:val="24"/>
          <w:szCs w:val="24"/>
          <w:highlight w:val="none"/>
        </w:rPr>
        <w:t>5.工期：</w:t>
      </w:r>
      <w:r>
        <w:rPr>
          <w:rFonts w:hint="eastAsia" w:ascii="Times New Roman" w:hAnsi="Times New Roman" w:eastAsia="楷体" w:cs="Times New Roman"/>
          <w:color w:val="auto"/>
          <w:sz w:val="24"/>
          <w:szCs w:val="24"/>
          <w:highlight w:val="none"/>
          <w:lang w:val="en-US" w:eastAsia="zh-CN"/>
        </w:rPr>
        <w:t>签订框架合同，服务期三年，单次维修工期（无特殊情况）不超过20天。</w:t>
      </w:r>
    </w:p>
    <w:p w14:paraId="35F88558">
      <w:pPr>
        <w:spacing w:line="400" w:lineRule="exact"/>
        <w:ind w:firstLine="480" w:firstLineChars="200"/>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6.质量标准：</w:t>
      </w:r>
    </w:p>
    <w:p w14:paraId="158899BA">
      <w:pPr>
        <w:spacing w:line="400" w:lineRule="exact"/>
        <w:ind w:firstLine="480"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电力变压器维修、安装按照行业和国标较高标准执行，安装工艺符合相关规范要求，实验数据符合现场和行业规定。</w:t>
      </w:r>
    </w:p>
    <w:p w14:paraId="66D1600E">
      <w:pPr>
        <w:numPr>
          <w:ilvl w:val="0"/>
          <w:numId w:val="18"/>
        </w:numPr>
        <w:spacing w:line="400" w:lineRule="exact"/>
        <w:ind w:firstLine="482" w:firstLineChars="200"/>
        <w:outlineLvl w:val="1"/>
        <w:rPr>
          <w:rFonts w:hint="eastAsia" w:ascii="Times New Roman" w:hAnsi="Times New Roman" w:eastAsia="楷体" w:cs="Times New Roman"/>
          <w:b/>
          <w:bCs/>
          <w:color w:val="auto"/>
          <w:sz w:val="24"/>
          <w:szCs w:val="24"/>
          <w:lang w:val="en-US" w:eastAsia="zh-CN"/>
        </w:rPr>
      </w:pPr>
      <w:r>
        <w:rPr>
          <w:rFonts w:hint="eastAsia" w:ascii="Times New Roman" w:hAnsi="Times New Roman" w:eastAsia="楷体" w:cs="Times New Roman"/>
          <w:b/>
          <w:bCs/>
          <w:color w:val="auto"/>
          <w:sz w:val="24"/>
          <w:szCs w:val="24"/>
          <w:lang w:val="en-US" w:eastAsia="zh-CN"/>
        </w:rPr>
        <w:t>选聘资质及服务要求</w:t>
      </w:r>
    </w:p>
    <w:p w14:paraId="4B01F37F">
      <w:pPr>
        <w:spacing w:line="400" w:lineRule="exact"/>
        <w:ind w:firstLine="480" w:firstLineChars="200"/>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lang w:eastAsia="zh-CN"/>
        </w:rPr>
        <w:t>（一）资质要求</w:t>
      </w:r>
    </w:p>
    <w:p w14:paraId="3D497E6C">
      <w:pPr>
        <w:spacing w:line="400" w:lineRule="exact"/>
        <w:ind w:firstLine="480" w:firstLineChars="200"/>
        <w:rPr>
          <w:rFonts w:ascii="Times New Roman" w:hAnsi="Times New Roman" w:eastAsia="楷体" w:cs="Times New Roman"/>
          <w:color w:val="auto"/>
          <w:sz w:val="24"/>
          <w:szCs w:val="24"/>
        </w:rPr>
      </w:pPr>
      <w:bookmarkStart w:id="10" w:name="_Toc88645052"/>
      <w:bookmarkStart w:id="11" w:name="_Toc27341"/>
      <w:r>
        <w:rPr>
          <w:rFonts w:hint="eastAsia" w:ascii="Times New Roman" w:hAnsi="Times New Roman" w:eastAsia="楷体" w:cs="Times New Roman"/>
          <w:color w:val="auto"/>
          <w:sz w:val="24"/>
          <w:szCs w:val="24"/>
        </w:rPr>
        <w:t>1.报价人应具有独立法人资格，具有有效营业执照且年检合格。</w:t>
      </w:r>
    </w:p>
    <w:p w14:paraId="7FB2099E">
      <w:pPr>
        <w:spacing w:line="400" w:lineRule="exact"/>
        <w:ind w:firstLine="480" w:firstLineChars="200"/>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2.财务要求：</w:t>
      </w:r>
      <w:r>
        <w:rPr>
          <w:rFonts w:hint="eastAsia" w:ascii="Times New Roman" w:hAnsi="Times New Roman" w:eastAsia="楷体" w:cs="Times New Roman"/>
          <w:color w:val="auto"/>
          <w:sz w:val="24"/>
          <w:szCs w:val="24"/>
          <w:lang w:val="en-US" w:eastAsia="zh-CN"/>
        </w:rPr>
        <w:t>财务状况良好，</w:t>
      </w:r>
      <w:r>
        <w:rPr>
          <w:rFonts w:hint="eastAsia" w:ascii="Times New Roman" w:hAnsi="Times New Roman" w:eastAsia="楷体" w:cs="Times New Roman"/>
          <w:color w:val="auto"/>
          <w:sz w:val="24"/>
          <w:szCs w:val="24"/>
        </w:rPr>
        <w:t>提供202</w:t>
      </w:r>
      <w:r>
        <w:rPr>
          <w:rFonts w:hint="eastAsia" w:ascii="Times New Roman" w:hAnsi="Times New Roman" w:eastAsia="楷体" w:cs="Times New Roman"/>
          <w:color w:val="auto"/>
          <w:sz w:val="24"/>
          <w:szCs w:val="24"/>
          <w:lang w:val="en-US" w:eastAsia="zh-CN"/>
        </w:rPr>
        <w:t>2</w:t>
      </w:r>
      <w:r>
        <w:rPr>
          <w:rFonts w:hint="eastAsia" w:ascii="Times New Roman" w:hAnsi="Times New Roman" w:eastAsia="楷体" w:cs="Times New Roman"/>
          <w:color w:val="auto"/>
          <w:sz w:val="24"/>
          <w:szCs w:val="24"/>
        </w:rPr>
        <w:t>、202</w:t>
      </w:r>
      <w:r>
        <w:rPr>
          <w:rFonts w:hint="eastAsia" w:ascii="Times New Roman" w:hAnsi="Times New Roman" w:eastAsia="楷体" w:cs="Times New Roman"/>
          <w:color w:val="auto"/>
          <w:sz w:val="24"/>
          <w:szCs w:val="24"/>
          <w:lang w:val="en-US" w:eastAsia="zh-CN"/>
        </w:rPr>
        <w:t>3</w:t>
      </w:r>
      <w:r>
        <w:rPr>
          <w:rFonts w:hint="eastAsia" w:ascii="Times New Roman" w:hAnsi="Times New Roman" w:eastAsia="楷体" w:cs="Times New Roman"/>
          <w:color w:val="auto"/>
          <w:sz w:val="24"/>
          <w:szCs w:val="24"/>
        </w:rPr>
        <w:t>年两年经审计的财务报告（如未经审计，应说明未审计的原因，并提供20</w:t>
      </w:r>
      <w:r>
        <w:rPr>
          <w:rFonts w:hint="eastAsia" w:ascii="Times New Roman" w:hAnsi="Times New Roman" w:eastAsia="楷体" w:cs="Times New Roman"/>
          <w:color w:val="auto"/>
          <w:sz w:val="24"/>
          <w:szCs w:val="24"/>
          <w:lang w:val="en-US" w:eastAsia="zh-CN"/>
        </w:rPr>
        <w:t>22</w:t>
      </w:r>
      <w:r>
        <w:rPr>
          <w:rFonts w:hint="eastAsia" w:ascii="Times New Roman" w:hAnsi="Times New Roman" w:eastAsia="楷体" w:cs="Times New Roman"/>
          <w:color w:val="auto"/>
          <w:sz w:val="24"/>
          <w:szCs w:val="24"/>
        </w:rPr>
        <w:t>、202</w:t>
      </w:r>
      <w:r>
        <w:rPr>
          <w:rFonts w:hint="eastAsia" w:ascii="Times New Roman" w:hAnsi="Times New Roman" w:eastAsia="楷体" w:cs="Times New Roman"/>
          <w:color w:val="auto"/>
          <w:sz w:val="24"/>
          <w:szCs w:val="24"/>
          <w:lang w:val="en-US" w:eastAsia="zh-CN"/>
        </w:rPr>
        <w:t>3</w:t>
      </w:r>
      <w:r>
        <w:rPr>
          <w:rFonts w:hint="eastAsia" w:ascii="Times New Roman" w:hAnsi="Times New Roman" w:eastAsia="楷体" w:cs="Times New Roman"/>
          <w:color w:val="auto"/>
          <w:sz w:val="24"/>
          <w:szCs w:val="24"/>
        </w:rPr>
        <w:t>年两年年度财务报表）和最近一期</w:t>
      </w:r>
      <w:r>
        <w:rPr>
          <w:rFonts w:hint="eastAsia" w:ascii="Times New Roman" w:hAnsi="Times New Roman" w:eastAsia="楷体" w:cs="Times New Roman"/>
          <w:color w:val="auto"/>
          <w:sz w:val="24"/>
          <w:szCs w:val="24"/>
          <w:lang w:val="en-US" w:eastAsia="zh-CN"/>
        </w:rPr>
        <w:t>2024年8</w:t>
      </w:r>
      <w:r>
        <w:rPr>
          <w:rFonts w:hint="eastAsia" w:ascii="Times New Roman" w:hAnsi="Times New Roman" w:eastAsia="楷体" w:cs="Times New Roman"/>
          <w:color w:val="auto"/>
          <w:sz w:val="24"/>
          <w:szCs w:val="24"/>
        </w:rPr>
        <w:t>月份（或</w:t>
      </w:r>
      <w:r>
        <w:rPr>
          <w:rFonts w:hint="eastAsia" w:ascii="Times New Roman" w:hAnsi="Times New Roman" w:eastAsia="楷体" w:cs="Times New Roman"/>
          <w:color w:val="auto"/>
          <w:sz w:val="24"/>
          <w:szCs w:val="24"/>
          <w:lang w:val="en-US" w:eastAsia="zh-CN"/>
        </w:rPr>
        <w:t>2024年7</w:t>
      </w:r>
      <w:r>
        <w:rPr>
          <w:rFonts w:hint="eastAsia" w:ascii="Times New Roman" w:hAnsi="Times New Roman" w:eastAsia="楷体" w:cs="Times New Roman"/>
          <w:color w:val="auto"/>
          <w:sz w:val="24"/>
          <w:szCs w:val="24"/>
        </w:rPr>
        <w:t>月份）的财务报表。</w:t>
      </w:r>
    </w:p>
    <w:p w14:paraId="181F9CA3">
      <w:pPr>
        <w:spacing w:line="400" w:lineRule="exact"/>
        <w:ind w:firstLine="480" w:firstLineChars="200"/>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3.业绩要求：近三年独立承担过至少</w:t>
      </w:r>
      <w:r>
        <w:rPr>
          <w:rFonts w:hint="eastAsia" w:ascii="Times New Roman" w:hAnsi="Times New Roman" w:eastAsia="楷体" w:cs="Times New Roman"/>
          <w:color w:val="auto"/>
          <w:sz w:val="24"/>
          <w:szCs w:val="24"/>
          <w:lang w:val="en-US" w:eastAsia="zh-CN"/>
        </w:rPr>
        <w:t>3</w:t>
      </w:r>
      <w:r>
        <w:rPr>
          <w:rFonts w:hint="eastAsia" w:ascii="Times New Roman" w:hAnsi="Times New Roman" w:eastAsia="楷体" w:cs="Times New Roman"/>
          <w:color w:val="auto"/>
          <w:sz w:val="24"/>
          <w:szCs w:val="24"/>
        </w:rPr>
        <w:t>个与本项目类似的业绩，提供中标通知书或合同或协议书或用户证明等相关证明材料扫描件。</w:t>
      </w:r>
    </w:p>
    <w:p w14:paraId="11016880">
      <w:pPr>
        <w:spacing w:line="400" w:lineRule="exact"/>
        <w:ind w:firstLine="480" w:firstLineChars="200"/>
        <w:rPr>
          <w:rFonts w:hint="default" w:ascii="Times New Roman" w:hAnsi="Times New Roman" w:eastAsia="楷体" w:cs="Times New Roman"/>
          <w:color w:val="auto"/>
          <w:sz w:val="24"/>
          <w:szCs w:val="24"/>
          <w:lang w:val="en-US" w:eastAsia="zh-CN"/>
        </w:rPr>
      </w:pPr>
      <w:r>
        <w:rPr>
          <w:rFonts w:hint="eastAsia" w:ascii="Times New Roman" w:hAnsi="Times New Roman" w:eastAsia="楷体" w:cs="Times New Roman"/>
          <w:color w:val="auto"/>
          <w:sz w:val="24"/>
          <w:szCs w:val="24"/>
          <w:lang w:val="en-US" w:eastAsia="zh-CN"/>
        </w:rPr>
        <w:t>4.具备四级承装、修、试资质。</w:t>
      </w:r>
    </w:p>
    <w:p w14:paraId="2CF714E0">
      <w:pPr>
        <w:spacing w:line="400" w:lineRule="exact"/>
        <w:ind w:firstLine="480" w:firstLineChars="200"/>
        <w:rPr>
          <w:rFonts w:hint="default" w:ascii="Times New Roman" w:hAnsi="Times New Roman" w:eastAsia="楷体" w:cs="Times New Roman"/>
          <w:color w:val="auto"/>
          <w:sz w:val="24"/>
          <w:szCs w:val="24"/>
          <w:lang w:val="en-US"/>
        </w:rPr>
      </w:pPr>
      <w:r>
        <w:rPr>
          <w:rFonts w:hint="eastAsia" w:ascii="Times New Roman" w:hAnsi="Times New Roman" w:eastAsia="楷体" w:cs="Times New Roman"/>
          <w:color w:val="auto"/>
          <w:sz w:val="24"/>
          <w:szCs w:val="24"/>
          <w:lang w:val="en-US" w:eastAsia="zh-CN"/>
        </w:rPr>
        <w:t>5.不属于失信被执行人、未被列入经营异常名录。</w:t>
      </w:r>
    </w:p>
    <w:p w14:paraId="28B9DE6E">
      <w:pPr>
        <w:spacing w:line="400" w:lineRule="exact"/>
        <w:ind w:firstLine="480" w:firstLineChars="200"/>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lang w:val="en-US" w:eastAsia="zh-CN"/>
        </w:rPr>
        <w:t>6</w:t>
      </w:r>
      <w:r>
        <w:rPr>
          <w:rFonts w:hint="eastAsia" w:ascii="Times New Roman" w:hAnsi="Times New Roman" w:eastAsia="楷体" w:cs="Times New Roman"/>
          <w:color w:val="auto"/>
          <w:sz w:val="24"/>
          <w:szCs w:val="24"/>
        </w:rPr>
        <w:t>.本次报价不接受联合体投标。</w:t>
      </w:r>
    </w:p>
    <w:p w14:paraId="3A56054B">
      <w:pPr>
        <w:spacing w:line="400" w:lineRule="exact"/>
        <w:ind w:firstLine="480" w:firstLineChars="200"/>
        <w:rPr>
          <w:rFonts w:hint="eastAsia" w:ascii="Times New Roman" w:hAnsi="Times New Roman" w:eastAsia="楷体" w:cs="Times New Roman"/>
          <w:color w:val="auto"/>
          <w:sz w:val="24"/>
          <w:szCs w:val="24"/>
          <w:highlight w:val="none"/>
          <w:lang w:eastAsia="zh-CN"/>
        </w:rPr>
      </w:pPr>
      <w:r>
        <w:rPr>
          <w:rFonts w:hint="eastAsia" w:ascii="Times New Roman" w:hAnsi="Times New Roman" w:eastAsia="楷体" w:cs="Times New Roman"/>
          <w:color w:val="auto"/>
          <w:sz w:val="24"/>
          <w:szCs w:val="24"/>
          <w:highlight w:val="none"/>
          <w:lang w:eastAsia="zh-CN"/>
        </w:rPr>
        <w:t>（</w:t>
      </w:r>
      <w:r>
        <w:rPr>
          <w:rFonts w:hint="eastAsia" w:ascii="Times New Roman" w:hAnsi="Times New Roman" w:eastAsia="楷体" w:cs="Times New Roman"/>
          <w:color w:val="auto"/>
          <w:sz w:val="24"/>
          <w:szCs w:val="24"/>
          <w:highlight w:val="none"/>
          <w:lang w:val="en-US" w:eastAsia="zh-CN"/>
        </w:rPr>
        <w:t>二</w:t>
      </w:r>
      <w:r>
        <w:rPr>
          <w:rFonts w:hint="eastAsia" w:ascii="Times New Roman" w:hAnsi="Times New Roman" w:eastAsia="楷体" w:cs="Times New Roman"/>
          <w:color w:val="auto"/>
          <w:sz w:val="24"/>
          <w:szCs w:val="24"/>
          <w:highlight w:val="none"/>
          <w:lang w:eastAsia="zh-CN"/>
        </w:rPr>
        <w:t>）服务和成果要求包括但不限于：</w:t>
      </w:r>
    </w:p>
    <w:p w14:paraId="2012F327">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color w:val="auto"/>
          <w:sz w:val="24"/>
          <w:szCs w:val="24"/>
          <w:highlight w:val="none"/>
        </w:rPr>
        <w:t xml:space="preserve"> </w:t>
      </w:r>
      <w:r>
        <w:rPr>
          <w:rFonts w:hint="eastAsia" w:ascii="Times New Roman" w:hAnsi="Times New Roman" w:eastAsia="楷体" w:cs="Times New Roman"/>
          <w:color w:val="auto"/>
          <w:sz w:val="24"/>
          <w:szCs w:val="24"/>
          <w:highlight w:val="none"/>
          <w:lang w:val="en-US" w:eastAsia="zh-CN"/>
        </w:rPr>
        <w:t>11座光伏电站</w:t>
      </w:r>
      <w:r>
        <w:rPr>
          <w:rFonts w:hint="eastAsia" w:ascii="Times New Roman" w:hAnsi="Times New Roman" w:eastAsia="楷体" w:cs="Times New Roman"/>
          <w:color w:val="auto"/>
          <w:sz w:val="24"/>
          <w:szCs w:val="24"/>
          <w:highlight w:val="none"/>
          <w:lang w:eastAsia="zh-CN"/>
        </w:rPr>
        <w:t>变压器检测及维修</w:t>
      </w:r>
      <w:r>
        <w:rPr>
          <w:rFonts w:hint="eastAsia" w:ascii="Times New Roman" w:hAnsi="Times New Roman" w:eastAsia="楷体" w:cs="Times New Roman"/>
          <w:b w:val="0"/>
          <w:bCs w:val="0"/>
          <w:color w:val="auto"/>
          <w:kern w:val="2"/>
          <w:sz w:val="24"/>
          <w:szCs w:val="24"/>
          <w:highlight w:val="none"/>
          <w:lang w:val="en-US" w:eastAsia="zh-CN" w:bidi="ar-SA"/>
        </w:rPr>
        <w:t xml:space="preserve">：包括不限于：3.1变压器解体、吊芯检查；变压器高压侧套管拆装、更换；变压器低压侧套管拆装、更换；变压器高、低压绕组（铜材）拆装、更换；变压器瓦斯继电器拆装、更换；变压器压力表拆装、更换；变压器温度表拆装、更换；组合式箱变无载分接开关及操动机构更换；组合式箱变高压负荷开关拆装、更换；组合式箱变高压熔断器拆装、更换；箱沿密封胶条；变压器注油（25#油）；变压器注油（45#油）；变压器滤油； 变压器器身内壁有效处理；变压器维修后试验费；变压器附件密封胶垫检查、处理，并出具合格试验报告等； </w:t>
      </w:r>
    </w:p>
    <w:p w14:paraId="71866CB2">
      <w:pPr>
        <w:spacing w:line="520" w:lineRule="exact"/>
        <w:ind w:firstLine="480" w:firstLineChars="200"/>
        <w:rPr>
          <w:rFonts w:hint="eastAsia"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b w:val="0"/>
          <w:bCs w:val="0"/>
          <w:color w:val="auto"/>
          <w:kern w:val="2"/>
          <w:sz w:val="24"/>
          <w:szCs w:val="24"/>
          <w:highlight w:val="none"/>
          <w:lang w:val="en-US" w:eastAsia="zh-CN" w:bidi="ar-SA"/>
        </w:rPr>
        <w:t>3.2箱变吊装、往返运输；</w:t>
      </w:r>
    </w:p>
    <w:p w14:paraId="4C812B9F">
      <w:pPr>
        <w:spacing w:line="520" w:lineRule="exact"/>
        <w:ind w:firstLine="480" w:firstLineChars="200"/>
        <w:rPr>
          <w:rFonts w:hint="default" w:ascii="Times New Roman" w:hAnsi="Times New Roman" w:eastAsia="楷体" w:cs="Times New Roman"/>
          <w:b w:val="0"/>
          <w:bCs w:val="0"/>
          <w:color w:val="auto"/>
          <w:kern w:val="2"/>
          <w:sz w:val="24"/>
          <w:szCs w:val="24"/>
          <w:highlight w:val="none"/>
          <w:lang w:val="en-US" w:eastAsia="zh-CN" w:bidi="ar-SA"/>
        </w:rPr>
      </w:pPr>
      <w:r>
        <w:rPr>
          <w:rFonts w:hint="eastAsia" w:ascii="Times New Roman" w:hAnsi="Times New Roman" w:eastAsia="楷体" w:cs="Times New Roman"/>
          <w:b w:val="0"/>
          <w:bCs w:val="0"/>
          <w:color w:val="auto"/>
          <w:kern w:val="2"/>
          <w:sz w:val="24"/>
          <w:szCs w:val="24"/>
          <w:highlight w:val="none"/>
          <w:lang w:val="en-US" w:eastAsia="zh-CN" w:bidi="ar-SA"/>
        </w:rPr>
        <w:t>3.3涉及绕组和变压器油，按照实际报价铜线称重和实际加油kG数量结算等。</w:t>
      </w:r>
    </w:p>
    <w:p w14:paraId="3E4F5FA1">
      <w:pPr>
        <w:spacing w:line="400" w:lineRule="exact"/>
        <w:ind w:firstLine="480" w:firstLineChars="200"/>
        <w:rPr>
          <w:rFonts w:hint="eastAsia" w:ascii="Times New Roman" w:hAnsi="Times New Roman" w:eastAsia="楷体" w:cs="Times New Roman"/>
          <w:color w:val="auto"/>
          <w:sz w:val="24"/>
          <w:szCs w:val="24"/>
          <w:lang w:eastAsia="zh-CN"/>
        </w:rPr>
      </w:pPr>
      <w:r>
        <w:rPr>
          <w:rFonts w:hint="eastAsia" w:ascii="Times New Roman" w:hAnsi="Times New Roman" w:eastAsia="楷体" w:cs="Times New Roman"/>
          <w:color w:val="auto"/>
          <w:sz w:val="24"/>
          <w:szCs w:val="24"/>
          <w:lang w:eastAsia="zh-CN"/>
        </w:rPr>
        <w:t>（三）其他</w:t>
      </w:r>
    </w:p>
    <w:p w14:paraId="2FB237A7">
      <w:pPr>
        <w:spacing w:line="400" w:lineRule="exact"/>
        <w:ind w:firstLine="480" w:firstLineChars="200"/>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本项目采用的资格审查方式为资格后审</w:t>
      </w:r>
      <w:r>
        <w:rPr>
          <w:rFonts w:hint="eastAsia" w:ascii="Times New Roman" w:hAnsi="Times New Roman" w:eastAsia="楷体" w:cs="Times New Roman"/>
          <w:color w:val="auto"/>
          <w:sz w:val="24"/>
          <w:szCs w:val="24"/>
          <w:lang w:val="en-US" w:eastAsia="zh-CN"/>
        </w:rPr>
        <w:t>,</w:t>
      </w:r>
      <w:r>
        <w:rPr>
          <w:rFonts w:ascii="Times New Roman" w:hAnsi="Times New Roman" w:eastAsia="楷体" w:cs="Times New Roman"/>
          <w:color w:val="auto"/>
          <w:sz w:val="24"/>
          <w:szCs w:val="24"/>
        </w:rPr>
        <w:t>我公司将成立</w:t>
      </w:r>
      <w:r>
        <w:rPr>
          <w:rFonts w:hint="eastAsia" w:ascii="Times New Roman" w:hAnsi="Times New Roman" w:eastAsia="楷体" w:cs="Times New Roman"/>
          <w:color w:val="auto"/>
          <w:sz w:val="24"/>
          <w:szCs w:val="24"/>
        </w:rPr>
        <w:t>谈判</w:t>
      </w:r>
      <w:r>
        <w:rPr>
          <w:rFonts w:ascii="Times New Roman" w:hAnsi="Times New Roman" w:eastAsia="楷体" w:cs="Times New Roman"/>
          <w:color w:val="auto"/>
          <w:sz w:val="24"/>
          <w:szCs w:val="24"/>
        </w:rPr>
        <w:t>小组对谈判申请文件进行评审，与满足谈判申请文件相关要求的各个</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分别进行谈判，谈判结束后，各</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在规定时间内进行最后报价，谈判小组根据</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的最终报价和谈判情况，对</w:t>
      </w:r>
      <w:r>
        <w:rPr>
          <w:rFonts w:hint="eastAsia" w:ascii="Times New Roman" w:hAnsi="Times New Roman" w:eastAsia="楷体" w:cs="Times New Roman"/>
          <w:color w:val="auto"/>
          <w:sz w:val="24"/>
          <w:szCs w:val="24"/>
        </w:rPr>
        <w:t>报价人</w:t>
      </w:r>
      <w:r>
        <w:rPr>
          <w:rFonts w:ascii="Times New Roman" w:hAnsi="Times New Roman" w:eastAsia="楷体" w:cs="Times New Roman"/>
          <w:color w:val="auto"/>
          <w:sz w:val="24"/>
          <w:szCs w:val="24"/>
        </w:rPr>
        <w:t>进行评比，推荐中标候选人。</w:t>
      </w:r>
      <w:bookmarkEnd w:id="10"/>
      <w:bookmarkEnd w:id="11"/>
    </w:p>
    <w:p w14:paraId="301E2F03">
      <w:pPr>
        <w:spacing w:line="400" w:lineRule="exact"/>
        <w:ind w:firstLine="482" w:firstLineChars="200"/>
        <w:outlineLvl w:val="1"/>
        <w:rPr>
          <w:rFonts w:ascii="Times New Roman" w:hAnsi="Times New Roman" w:eastAsia="楷体" w:cs="Times New Roman"/>
          <w:b/>
          <w:bCs/>
          <w:color w:val="auto"/>
          <w:sz w:val="24"/>
          <w:szCs w:val="24"/>
        </w:rPr>
      </w:pPr>
      <w:bookmarkStart w:id="12" w:name="_Toc21572"/>
      <w:bookmarkStart w:id="13" w:name="_Toc88645053"/>
      <w:r>
        <w:rPr>
          <w:rFonts w:hint="eastAsia" w:ascii="Times New Roman" w:hAnsi="Times New Roman" w:eastAsia="楷体" w:cs="Times New Roman"/>
          <w:b/>
          <w:bCs/>
          <w:color w:val="auto"/>
          <w:sz w:val="24"/>
          <w:szCs w:val="24"/>
          <w:lang w:val="en-US" w:eastAsia="zh-CN"/>
        </w:rPr>
        <w:t>三</w:t>
      </w:r>
      <w:r>
        <w:rPr>
          <w:rFonts w:hint="eastAsia" w:ascii="Times New Roman" w:hAnsi="Times New Roman" w:eastAsia="楷体" w:cs="Times New Roman"/>
          <w:b/>
          <w:bCs/>
          <w:color w:val="auto"/>
          <w:sz w:val="24"/>
          <w:szCs w:val="24"/>
        </w:rPr>
        <w:t>、竞争性谈判文件的获取</w:t>
      </w:r>
      <w:bookmarkEnd w:id="12"/>
      <w:bookmarkEnd w:id="13"/>
    </w:p>
    <w:p w14:paraId="30875292">
      <w:pPr>
        <w:spacing w:line="400" w:lineRule="exact"/>
        <w:ind w:firstLine="480" w:firstLineChars="200"/>
        <w:outlineLvl w:val="1"/>
        <w:rPr>
          <w:rFonts w:hint="eastAsia" w:ascii="Times New Roman" w:hAnsi="Times New Roman" w:eastAsia="楷体" w:cs="Times New Roman"/>
          <w:color w:val="auto"/>
          <w:sz w:val="24"/>
          <w:szCs w:val="24"/>
        </w:rPr>
      </w:pPr>
      <w:bookmarkStart w:id="14" w:name="_Toc88645054"/>
      <w:bookmarkStart w:id="15" w:name="_Toc24738_WPSOffice_Level2"/>
      <w:bookmarkStart w:id="16" w:name="_Toc11740"/>
      <w:r>
        <w:rPr>
          <w:rFonts w:hint="eastAsia" w:ascii="Times New Roman" w:hAnsi="Times New Roman" w:eastAsia="楷体" w:cs="Times New Roman"/>
          <w:color w:val="auto"/>
          <w:sz w:val="24"/>
          <w:szCs w:val="24"/>
        </w:rPr>
        <w:t>采购文件随公告在“云南能投集团招采发布平台”和“云能询价系统”发布，不再另行线下提供纸质采购文件，凡有意参与者可在本公告期内自行查看和下载（http://zcfb.cnyeig.cn/sjhz/；http://www.hbyn.cn）</w:t>
      </w: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并</w:t>
      </w:r>
      <w:r>
        <w:rPr>
          <w:rFonts w:hint="eastAsia" w:ascii="Times New Roman" w:hAnsi="Times New Roman" w:eastAsia="楷体" w:cs="Times New Roman"/>
          <w:color w:val="auto"/>
          <w:sz w:val="24"/>
          <w:szCs w:val="24"/>
        </w:rPr>
        <w:t>于202</w:t>
      </w:r>
      <w:r>
        <w:rPr>
          <w:rFonts w:hint="eastAsia" w:ascii="Times New Roman" w:hAnsi="Times New Roman" w:eastAsia="楷体" w:cs="Times New Roman"/>
          <w:color w:val="auto"/>
          <w:sz w:val="24"/>
          <w:szCs w:val="24"/>
          <w:lang w:val="en-US" w:eastAsia="zh-CN"/>
        </w:rPr>
        <w:t>4</w:t>
      </w:r>
      <w:r>
        <w:rPr>
          <w:rFonts w:hint="eastAsia" w:ascii="Times New Roman" w:hAnsi="Times New Roman" w:eastAsia="楷体" w:cs="Times New Roman"/>
          <w:color w:val="auto"/>
          <w:sz w:val="24"/>
          <w:szCs w:val="24"/>
        </w:rPr>
        <w:t>年</w:t>
      </w:r>
      <w:r>
        <w:rPr>
          <w:rFonts w:hint="eastAsia" w:ascii="Times New Roman" w:hAnsi="Times New Roman" w:eastAsia="楷体" w:cs="Times New Roman"/>
          <w:color w:val="FF0000"/>
          <w:sz w:val="24"/>
          <w:szCs w:val="24"/>
          <w:lang w:val="en-US" w:eastAsia="zh-CN"/>
        </w:rPr>
        <w:t>10</w:t>
      </w:r>
      <w:r>
        <w:rPr>
          <w:rFonts w:hint="eastAsia"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9</w:t>
      </w:r>
      <w:r>
        <w:rPr>
          <w:rFonts w:hint="eastAsia" w:ascii="Times New Roman" w:hAnsi="Times New Roman" w:eastAsia="楷体" w:cs="Times New Roman"/>
          <w:color w:val="FF0000"/>
          <w:sz w:val="24"/>
          <w:szCs w:val="24"/>
        </w:rPr>
        <w:t>日1</w:t>
      </w:r>
      <w:r>
        <w:rPr>
          <w:rFonts w:hint="eastAsia" w:ascii="Times New Roman" w:hAnsi="Times New Roman" w:eastAsia="楷体" w:cs="Times New Roman"/>
          <w:color w:val="FF0000"/>
          <w:sz w:val="24"/>
          <w:szCs w:val="24"/>
          <w:lang w:val="en-US" w:eastAsia="zh-CN"/>
        </w:rPr>
        <w:t>7</w:t>
      </w:r>
      <w:r>
        <w:rPr>
          <w:rFonts w:hint="eastAsia" w:ascii="Times New Roman" w:hAnsi="Times New Roman" w:eastAsia="楷体" w:cs="Times New Roman"/>
          <w:color w:val="FF0000"/>
          <w:sz w:val="24"/>
          <w:szCs w:val="24"/>
        </w:rPr>
        <w:t>时00</w:t>
      </w:r>
      <w:r>
        <w:rPr>
          <w:rFonts w:hint="eastAsia" w:ascii="Times New Roman" w:hAnsi="Times New Roman" w:eastAsia="楷体" w:cs="Times New Roman"/>
          <w:color w:val="auto"/>
          <w:sz w:val="24"/>
          <w:szCs w:val="24"/>
        </w:rPr>
        <w:t>分前，以书面形式确认是否参加本次采购活动（格式见附件），</w:t>
      </w:r>
      <w:r>
        <w:rPr>
          <w:rFonts w:hint="eastAsia" w:ascii="Times New Roman" w:hAnsi="Times New Roman" w:eastAsia="楷体" w:cs="Times New Roman"/>
          <w:color w:val="auto"/>
          <w:sz w:val="24"/>
          <w:szCs w:val="24"/>
          <w:lang w:val="en-US" w:eastAsia="zh-CN"/>
        </w:rPr>
        <w:t>同时需</w:t>
      </w:r>
      <w:r>
        <w:rPr>
          <w:rFonts w:hint="eastAsia" w:ascii="Times New Roman" w:hAnsi="Times New Roman" w:eastAsia="楷体" w:cs="Times New Roman"/>
          <w:color w:val="auto"/>
          <w:sz w:val="24"/>
          <w:szCs w:val="24"/>
        </w:rPr>
        <w:t>将确认函盖章后的电子版发送至电子邮箱haojf40818@cnyeig.com。在本公告规定的时间内未按上述要求发送电子邮件至指定邮箱者，不得递交响应文件或参加</w:t>
      </w:r>
      <w:r>
        <w:rPr>
          <w:rFonts w:hint="eastAsia" w:ascii="Times New Roman" w:hAnsi="Times New Roman" w:eastAsia="楷体" w:cs="Times New Roman"/>
          <w:color w:val="auto"/>
          <w:sz w:val="24"/>
          <w:szCs w:val="24"/>
          <w:lang w:val="en-US" w:eastAsia="zh-CN"/>
        </w:rPr>
        <w:t>竞谈</w:t>
      </w:r>
      <w:r>
        <w:rPr>
          <w:rFonts w:hint="eastAsia" w:ascii="Times New Roman" w:hAnsi="Times New Roman" w:eastAsia="楷体" w:cs="Times New Roman"/>
          <w:color w:val="auto"/>
          <w:sz w:val="24"/>
          <w:szCs w:val="24"/>
        </w:rPr>
        <w:t>。</w:t>
      </w:r>
    </w:p>
    <w:p w14:paraId="6FFAAF0D">
      <w:pPr>
        <w:spacing w:line="400" w:lineRule="exact"/>
        <w:ind w:firstLine="482" w:firstLineChars="200"/>
        <w:outlineLvl w:val="1"/>
        <w:rPr>
          <w:rFonts w:ascii="Times New Roman" w:hAnsi="Times New Roman" w:eastAsia="楷体" w:cs="Times New Roman"/>
          <w:b/>
          <w:bCs/>
          <w:color w:val="auto"/>
          <w:sz w:val="24"/>
          <w:szCs w:val="24"/>
        </w:rPr>
      </w:pPr>
      <w:r>
        <w:rPr>
          <w:rFonts w:hint="eastAsia" w:ascii="Times New Roman" w:hAnsi="Times New Roman" w:eastAsia="楷体" w:cs="Times New Roman"/>
          <w:b/>
          <w:bCs/>
          <w:color w:val="auto"/>
          <w:sz w:val="24"/>
          <w:szCs w:val="24"/>
          <w:lang w:val="en-US" w:eastAsia="zh-CN"/>
        </w:rPr>
        <w:t>四</w:t>
      </w:r>
      <w:r>
        <w:rPr>
          <w:rFonts w:ascii="Times New Roman" w:hAnsi="Times New Roman" w:eastAsia="楷体" w:cs="Times New Roman"/>
          <w:b/>
          <w:bCs/>
          <w:color w:val="auto"/>
          <w:sz w:val="24"/>
          <w:szCs w:val="24"/>
        </w:rPr>
        <w:t>、</w:t>
      </w:r>
      <w:bookmarkEnd w:id="14"/>
      <w:bookmarkEnd w:id="15"/>
      <w:bookmarkEnd w:id="16"/>
      <w:r>
        <w:rPr>
          <w:rFonts w:hint="eastAsia" w:ascii="Times New Roman" w:hAnsi="Times New Roman" w:eastAsia="楷体" w:cs="Times New Roman"/>
          <w:b/>
          <w:bCs/>
          <w:color w:val="auto"/>
          <w:sz w:val="24"/>
          <w:szCs w:val="24"/>
          <w:lang w:val="en-US" w:eastAsia="zh-CN"/>
        </w:rPr>
        <w:t>竞争性谈判响应文件的递交及谈判</w:t>
      </w:r>
    </w:p>
    <w:p w14:paraId="48A57B42">
      <w:pPr>
        <w:spacing w:line="400" w:lineRule="exact"/>
        <w:ind w:firstLine="480" w:firstLineChars="200"/>
        <w:outlineLvl w:val="1"/>
        <w:rPr>
          <w:rFonts w:hint="eastAsia" w:ascii="Times New Roman" w:hAnsi="Times New Roman" w:eastAsia="楷体" w:cs="Times New Roman"/>
          <w:color w:val="auto"/>
          <w:sz w:val="24"/>
          <w:szCs w:val="24"/>
        </w:rPr>
      </w:pPr>
      <w:bookmarkStart w:id="17" w:name="_Toc8909"/>
      <w:bookmarkStart w:id="18" w:name="_Toc88645055"/>
      <w:r>
        <w:rPr>
          <w:rFonts w:hint="eastAsia" w:ascii="Times New Roman" w:hAnsi="Times New Roman" w:eastAsia="楷体" w:cs="Times New Roman"/>
          <w:color w:val="auto"/>
          <w:sz w:val="24"/>
          <w:szCs w:val="24"/>
        </w:rPr>
        <w:t>1.竞争性谈判响应文件递交的截止时间为：202</w:t>
      </w:r>
      <w:r>
        <w:rPr>
          <w:rFonts w:hint="eastAsia" w:ascii="Times New Roman" w:hAnsi="Times New Roman" w:eastAsia="楷体" w:cs="Times New Roman"/>
          <w:color w:val="auto"/>
          <w:sz w:val="24"/>
          <w:szCs w:val="24"/>
          <w:lang w:val="en-US" w:eastAsia="zh-CN"/>
        </w:rPr>
        <w:t>4</w:t>
      </w:r>
      <w:r>
        <w:rPr>
          <w:rFonts w:hint="eastAsia" w:ascii="Times New Roman" w:hAnsi="Times New Roman" w:eastAsia="楷体" w:cs="Times New Roman"/>
          <w:color w:val="auto"/>
          <w:sz w:val="24"/>
          <w:szCs w:val="24"/>
        </w:rPr>
        <w:t>年</w:t>
      </w:r>
      <w:r>
        <w:rPr>
          <w:rFonts w:hint="eastAsia" w:ascii="Times New Roman" w:hAnsi="Times New Roman" w:eastAsia="楷体" w:cs="Times New Roman"/>
          <w:color w:val="FF0000"/>
          <w:sz w:val="24"/>
          <w:szCs w:val="24"/>
          <w:lang w:val="en-US" w:eastAsia="zh-CN"/>
        </w:rPr>
        <w:t>10</w:t>
      </w:r>
      <w:r>
        <w:rPr>
          <w:rFonts w:hint="eastAsia"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15</w:t>
      </w:r>
      <w:r>
        <w:rPr>
          <w:rFonts w:hint="eastAsia" w:ascii="Times New Roman" w:hAnsi="Times New Roman" w:eastAsia="楷体" w:cs="Times New Roman"/>
          <w:color w:val="FF0000"/>
          <w:sz w:val="24"/>
          <w:szCs w:val="24"/>
        </w:rPr>
        <w:t>日</w:t>
      </w:r>
      <w:r>
        <w:rPr>
          <w:rFonts w:hint="eastAsia" w:ascii="Times New Roman" w:hAnsi="Times New Roman" w:eastAsia="楷体" w:cs="Times New Roman"/>
          <w:color w:val="auto"/>
          <w:sz w:val="24"/>
          <w:szCs w:val="24"/>
        </w:rPr>
        <w:t>9时30分，递交地址： </w:t>
      </w:r>
      <w:r>
        <w:rPr>
          <w:rFonts w:hint="eastAsia" w:ascii="Times New Roman" w:hAnsi="Times New Roman" w:eastAsia="楷体" w:cs="Times New Roman"/>
          <w:color w:val="auto"/>
          <w:sz w:val="24"/>
          <w:szCs w:val="24"/>
          <w:lang w:eastAsia="zh-CN"/>
        </w:rPr>
        <w:t>石家庄市桥西区自强路中交财富中心1号楼701室</w:t>
      </w:r>
      <w:r>
        <w:rPr>
          <w:rFonts w:hint="eastAsia" w:ascii="Times New Roman" w:hAnsi="Times New Roman" w:eastAsia="楷体" w:cs="Times New Roman"/>
          <w:color w:val="auto"/>
          <w:sz w:val="24"/>
          <w:szCs w:val="24"/>
        </w:rPr>
        <w:t>，逾期送达的或者未送达指定地点的竞争性谈判响应文件，采购人不予受理。</w:t>
      </w:r>
    </w:p>
    <w:p w14:paraId="26C71D43">
      <w:pPr>
        <w:spacing w:line="400" w:lineRule="exact"/>
        <w:ind w:firstLine="480" w:firstLineChars="200"/>
        <w:outlineLvl w:val="1"/>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2.竞争性谈判时间：同谈判文件递交截止时间。</w:t>
      </w:r>
    </w:p>
    <w:p w14:paraId="52FB311C">
      <w:pPr>
        <w:spacing w:line="400" w:lineRule="exact"/>
        <w:ind w:firstLine="480" w:firstLineChars="200"/>
        <w:outlineLvl w:val="1"/>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3.竞争性谈判地点：同谈判文件递交地点。</w:t>
      </w:r>
    </w:p>
    <w:p w14:paraId="2A77D6DD">
      <w:pPr>
        <w:spacing w:line="400" w:lineRule="exact"/>
        <w:ind w:firstLine="480" w:firstLineChars="200"/>
        <w:outlineLvl w:val="1"/>
        <w:rPr>
          <w:rFonts w:hint="eastAsia"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4.参与谈判的申请人按照</w:t>
      </w:r>
      <w:r>
        <w:rPr>
          <w:rFonts w:hint="eastAsia" w:ascii="Times New Roman" w:hAnsi="Times New Roman" w:eastAsia="楷体" w:cs="Times New Roman"/>
          <w:color w:val="auto"/>
          <w:sz w:val="24"/>
          <w:szCs w:val="24"/>
          <w:lang w:val="en-US" w:eastAsia="zh-CN"/>
        </w:rPr>
        <w:t>响应文件投递到达</w:t>
      </w:r>
      <w:r>
        <w:rPr>
          <w:rFonts w:hint="eastAsia" w:ascii="Times New Roman" w:hAnsi="Times New Roman" w:eastAsia="楷体" w:cs="Times New Roman"/>
          <w:color w:val="auto"/>
          <w:sz w:val="24"/>
          <w:szCs w:val="24"/>
        </w:rPr>
        <w:t>顺序决定谈判顺序和谈判时间。</w:t>
      </w:r>
    </w:p>
    <w:p w14:paraId="1EC3D384">
      <w:pPr>
        <w:spacing w:line="400" w:lineRule="exact"/>
        <w:ind w:firstLine="480" w:firstLineChars="200"/>
        <w:outlineLvl w:val="1"/>
        <w:rPr>
          <w:rFonts w:ascii="Times New Roman" w:hAnsi="Times New Roman" w:eastAsia="楷体" w:cs="Times New Roman"/>
          <w:b/>
          <w:bCs/>
          <w:color w:val="auto"/>
          <w:sz w:val="22"/>
          <w:szCs w:val="22"/>
        </w:rPr>
      </w:pPr>
      <w:r>
        <w:rPr>
          <w:rFonts w:hint="eastAsia" w:ascii="Times New Roman" w:hAnsi="Times New Roman" w:eastAsia="楷体" w:cs="Times New Roman"/>
          <w:color w:val="auto"/>
          <w:sz w:val="24"/>
          <w:szCs w:val="24"/>
        </w:rPr>
        <w:t>5.装订要求：</w:t>
      </w:r>
      <w:r>
        <w:rPr>
          <w:rFonts w:hint="eastAsia" w:ascii="Times New Roman" w:hAnsi="Times New Roman" w:eastAsia="楷体" w:cs="Times New Roman"/>
          <w:color w:val="auto"/>
          <w:sz w:val="24"/>
          <w:szCs w:val="24"/>
          <w:lang w:val="en-US" w:eastAsia="zh-CN"/>
        </w:rPr>
        <w:t>谈判响应</w:t>
      </w:r>
      <w:r>
        <w:rPr>
          <w:rFonts w:hint="eastAsia" w:ascii="Times New Roman" w:hAnsi="Times New Roman" w:eastAsia="楷体" w:cs="Times New Roman"/>
          <w:color w:val="auto"/>
          <w:sz w:val="24"/>
          <w:szCs w:val="24"/>
        </w:rPr>
        <w:t>文件用A4幅面出版，竖向左侧装订</w:t>
      </w:r>
      <w:r>
        <w:rPr>
          <w:rFonts w:hint="eastAsia" w:ascii="楷体" w:hAnsi="楷体" w:eastAsia="楷体" w:cs="Times New Roman"/>
          <w:bCs/>
          <w:color w:val="auto"/>
          <w:sz w:val="24"/>
          <w:szCs w:val="24"/>
          <w:lang w:val="en-US" w:eastAsia="zh-CN"/>
        </w:rPr>
        <w:t>（最终报价确认书无需装订，若必须来现场，则需单独携带至谈判现场填写）</w:t>
      </w:r>
      <w:r>
        <w:rPr>
          <w:rFonts w:hint="eastAsia" w:ascii="Times New Roman" w:hAnsi="Times New Roman" w:eastAsia="楷体" w:cs="Times New Roman"/>
          <w:color w:val="auto"/>
          <w:sz w:val="24"/>
          <w:szCs w:val="24"/>
        </w:rPr>
        <w:t>，</w:t>
      </w:r>
      <w:r>
        <w:rPr>
          <w:rFonts w:hint="eastAsia" w:ascii="楷体" w:hAnsi="楷体" w:eastAsia="楷体" w:cs="Times New Roman"/>
          <w:bCs/>
          <w:color w:val="auto"/>
          <w:sz w:val="24"/>
          <w:szCs w:val="24"/>
          <w:lang w:val="en-US" w:eastAsia="zh-CN"/>
        </w:rPr>
        <w:t>谈判响应文件正本要求逐页加盖公章。谈判响应文件的正本与副本（若需要）应编制目录并分别装订成册，采用热熔胶装方式装订；文件装订应牢固，并逐页标注连续页码，否则，采购人对于谈</w:t>
      </w:r>
      <w:r>
        <w:rPr>
          <w:rFonts w:hint="eastAsia" w:ascii="楷体" w:hAnsi="楷体" w:eastAsia="楷体" w:cs="Times New Roman"/>
          <w:bCs/>
          <w:color w:val="auto"/>
          <w:sz w:val="22"/>
          <w:szCs w:val="22"/>
          <w:lang w:val="en-US" w:eastAsia="zh-CN"/>
        </w:rPr>
        <w:t>判响应文件装订松散而造成的丢失或其他后果不承担任何责任。每本谈判响应文件建议采用双面打印。不按要求编制的文件有可能导致其谈判响应文件被拒绝。</w:t>
      </w:r>
      <w:r>
        <w:rPr>
          <w:rFonts w:hint="eastAsia" w:ascii="Times New Roman" w:hAnsi="Times New Roman" w:eastAsia="楷体" w:cs="Times New Roman"/>
          <w:color w:val="auto"/>
          <w:sz w:val="22"/>
          <w:szCs w:val="22"/>
        </w:rPr>
        <w:t>正本1份，电子版1份（电子资格文件和报价文件必须是签字盖章齐全的PDF格式扫描件，</w:t>
      </w:r>
      <w:r>
        <w:rPr>
          <w:rFonts w:hint="eastAsia" w:ascii="楷体" w:hAnsi="楷体" w:eastAsia="楷体" w:cs="Times New Roman"/>
          <w:bCs/>
          <w:color w:val="auto"/>
          <w:sz w:val="22"/>
          <w:szCs w:val="22"/>
          <w:lang w:val="en-US" w:eastAsia="zh-CN"/>
        </w:rPr>
        <w:t>技术文件用word或PPT格式，</w:t>
      </w:r>
      <w:r>
        <w:rPr>
          <w:rFonts w:hint="eastAsia" w:ascii="Times New Roman" w:hAnsi="Times New Roman" w:eastAsia="楷体" w:cs="Times New Roman"/>
          <w:color w:val="auto"/>
          <w:sz w:val="22"/>
          <w:szCs w:val="22"/>
        </w:rPr>
        <w:t>采用U盘存储或登录云能询比价系统http://www.hbyn.cn/上传电子版响应文件并进行报价）</w:t>
      </w:r>
      <w:r>
        <w:rPr>
          <w:rFonts w:hint="eastAsia" w:ascii="Times New Roman" w:hAnsi="Times New Roman" w:eastAsia="楷体" w:cs="Times New Roman"/>
          <w:color w:val="auto"/>
          <w:sz w:val="22"/>
          <w:szCs w:val="22"/>
          <w:lang w:eastAsia="zh-CN"/>
        </w:rPr>
        <w:t>，</w:t>
      </w:r>
      <w:r>
        <w:rPr>
          <w:rFonts w:hint="eastAsia" w:ascii="楷体" w:hAnsi="楷体" w:eastAsia="楷体" w:cs="Times New Roman"/>
          <w:bCs/>
          <w:color w:val="auto"/>
          <w:sz w:val="22"/>
          <w:szCs w:val="22"/>
          <w:lang w:val="en-US" w:eastAsia="zh-CN"/>
        </w:rPr>
        <w:t>以上资料密封包装并盖切缝章。</w:t>
      </w:r>
      <w:r>
        <w:rPr>
          <w:rFonts w:hint="eastAsia" w:ascii="Times New Roman" w:hAnsi="Times New Roman" w:eastAsia="楷体" w:cs="Times New Roman"/>
          <w:color w:val="auto"/>
          <w:sz w:val="22"/>
          <w:szCs w:val="22"/>
        </w:rPr>
        <w:t>电子版响应文件与纸质版响应文件具有相同的法律效力，若电子文档与纸质文件不一致，以纸质文件为准，响应文件因字迹潦草或表达不清所导致的后果由报价单位自行负责。</w:t>
      </w:r>
      <w:bookmarkEnd w:id="17"/>
      <w:bookmarkEnd w:id="18"/>
    </w:p>
    <w:p w14:paraId="5A8857FD">
      <w:pPr>
        <w:spacing w:line="400" w:lineRule="exact"/>
        <w:ind w:firstLine="442" w:firstLineChars="200"/>
        <w:outlineLvl w:val="1"/>
        <w:rPr>
          <w:rFonts w:ascii="Times New Roman" w:hAnsi="Times New Roman" w:eastAsia="楷体" w:cs="Times New Roman"/>
          <w:b/>
          <w:bCs/>
          <w:color w:val="auto"/>
          <w:sz w:val="22"/>
          <w:szCs w:val="22"/>
        </w:rPr>
      </w:pPr>
      <w:bookmarkStart w:id="19" w:name="_Toc8714_WPSOffice_Level2"/>
      <w:bookmarkStart w:id="20" w:name="_Toc13248"/>
      <w:bookmarkStart w:id="21" w:name="_Toc88645056"/>
      <w:r>
        <w:rPr>
          <w:rFonts w:hint="eastAsia" w:ascii="Times New Roman" w:hAnsi="Times New Roman" w:eastAsia="楷体" w:cs="Times New Roman"/>
          <w:b/>
          <w:bCs/>
          <w:color w:val="auto"/>
          <w:sz w:val="22"/>
          <w:szCs w:val="22"/>
          <w:lang w:val="en-US" w:eastAsia="zh-CN"/>
        </w:rPr>
        <w:t>五</w:t>
      </w:r>
      <w:r>
        <w:rPr>
          <w:rFonts w:ascii="Times New Roman" w:hAnsi="Times New Roman" w:eastAsia="楷体" w:cs="Times New Roman"/>
          <w:b/>
          <w:bCs/>
          <w:color w:val="auto"/>
          <w:sz w:val="22"/>
          <w:szCs w:val="22"/>
        </w:rPr>
        <w:t>、其他相关事宜</w:t>
      </w:r>
      <w:bookmarkEnd w:id="19"/>
      <w:bookmarkEnd w:id="20"/>
      <w:bookmarkEnd w:id="21"/>
    </w:p>
    <w:p w14:paraId="445916AE">
      <w:pPr>
        <w:spacing w:line="400" w:lineRule="exact"/>
        <w:ind w:firstLine="220" w:firstLineChars="100"/>
        <w:rPr>
          <w:rFonts w:ascii="Times New Roman" w:hAnsi="Times New Roman" w:eastAsia="楷体" w:cs="Times New Roman"/>
          <w:color w:val="auto"/>
          <w:sz w:val="22"/>
          <w:szCs w:val="22"/>
        </w:rPr>
      </w:pPr>
      <w:r>
        <w:rPr>
          <w:rFonts w:hint="eastAsia" w:ascii="Times New Roman" w:hAnsi="Times New Roman" w:eastAsia="楷体" w:cs="Times New Roman"/>
          <w:color w:val="auto"/>
          <w:sz w:val="22"/>
          <w:szCs w:val="22"/>
          <w:lang w:eastAsia="zh-CN"/>
        </w:rPr>
        <w:t>（</w:t>
      </w:r>
      <w:r>
        <w:rPr>
          <w:rFonts w:hint="eastAsia" w:ascii="Times New Roman" w:hAnsi="Times New Roman" w:eastAsia="楷体" w:cs="Times New Roman"/>
          <w:color w:val="auto"/>
          <w:sz w:val="22"/>
          <w:szCs w:val="22"/>
          <w:lang w:val="en-US" w:eastAsia="zh-CN"/>
        </w:rPr>
        <w:t>一）</w:t>
      </w:r>
      <w:r>
        <w:rPr>
          <w:rFonts w:ascii="Times New Roman" w:hAnsi="Times New Roman" w:eastAsia="楷体" w:cs="Times New Roman"/>
          <w:color w:val="auto"/>
          <w:sz w:val="22"/>
          <w:szCs w:val="22"/>
        </w:rPr>
        <w:t>本次评审以所报密封资料为依据。</w:t>
      </w:r>
    </w:p>
    <w:p w14:paraId="706299D5">
      <w:pPr>
        <w:spacing w:line="400" w:lineRule="exact"/>
        <w:ind w:firstLine="220" w:firstLineChars="100"/>
        <w:rPr>
          <w:rFonts w:hint="eastAsia" w:ascii="Times New Roman" w:hAnsi="Times New Roman" w:eastAsia="楷体" w:cs="Times New Roman"/>
          <w:color w:val="auto"/>
          <w:sz w:val="22"/>
          <w:szCs w:val="22"/>
          <w:lang w:eastAsia="zh-CN"/>
        </w:rPr>
      </w:pPr>
      <w:r>
        <w:rPr>
          <w:rFonts w:hint="eastAsia" w:ascii="Times New Roman" w:hAnsi="Times New Roman" w:eastAsia="楷体" w:cs="Times New Roman"/>
          <w:color w:val="auto"/>
          <w:sz w:val="22"/>
          <w:szCs w:val="22"/>
          <w:lang w:eastAsia="zh-CN"/>
        </w:rPr>
        <w:t>（</w:t>
      </w:r>
      <w:r>
        <w:rPr>
          <w:rFonts w:hint="eastAsia" w:ascii="Times New Roman" w:hAnsi="Times New Roman" w:eastAsia="楷体" w:cs="Times New Roman"/>
          <w:color w:val="auto"/>
          <w:sz w:val="22"/>
          <w:szCs w:val="22"/>
          <w:lang w:val="en-US" w:eastAsia="zh-CN"/>
        </w:rPr>
        <w:t>二）如果申请人未能在规定时间提交材料，视为贵公司放弃参与此次竞争性谈判。</w:t>
      </w:r>
    </w:p>
    <w:p w14:paraId="0E54334C">
      <w:pPr>
        <w:spacing w:line="400" w:lineRule="exact"/>
        <w:ind w:firstLine="220" w:firstLineChars="100"/>
        <w:rPr>
          <w:rFonts w:hint="eastAsia" w:ascii="Times New Roman" w:hAnsi="Times New Roman" w:eastAsia="楷体" w:cs="Times New Roman"/>
          <w:color w:val="auto"/>
          <w:sz w:val="22"/>
          <w:szCs w:val="22"/>
          <w:lang w:eastAsia="zh-CN"/>
        </w:rPr>
      </w:pPr>
      <w:r>
        <w:rPr>
          <w:rFonts w:hint="eastAsia" w:ascii="Times New Roman" w:hAnsi="Times New Roman" w:eastAsia="楷体" w:cs="Times New Roman"/>
          <w:color w:val="auto"/>
          <w:sz w:val="22"/>
          <w:szCs w:val="22"/>
          <w:lang w:eastAsia="zh-CN"/>
        </w:rPr>
        <w:t>（</w:t>
      </w:r>
      <w:r>
        <w:rPr>
          <w:rFonts w:hint="eastAsia" w:ascii="Times New Roman" w:hAnsi="Times New Roman" w:eastAsia="楷体" w:cs="Times New Roman"/>
          <w:color w:val="auto"/>
          <w:sz w:val="22"/>
          <w:szCs w:val="22"/>
          <w:lang w:val="en-US" w:eastAsia="zh-CN"/>
        </w:rPr>
        <w:t>三）参与此次竞争性谈判的费用自理。</w:t>
      </w:r>
    </w:p>
    <w:p w14:paraId="6A056E9C">
      <w:pPr>
        <w:spacing w:line="400" w:lineRule="exact"/>
        <w:ind w:firstLine="220" w:firstLineChars="100"/>
        <w:rPr>
          <w:rFonts w:hint="eastAsia" w:ascii="Times New Roman" w:hAnsi="Times New Roman" w:eastAsia="楷体" w:cs="Times New Roman"/>
          <w:color w:val="auto"/>
          <w:sz w:val="22"/>
          <w:szCs w:val="22"/>
          <w:lang w:eastAsia="zh-CN"/>
        </w:rPr>
      </w:pPr>
      <w:r>
        <w:rPr>
          <w:rFonts w:hint="eastAsia" w:ascii="Times New Roman" w:hAnsi="Times New Roman" w:eastAsia="楷体" w:cs="Times New Roman"/>
          <w:color w:val="auto"/>
          <w:sz w:val="22"/>
          <w:szCs w:val="22"/>
          <w:lang w:eastAsia="zh-CN"/>
        </w:rPr>
        <w:t>（</w:t>
      </w:r>
      <w:r>
        <w:rPr>
          <w:rFonts w:hint="eastAsia" w:ascii="Times New Roman" w:hAnsi="Times New Roman" w:eastAsia="楷体" w:cs="Times New Roman"/>
          <w:color w:val="auto"/>
          <w:sz w:val="22"/>
          <w:szCs w:val="22"/>
          <w:lang w:val="en-US" w:eastAsia="zh-CN"/>
        </w:rPr>
        <w:t>四)</w:t>
      </w:r>
      <w:r>
        <w:rPr>
          <w:rFonts w:hint="eastAsia" w:ascii="Times New Roman" w:hAnsi="Times New Roman" w:eastAsia="楷体" w:cs="Times New Roman"/>
          <w:color w:val="auto"/>
          <w:sz w:val="22"/>
          <w:szCs w:val="22"/>
          <w:lang w:eastAsia="zh-CN"/>
        </w:rPr>
        <w:t>其他未尽事宜请及时联系。</w:t>
      </w:r>
    </w:p>
    <w:p w14:paraId="2A395039">
      <w:pPr>
        <w:spacing w:line="400" w:lineRule="exact"/>
        <w:ind w:firstLine="442" w:firstLineChars="200"/>
        <w:outlineLvl w:val="1"/>
        <w:rPr>
          <w:rFonts w:ascii="Times New Roman" w:hAnsi="Times New Roman" w:eastAsia="楷体" w:cs="Times New Roman"/>
          <w:b/>
          <w:bCs/>
          <w:color w:val="auto"/>
          <w:sz w:val="22"/>
          <w:szCs w:val="22"/>
        </w:rPr>
      </w:pPr>
      <w:bookmarkStart w:id="22" w:name="_Toc4804"/>
      <w:bookmarkStart w:id="23" w:name="_Toc88645057"/>
      <w:r>
        <w:rPr>
          <w:rFonts w:hint="eastAsia" w:ascii="Times New Roman" w:hAnsi="Times New Roman" w:eastAsia="楷体" w:cs="Times New Roman"/>
          <w:b/>
          <w:bCs/>
          <w:color w:val="auto"/>
          <w:sz w:val="22"/>
          <w:szCs w:val="22"/>
          <w:lang w:val="en-US" w:eastAsia="zh-CN"/>
        </w:rPr>
        <w:t>六</w:t>
      </w:r>
      <w:r>
        <w:rPr>
          <w:rFonts w:ascii="Times New Roman" w:hAnsi="Times New Roman" w:eastAsia="楷体" w:cs="Times New Roman"/>
          <w:b/>
          <w:bCs/>
          <w:color w:val="auto"/>
          <w:sz w:val="22"/>
          <w:szCs w:val="22"/>
        </w:rPr>
        <w:t>、联系方式</w:t>
      </w:r>
      <w:bookmarkEnd w:id="22"/>
      <w:bookmarkEnd w:id="23"/>
    </w:p>
    <w:p w14:paraId="5B225B57">
      <w:pPr>
        <w:spacing w:line="400" w:lineRule="exact"/>
        <w:ind w:firstLine="440" w:firstLineChars="200"/>
        <w:rPr>
          <w:rFonts w:hint="eastAsia" w:ascii="Times New Roman" w:hAnsi="Times New Roman" w:eastAsia="楷体" w:cs="Times New Roman"/>
          <w:color w:val="auto"/>
          <w:sz w:val="22"/>
          <w:szCs w:val="22"/>
          <w:lang w:eastAsia="zh-CN"/>
        </w:rPr>
      </w:pPr>
      <w:r>
        <w:rPr>
          <w:rFonts w:ascii="Times New Roman" w:hAnsi="Times New Roman" w:eastAsia="楷体" w:cs="Times New Roman"/>
          <w:color w:val="auto"/>
          <w:sz w:val="22"/>
          <w:szCs w:val="22"/>
        </w:rPr>
        <w:t>采购人：</w:t>
      </w:r>
      <w:r>
        <w:rPr>
          <w:rFonts w:hint="eastAsia" w:ascii="Times New Roman" w:hAnsi="Times New Roman" w:eastAsia="楷体" w:cs="Times New Roman"/>
          <w:color w:val="auto"/>
          <w:sz w:val="22"/>
          <w:szCs w:val="22"/>
          <w:lang w:eastAsia="zh-CN"/>
        </w:rPr>
        <w:t>河北协鑫新能源有限公司</w:t>
      </w:r>
    </w:p>
    <w:p w14:paraId="64D7BFF4">
      <w:pPr>
        <w:spacing w:line="400" w:lineRule="exact"/>
        <w:ind w:firstLine="440" w:firstLineChars="200"/>
        <w:rPr>
          <w:rFonts w:ascii="Times New Roman" w:hAnsi="Times New Roman" w:eastAsia="楷体" w:cs="Times New Roman"/>
          <w:color w:val="auto"/>
          <w:sz w:val="22"/>
          <w:szCs w:val="22"/>
        </w:rPr>
      </w:pPr>
      <w:r>
        <w:rPr>
          <w:rFonts w:ascii="Times New Roman" w:hAnsi="Times New Roman" w:eastAsia="楷体" w:cs="Times New Roman"/>
          <w:color w:val="auto"/>
          <w:sz w:val="22"/>
          <w:szCs w:val="22"/>
        </w:rPr>
        <w:t>采购人地址：</w:t>
      </w:r>
      <w:r>
        <w:rPr>
          <w:rFonts w:hint="eastAsia" w:ascii="Times New Roman" w:hAnsi="Times New Roman" w:eastAsia="楷体" w:cs="Times New Roman"/>
          <w:color w:val="auto"/>
          <w:sz w:val="22"/>
          <w:szCs w:val="22"/>
        </w:rPr>
        <w:t>石家庄市桥西区自强路中交财富中心1号楼701室</w:t>
      </w:r>
    </w:p>
    <w:p w14:paraId="01E3E1A5">
      <w:pPr>
        <w:spacing w:line="400" w:lineRule="exact"/>
        <w:ind w:firstLine="440" w:firstLineChars="200"/>
        <w:rPr>
          <w:rFonts w:hint="eastAsia" w:ascii="Times New Roman" w:hAnsi="Times New Roman" w:eastAsia="楷体" w:cs="Times New Roman"/>
          <w:color w:val="auto"/>
          <w:sz w:val="22"/>
          <w:szCs w:val="22"/>
          <w:lang w:eastAsia="zh-CN"/>
        </w:rPr>
      </w:pPr>
      <w:r>
        <w:rPr>
          <w:rFonts w:ascii="Times New Roman" w:hAnsi="Times New Roman" w:eastAsia="楷体" w:cs="Times New Roman"/>
          <w:color w:val="auto"/>
          <w:sz w:val="22"/>
          <w:szCs w:val="22"/>
        </w:rPr>
        <w:t>联系人：</w:t>
      </w:r>
      <w:r>
        <w:rPr>
          <w:rFonts w:hint="eastAsia" w:ascii="Times New Roman" w:hAnsi="Times New Roman" w:eastAsia="楷体" w:cs="Times New Roman"/>
          <w:color w:val="auto"/>
          <w:sz w:val="22"/>
          <w:szCs w:val="22"/>
        </w:rPr>
        <w:t>郝</w:t>
      </w:r>
      <w:r>
        <w:rPr>
          <w:rFonts w:hint="eastAsia" w:ascii="Times New Roman" w:hAnsi="Times New Roman" w:eastAsia="楷体" w:cs="Times New Roman"/>
          <w:color w:val="auto"/>
          <w:sz w:val="22"/>
          <w:szCs w:val="22"/>
          <w:lang w:val="en-US" w:eastAsia="zh-CN"/>
        </w:rPr>
        <w:t>老师</w:t>
      </w:r>
    </w:p>
    <w:p w14:paraId="5C640820">
      <w:pPr>
        <w:spacing w:line="400" w:lineRule="exact"/>
        <w:ind w:firstLine="440" w:firstLineChars="200"/>
        <w:rPr>
          <w:rFonts w:ascii="Times New Roman" w:hAnsi="Times New Roman" w:eastAsia="楷体" w:cs="Times New Roman"/>
          <w:color w:val="auto"/>
          <w:sz w:val="22"/>
          <w:szCs w:val="22"/>
        </w:rPr>
      </w:pPr>
      <w:r>
        <w:rPr>
          <w:rFonts w:ascii="Times New Roman" w:hAnsi="Times New Roman" w:eastAsia="楷体" w:cs="Times New Roman"/>
          <w:color w:val="auto"/>
          <w:sz w:val="22"/>
          <w:szCs w:val="22"/>
        </w:rPr>
        <w:t>电 话：</w:t>
      </w:r>
      <w:r>
        <w:rPr>
          <w:rFonts w:hint="eastAsia" w:ascii="Times New Roman" w:hAnsi="Times New Roman" w:eastAsia="楷体" w:cs="Times New Roman"/>
          <w:color w:val="auto"/>
          <w:sz w:val="22"/>
          <w:szCs w:val="22"/>
        </w:rPr>
        <w:t>15632131183</w:t>
      </w:r>
    </w:p>
    <w:p w14:paraId="4DF34544">
      <w:pPr>
        <w:spacing w:line="400" w:lineRule="exact"/>
        <w:ind w:firstLine="440" w:firstLineChars="200"/>
        <w:rPr>
          <w:rFonts w:hint="eastAsia" w:ascii="楷体" w:hAnsi="楷体" w:eastAsia="楷体" w:cs="Times New Roman"/>
          <w:b/>
          <w:bCs w:val="0"/>
          <w:color w:val="auto"/>
          <w:sz w:val="22"/>
          <w:szCs w:val="22"/>
          <w:lang w:val="en-US" w:eastAsia="zh-CN"/>
        </w:rPr>
      </w:pPr>
      <w:r>
        <w:rPr>
          <w:rFonts w:hint="eastAsia" w:ascii="Times New Roman" w:hAnsi="Times New Roman" w:eastAsia="楷体" w:cs="Times New Roman"/>
          <w:color w:val="auto"/>
          <w:sz w:val="22"/>
          <w:szCs w:val="22"/>
          <w:lang w:val="en-US" w:eastAsia="zh-CN"/>
        </w:rPr>
        <w:t xml:space="preserve">邮箱： </w:t>
      </w:r>
      <w:r>
        <w:rPr>
          <w:rFonts w:hint="eastAsia" w:ascii="Times New Roman" w:hAnsi="Times New Roman" w:eastAsia="楷体" w:cs="Times New Roman"/>
          <w:color w:val="auto"/>
          <w:sz w:val="22"/>
          <w:szCs w:val="22"/>
          <w:lang w:eastAsia="zh-CN"/>
        </w:rPr>
        <w:t>haojf40818@cnyeig.com</w:t>
      </w:r>
    </w:p>
    <w:p w14:paraId="7A224994">
      <w:pPr>
        <w:snapToGrid w:val="0"/>
        <w:spacing w:line="300" w:lineRule="auto"/>
        <w:ind w:firstLine="442" w:firstLineChars="200"/>
        <w:rPr>
          <w:rFonts w:hint="eastAsia" w:ascii="Times New Roman" w:hAnsi="Times New Roman" w:eastAsia="楷体" w:cs="Times New Roman"/>
          <w:color w:val="auto"/>
          <w:sz w:val="22"/>
          <w:szCs w:val="22"/>
          <w:lang w:eastAsia="zh-CN"/>
        </w:rPr>
      </w:pPr>
      <w:r>
        <w:rPr>
          <w:rFonts w:hint="eastAsia" w:ascii="楷体" w:hAnsi="楷体" w:eastAsia="楷体" w:cs="Times New Roman"/>
          <w:b/>
          <w:bCs w:val="0"/>
          <w:color w:val="auto"/>
          <w:sz w:val="22"/>
          <w:szCs w:val="22"/>
          <w:lang w:val="en-US" w:eastAsia="zh-CN"/>
        </w:rPr>
        <w:t>七、附件：竞争性谈判参与确函</w:t>
      </w:r>
    </w:p>
    <w:p w14:paraId="1B52107F">
      <w:pPr>
        <w:spacing w:line="400" w:lineRule="exact"/>
        <w:ind w:firstLine="440" w:firstLineChars="200"/>
        <w:jc w:val="right"/>
        <w:rPr>
          <w:rFonts w:hint="eastAsia" w:ascii="Times New Roman" w:hAnsi="Times New Roman" w:eastAsia="楷体" w:cs="Times New Roman"/>
          <w:color w:val="auto"/>
          <w:sz w:val="22"/>
          <w:szCs w:val="22"/>
          <w:lang w:eastAsia="zh-CN"/>
        </w:rPr>
      </w:pPr>
      <w:r>
        <w:rPr>
          <w:rFonts w:hint="eastAsia" w:ascii="Times New Roman" w:hAnsi="Times New Roman" w:eastAsia="楷体" w:cs="Times New Roman"/>
          <w:color w:val="auto"/>
          <w:sz w:val="22"/>
          <w:szCs w:val="22"/>
          <w:lang w:eastAsia="zh-CN"/>
        </w:rPr>
        <w:t>河北协鑫新能源有限公司</w:t>
      </w:r>
    </w:p>
    <w:p w14:paraId="498C57DF">
      <w:pPr>
        <w:spacing w:line="400" w:lineRule="exact"/>
        <w:ind w:firstLine="440" w:firstLineChars="200"/>
        <w:jc w:val="center"/>
        <w:rPr>
          <w:rFonts w:hint="eastAsia" w:ascii="楷体" w:hAnsi="楷体" w:eastAsia="楷体" w:cs="Times New Roman"/>
          <w:b/>
          <w:bCs w:val="0"/>
          <w:color w:val="0000FF"/>
          <w:sz w:val="22"/>
          <w:szCs w:val="22"/>
          <w:lang w:val="en-US" w:eastAsia="zh-CN"/>
        </w:rPr>
      </w:pPr>
      <w:r>
        <w:rPr>
          <w:rFonts w:ascii="Times New Roman" w:hAnsi="Times New Roman" w:eastAsia="楷体" w:cs="Times New Roman"/>
          <w:color w:val="auto"/>
          <w:sz w:val="22"/>
          <w:szCs w:val="22"/>
        </w:rPr>
        <w:t xml:space="preserve">                                        </w:t>
      </w:r>
      <w:r>
        <w:rPr>
          <w:rFonts w:hint="eastAsia" w:ascii="Times New Roman" w:hAnsi="Times New Roman" w:eastAsia="楷体" w:cs="Times New Roman"/>
          <w:color w:val="auto"/>
          <w:sz w:val="22"/>
          <w:szCs w:val="22"/>
        </w:rPr>
        <w:t xml:space="preserve">       </w:t>
      </w:r>
      <w:r>
        <w:rPr>
          <w:rFonts w:ascii="Times New Roman" w:hAnsi="Times New Roman" w:eastAsia="楷体" w:cs="Times New Roman"/>
          <w:color w:val="auto"/>
          <w:sz w:val="22"/>
          <w:szCs w:val="22"/>
        </w:rPr>
        <w:t>202</w:t>
      </w:r>
      <w:r>
        <w:rPr>
          <w:rFonts w:hint="eastAsia" w:ascii="Times New Roman" w:hAnsi="Times New Roman" w:eastAsia="楷体" w:cs="Times New Roman"/>
          <w:color w:val="auto"/>
          <w:sz w:val="22"/>
          <w:szCs w:val="22"/>
          <w:lang w:val="en-US" w:eastAsia="zh-CN"/>
        </w:rPr>
        <w:t>4</w:t>
      </w:r>
      <w:r>
        <w:rPr>
          <w:rFonts w:ascii="Times New Roman" w:hAnsi="Times New Roman" w:eastAsia="楷体" w:cs="Times New Roman"/>
          <w:color w:val="auto"/>
          <w:sz w:val="22"/>
          <w:szCs w:val="22"/>
        </w:rPr>
        <w:t>年</w:t>
      </w:r>
      <w:r>
        <w:rPr>
          <w:rFonts w:hint="eastAsia" w:ascii="Times New Roman" w:hAnsi="Times New Roman" w:eastAsia="楷体" w:cs="Times New Roman"/>
          <w:color w:val="0000FF"/>
          <w:sz w:val="22"/>
          <w:szCs w:val="22"/>
          <w:lang w:val="en-US" w:eastAsia="zh-CN"/>
        </w:rPr>
        <w:t>9</w:t>
      </w:r>
      <w:r>
        <w:rPr>
          <w:rFonts w:ascii="Times New Roman" w:hAnsi="Times New Roman" w:eastAsia="楷体" w:cs="Times New Roman"/>
          <w:color w:val="0000FF"/>
          <w:sz w:val="22"/>
          <w:szCs w:val="22"/>
        </w:rPr>
        <w:t>月</w:t>
      </w:r>
      <w:r>
        <w:rPr>
          <w:rFonts w:hint="eastAsia" w:ascii="Times New Roman" w:hAnsi="Times New Roman" w:eastAsia="楷体" w:cs="Times New Roman"/>
          <w:color w:val="0000FF"/>
          <w:sz w:val="22"/>
          <w:szCs w:val="22"/>
          <w:lang w:val="en-US" w:eastAsia="zh-CN"/>
        </w:rPr>
        <w:t>28</w:t>
      </w:r>
      <w:r>
        <w:rPr>
          <w:rFonts w:ascii="Times New Roman" w:hAnsi="Times New Roman" w:eastAsia="楷体" w:cs="Times New Roman"/>
          <w:color w:val="0000FF"/>
          <w:sz w:val="22"/>
          <w:szCs w:val="22"/>
        </w:rPr>
        <w:t>日</w:t>
      </w:r>
      <w:bookmarkEnd w:id="5"/>
    </w:p>
    <w:p w14:paraId="38C636B5">
      <w:pPr>
        <w:snapToGrid w:val="0"/>
        <w:spacing w:line="300" w:lineRule="auto"/>
        <w:ind w:firstLine="2871" w:firstLineChars="1300"/>
        <w:rPr>
          <w:rFonts w:hint="eastAsia" w:ascii="楷体" w:hAnsi="楷体" w:eastAsia="楷体" w:cs="Times New Roman"/>
          <w:b/>
          <w:bCs w:val="0"/>
          <w:color w:val="auto"/>
          <w:sz w:val="22"/>
          <w:szCs w:val="22"/>
          <w:lang w:val="en-US" w:eastAsia="zh-CN"/>
        </w:rPr>
      </w:pPr>
    </w:p>
    <w:p w14:paraId="4464E971">
      <w:pPr>
        <w:snapToGrid w:val="0"/>
        <w:spacing w:line="300" w:lineRule="auto"/>
        <w:ind w:firstLine="2871" w:firstLineChars="1300"/>
        <w:rPr>
          <w:rFonts w:hint="eastAsia" w:ascii="楷体" w:hAnsi="楷体" w:eastAsia="楷体" w:cs="Times New Roman"/>
          <w:bCs/>
          <w:color w:val="auto"/>
          <w:sz w:val="22"/>
          <w:szCs w:val="22"/>
        </w:rPr>
      </w:pPr>
      <w:r>
        <w:rPr>
          <w:rFonts w:hint="eastAsia" w:ascii="楷体" w:hAnsi="楷体" w:eastAsia="楷体" w:cs="Times New Roman"/>
          <w:b/>
          <w:bCs w:val="0"/>
          <w:color w:val="auto"/>
          <w:sz w:val="22"/>
          <w:szCs w:val="22"/>
          <w:lang w:val="en-US" w:eastAsia="zh-CN"/>
        </w:rPr>
        <w:t>竞争性谈判参与确认函</w:t>
      </w:r>
    </w:p>
    <w:p w14:paraId="250D679F">
      <w:pPr>
        <w:snapToGrid w:val="0"/>
        <w:spacing w:line="300" w:lineRule="auto"/>
        <w:rPr>
          <w:rFonts w:hint="eastAsia" w:ascii="楷体" w:hAnsi="楷体" w:eastAsia="楷体" w:cs="Times New Roman"/>
          <w:bCs/>
          <w:color w:val="auto"/>
          <w:sz w:val="22"/>
          <w:szCs w:val="22"/>
        </w:rPr>
      </w:pPr>
      <w:r>
        <w:rPr>
          <w:rFonts w:hint="eastAsia" w:ascii="楷体" w:hAnsi="楷体" w:eastAsia="楷体" w:cs="Times New Roman"/>
          <w:bCs/>
          <w:color w:val="auto"/>
          <w:sz w:val="22"/>
          <w:szCs w:val="22"/>
          <w:lang w:val="en-US" w:eastAsia="zh-CN"/>
        </w:rPr>
        <w:t> </w:t>
      </w:r>
    </w:p>
    <w:p w14:paraId="3FCC9160">
      <w:pPr>
        <w:snapToGrid w:val="0"/>
        <w:spacing w:line="300" w:lineRule="auto"/>
        <w:rPr>
          <w:rFonts w:hint="eastAsia" w:ascii="楷体" w:hAnsi="楷体" w:eastAsia="楷体" w:cs="Times New Roman"/>
          <w:bCs/>
          <w:color w:val="auto"/>
          <w:sz w:val="22"/>
          <w:szCs w:val="22"/>
        </w:rPr>
      </w:pPr>
      <w:r>
        <w:rPr>
          <w:rFonts w:hint="eastAsia" w:ascii="楷体" w:hAnsi="楷体" w:eastAsia="楷体" w:cs="Times New Roman"/>
          <w:bCs/>
          <w:color w:val="auto"/>
          <w:sz w:val="22"/>
          <w:szCs w:val="22"/>
          <w:lang w:val="en-US" w:eastAsia="zh-CN"/>
        </w:rPr>
        <w:t>河北协鑫新能源有限公司：</w:t>
      </w:r>
    </w:p>
    <w:p w14:paraId="0FF0C229">
      <w:pPr>
        <w:snapToGrid w:val="0"/>
        <w:spacing w:line="300" w:lineRule="auto"/>
        <w:ind w:firstLine="440" w:firstLineChars="200"/>
        <w:rPr>
          <w:rFonts w:hint="eastAsia" w:ascii="楷体" w:hAnsi="楷体" w:eastAsia="楷体" w:cs="Times New Roman"/>
          <w:bCs/>
          <w:color w:val="auto"/>
          <w:sz w:val="22"/>
          <w:szCs w:val="22"/>
        </w:rPr>
      </w:pPr>
      <w:r>
        <w:rPr>
          <w:rFonts w:hint="eastAsia" w:ascii="楷体" w:hAnsi="楷体" w:eastAsia="楷体" w:cs="Times New Roman"/>
          <w:bCs/>
          <w:color w:val="auto"/>
          <w:sz w:val="22"/>
          <w:szCs w:val="22"/>
          <w:lang w:val="en-US" w:eastAsia="zh-CN"/>
        </w:rPr>
        <w:t>我单位对贵公司所辖项目电站35kV变压器检测及维修框架项目的竞争性谈判公告已知悉，我单位将按公告要求参加贵公司此项采购活动，并作出以下承诺：</w:t>
      </w:r>
    </w:p>
    <w:p w14:paraId="6103FC97">
      <w:pPr>
        <w:snapToGrid w:val="0"/>
        <w:spacing w:line="300" w:lineRule="auto"/>
        <w:rPr>
          <w:rFonts w:hint="eastAsia" w:ascii="楷体" w:hAnsi="楷体" w:eastAsia="楷体" w:cs="Times New Roman"/>
          <w:bCs/>
          <w:color w:val="auto"/>
          <w:sz w:val="22"/>
          <w:szCs w:val="22"/>
        </w:rPr>
      </w:pPr>
      <w:r>
        <w:rPr>
          <w:rFonts w:hint="eastAsia" w:ascii="楷体" w:hAnsi="楷体" w:eastAsia="楷体" w:cs="Times New Roman"/>
          <w:bCs/>
          <w:color w:val="auto"/>
          <w:sz w:val="22"/>
          <w:szCs w:val="22"/>
          <w:lang w:val="en-US" w:eastAsia="zh-CN"/>
        </w:rPr>
        <w:t>1.我单位提供的相关服务不会构成对任何第三方的专利、版权、商标权、商业秘密等知识产权或其他财产权利的侵犯；我单位对服务期间知悉的涉及采购人发展战略、经营决策、企业管理、商业机密等内容进行严格保密；如有上述情况发生，责任由我单位承担。</w:t>
      </w:r>
    </w:p>
    <w:p w14:paraId="4C7B56AB">
      <w:pPr>
        <w:snapToGrid w:val="0"/>
        <w:spacing w:line="300" w:lineRule="auto"/>
        <w:rPr>
          <w:rFonts w:hint="eastAsia" w:ascii="楷体" w:hAnsi="楷体" w:eastAsia="楷体" w:cs="Times New Roman"/>
          <w:bCs/>
          <w:color w:val="auto"/>
          <w:sz w:val="22"/>
          <w:szCs w:val="22"/>
        </w:rPr>
      </w:pPr>
      <w:r>
        <w:rPr>
          <w:rFonts w:hint="eastAsia" w:ascii="楷体" w:hAnsi="楷体" w:eastAsia="楷体" w:cs="Times New Roman"/>
          <w:bCs/>
          <w:color w:val="auto"/>
          <w:sz w:val="22"/>
          <w:szCs w:val="22"/>
          <w:lang w:val="en-US" w:eastAsia="zh-CN"/>
        </w:rPr>
        <w:t>2.我单位不属于与采购人存在利害关系可能影响采购公正性的法人、其他组织或者个人。</w:t>
      </w:r>
    </w:p>
    <w:p w14:paraId="73061AFA">
      <w:pPr>
        <w:snapToGrid w:val="0"/>
        <w:spacing w:line="300" w:lineRule="auto"/>
        <w:rPr>
          <w:rFonts w:hint="eastAsia" w:ascii="楷体" w:hAnsi="楷体" w:eastAsia="楷体" w:cs="Times New Roman"/>
          <w:bCs/>
          <w:color w:val="auto"/>
          <w:sz w:val="22"/>
          <w:szCs w:val="22"/>
        </w:rPr>
      </w:pPr>
      <w:r>
        <w:rPr>
          <w:rFonts w:hint="eastAsia" w:ascii="楷体" w:hAnsi="楷体" w:eastAsia="楷体" w:cs="Times New Roman"/>
          <w:bCs/>
          <w:color w:val="auto"/>
          <w:sz w:val="22"/>
          <w:szCs w:val="22"/>
          <w:lang w:val="en-US" w:eastAsia="zh-CN"/>
        </w:rPr>
        <w:t> </w:t>
      </w:r>
    </w:p>
    <w:p w14:paraId="49F84F54">
      <w:pPr>
        <w:snapToGrid w:val="0"/>
        <w:spacing w:line="300" w:lineRule="auto"/>
        <w:jc w:val="center"/>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xml:space="preserve">                                   XX单位</w:t>
      </w:r>
    </w:p>
    <w:p w14:paraId="2EF55D15">
      <w:pPr>
        <w:snapToGrid w:val="0"/>
        <w:spacing w:line="300" w:lineRule="auto"/>
        <w:jc w:val="center"/>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xml:space="preserve">                                   （单位盖章）</w:t>
      </w:r>
    </w:p>
    <w:p w14:paraId="6806A6CF">
      <w:pPr>
        <w:snapToGrid w:val="0"/>
        <w:spacing w:line="300" w:lineRule="auto"/>
        <w:jc w:val="center"/>
        <w:rPr>
          <w:rFonts w:hint="eastAsia" w:ascii="楷体" w:hAnsi="楷体" w:eastAsia="楷体" w:cs="Times New Roman"/>
          <w:bCs/>
          <w:color w:val="auto"/>
          <w:sz w:val="24"/>
          <w:szCs w:val="24"/>
        </w:rPr>
      </w:pPr>
      <w:r>
        <w:rPr>
          <w:rFonts w:hint="eastAsia" w:ascii="楷体" w:hAnsi="楷体" w:eastAsia="楷体" w:cs="Times New Roman"/>
          <w:bCs/>
          <w:color w:val="auto"/>
          <w:sz w:val="24"/>
          <w:szCs w:val="24"/>
          <w:lang w:val="en-US" w:eastAsia="zh-CN"/>
        </w:rPr>
        <w:t xml:space="preserve">                                  202X年X月X日</w:t>
      </w:r>
    </w:p>
    <w:p w14:paraId="1C1FF4A0">
      <w:pPr>
        <w:spacing w:line="400" w:lineRule="exact"/>
        <w:ind w:firstLine="480" w:firstLineChars="200"/>
        <w:jc w:val="center"/>
        <w:rPr>
          <w:rFonts w:ascii="Times New Roman" w:hAnsi="Times New Roman" w:eastAsia="楷体" w:cs="Times New Roman"/>
          <w:color w:val="0000FF"/>
          <w:sz w:val="24"/>
          <w:szCs w:val="24"/>
        </w:rPr>
      </w:pPr>
    </w:p>
    <w:p w14:paraId="692D3F88">
      <w:pPr>
        <w:spacing w:line="400" w:lineRule="exact"/>
        <w:ind w:firstLine="422" w:firstLineChars="200"/>
        <w:jc w:val="center"/>
        <w:rPr>
          <w:rFonts w:ascii="Times New Roman" w:hAnsi="Times New Roman" w:eastAsia="楷体" w:cs="Times New Roman"/>
          <w:b/>
          <w:color w:val="0000FF"/>
          <w:szCs w:val="21"/>
          <w:lang w:bidi="en-US"/>
        </w:rPr>
      </w:pPr>
      <w:r>
        <w:rPr>
          <w:rFonts w:ascii="Times New Roman" w:hAnsi="Times New Roman" w:eastAsia="楷体" w:cs="Times New Roman"/>
          <w:b/>
          <w:color w:val="0000FF"/>
          <w:szCs w:val="21"/>
          <w:lang w:bidi="en-US"/>
        </w:rPr>
        <w:br w:type="page"/>
      </w:r>
    </w:p>
    <w:p w14:paraId="1FC86E07">
      <w:pPr>
        <w:keepNext/>
        <w:snapToGrid w:val="0"/>
        <w:spacing w:line="400" w:lineRule="exact"/>
        <w:ind w:firstLine="643" w:firstLineChars="200"/>
        <w:jc w:val="center"/>
        <w:outlineLvl w:val="0"/>
        <w:rPr>
          <w:rFonts w:ascii="Times New Roman" w:hAnsi="Times New Roman" w:eastAsia="楷体" w:cs="Times New Roman"/>
          <w:b/>
          <w:color w:val="auto"/>
          <w:kern w:val="0"/>
          <w:sz w:val="32"/>
          <w:szCs w:val="32"/>
          <w:highlight w:val="none"/>
        </w:rPr>
      </w:pPr>
      <w:bookmarkStart w:id="24" w:name="_Toc23698"/>
      <w:bookmarkStart w:id="25" w:name="_Toc30263"/>
      <w:r>
        <w:rPr>
          <w:rFonts w:ascii="Times New Roman" w:hAnsi="Times New Roman" w:eastAsia="楷体" w:cs="Times New Roman"/>
          <w:b/>
          <w:color w:val="auto"/>
          <w:kern w:val="0"/>
          <w:sz w:val="32"/>
          <w:szCs w:val="32"/>
          <w:highlight w:val="none"/>
        </w:rPr>
        <w:t>第二章  谈判须知</w:t>
      </w:r>
      <w:bookmarkEnd w:id="6"/>
      <w:bookmarkEnd w:id="24"/>
      <w:bookmarkEnd w:id="25"/>
    </w:p>
    <w:p w14:paraId="0EA09A69">
      <w:pPr>
        <w:spacing w:line="400" w:lineRule="exact"/>
        <w:ind w:firstLine="480" w:firstLineChars="200"/>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谈判须知前附表</w:t>
      </w:r>
    </w:p>
    <w:tbl>
      <w:tblPr>
        <w:tblStyle w:val="8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522"/>
        <w:gridCol w:w="6379"/>
      </w:tblGrid>
      <w:tr w14:paraId="1D9C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0B4380AD">
            <w:pPr>
              <w:spacing w:line="400" w:lineRule="exact"/>
              <w:jc w:val="center"/>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条款号</w:t>
            </w:r>
          </w:p>
        </w:tc>
        <w:tc>
          <w:tcPr>
            <w:tcW w:w="1522" w:type="dxa"/>
            <w:vAlign w:val="center"/>
          </w:tcPr>
          <w:p w14:paraId="4C388998">
            <w:pPr>
              <w:spacing w:line="400" w:lineRule="exact"/>
              <w:jc w:val="center"/>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内  容</w:t>
            </w:r>
          </w:p>
        </w:tc>
        <w:tc>
          <w:tcPr>
            <w:tcW w:w="6379" w:type="dxa"/>
            <w:vAlign w:val="center"/>
          </w:tcPr>
          <w:p w14:paraId="2777E330">
            <w:pPr>
              <w:snapToGrid w:val="0"/>
              <w:spacing w:line="400" w:lineRule="exact"/>
              <w:jc w:val="center"/>
              <w:rPr>
                <w:rFonts w:ascii="Times New Roman" w:hAnsi="Times New Roman" w:eastAsia="楷体" w:cs="Times New Roman"/>
                <w:b/>
                <w:bCs/>
                <w:color w:val="auto"/>
                <w:sz w:val="24"/>
                <w:szCs w:val="24"/>
                <w:highlight w:val="none"/>
              </w:rPr>
            </w:pPr>
            <w:r>
              <w:rPr>
                <w:rFonts w:ascii="Times New Roman" w:hAnsi="Times New Roman" w:eastAsia="楷体" w:cs="Times New Roman"/>
                <w:b/>
                <w:bCs/>
                <w:color w:val="auto"/>
                <w:sz w:val="24"/>
                <w:szCs w:val="24"/>
                <w:highlight w:val="none"/>
              </w:rPr>
              <w:t>说明与要求</w:t>
            </w:r>
          </w:p>
        </w:tc>
      </w:tr>
      <w:tr w14:paraId="3063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0C78997">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1</w:t>
            </w:r>
          </w:p>
        </w:tc>
        <w:tc>
          <w:tcPr>
            <w:tcW w:w="1522" w:type="dxa"/>
            <w:vAlign w:val="center"/>
          </w:tcPr>
          <w:p w14:paraId="16C4CA36">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项目发包人</w:t>
            </w:r>
          </w:p>
        </w:tc>
        <w:tc>
          <w:tcPr>
            <w:tcW w:w="6379" w:type="dxa"/>
            <w:vAlign w:val="center"/>
          </w:tcPr>
          <w:p w14:paraId="0198B68F">
            <w:pPr>
              <w:snapToGrid w:val="0"/>
              <w:spacing w:line="400" w:lineRule="exact"/>
              <w:rPr>
                <w:rFonts w:hint="eastAsia" w:ascii="Times New Roman" w:hAnsi="Times New Roman" w:eastAsia="楷体" w:cs="Times New Roman"/>
                <w:color w:val="auto"/>
                <w:sz w:val="24"/>
                <w:szCs w:val="24"/>
                <w:highlight w:val="none"/>
                <w:lang w:eastAsia="zh-CN"/>
              </w:rPr>
            </w:pPr>
            <w:r>
              <w:rPr>
                <w:rFonts w:ascii="Times New Roman" w:hAnsi="Times New Roman" w:eastAsia="楷体" w:cs="Times New Roman"/>
                <w:color w:val="auto"/>
                <w:sz w:val="24"/>
                <w:szCs w:val="24"/>
                <w:highlight w:val="none"/>
              </w:rPr>
              <w:t>发 包 人：</w:t>
            </w:r>
            <w:r>
              <w:rPr>
                <w:rFonts w:hint="eastAsia" w:ascii="Times New Roman" w:hAnsi="Times New Roman" w:eastAsia="楷体" w:cs="Times New Roman"/>
                <w:color w:val="auto"/>
                <w:sz w:val="24"/>
                <w:szCs w:val="24"/>
                <w:highlight w:val="none"/>
                <w:lang w:eastAsia="zh-CN"/>
              </w:rPr>
              <w:t>河北协鑫新能源有限公司</w:t>
            </w:r>
          </w:p>
          <w:p w14:paraId="28807B1F">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办公地址：</w:t>
            </w:r>
            <w:r>
              <w:rPr>
                <w:rFonts w:hint="eastAsia" w:ascii="Times New Roman" w:hAnsi="Times New Roman" w:eastAsia="楷体" w:cs="Times New Roman"/>
                <w:color w:val="auto"/>
                <w:sz w:val="24"/>
                <w:szCs w:val="24"/>
                <w:highlight w:val="none"/>
              </w:rPr>
              <w:t>石家庄市桥西区自强路中交财富中心1号楼701室</w:t>
            </w:r>
          </w:p>
          <w:p w14:paraId="40AA1370">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联 系 人：</w:t>
            </w:r>
            <w:r>
              <w:rPr>
                <w:rFonts w:hint="eastAsia" w:ascii="Times New Roman" w:hAnsi="Times New Roman" w:eastAsia="楷体" w:cs="Times New Roman"/>
                <w:color w:val="auto"/>
                <w:sz w:val="24"/>
                <w:szCs w:val="24"/>
                <w:highlight w:val="none"/>
              </w:rPr>
              <w:t>郝江峰</w:t>
            </w:r>
          </w:p>
          <w:p w14:paraId="3ABC61E0">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电    话：</w:t>
            </w:r>
            <w:r>
              <w:rPr>
                <w:rFonts w:hint="eastAsia" w:ascii="Times New Roman" w:hAnsi="Times New Roman" w:eastAsia="楷体" w:cs="Times New Roman"/>
                <w:color w:val="auto"/>
                <w:sz w:val="24"/>
                <w:szCs w:val="24"/>
                <w:highlight w:val="none"/>
              </w:rPr>
              <w:t>15632131183</w:t>
            </w:r>
          </w:p>
        </w:tc>
      </w:tr>
      <w:tr w14:paraId="3497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6" w:type="dxa"/>
            <w:vAlign w:val="center"/>
          </w:tcPr>
          <w:p w14:paraId="30B42508">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2</w:t>
            </w:r>
          </w:p>
        </w:tc>
        <w:tc>
          <w:tcPr>
            <w:tcW w:w="1522" w:type="dxa"/>
            <w:vAlign w:val="center"/>
          </w:tcPr>
          <w:p w14:paraId="0461983E">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项目名称</w:t>
            </w:r>
          </w:p>
        </w:tc>
        <w:tc>
          <w:tcPr>
            <w:tcW w:w="6379" w:type="dxa"/>
            <w:vAlign w:val="center"/>
          </w:tcPr>
          <w:p w14:paraId="2D2A10D8">
            <w:pPr>
              <w:snapToGrid w:val="0"/>
              <w:spacing w:line="400" w:lineRule="exact"/>
              <w:rPr>
                <w:rFonts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eastAsia="zh-CN"/>
              </w:rPr>
              <w:t>河北协鑫新能源有限公司所辖项目电站35kV变压器检测及维修框架</w:t>
            </w:r>
            <w:r>
              <w:rPr>
                <w:rFonts w:hint="eastAsia" w:ascii="Times New Roman" w:hAnsi="Times New Roman" w:eastAsia="楷体" w:cs="Times New Roman"/>
                <w:color w:val="auto"/>
                <w:sz w:val="24"/>
                <w:szCs w:val="24"/>
                <w:highlight w:val="none"/>
                <w:lang w:val="en-US" w:eastAsia="zh-CN"/>
              </w:rPr>
              <w:t>采购</w:t>
            </w:r>
            <w:r>
              <w:rPr>
                <w:rFonts w:hint="eastAsia" w:ascii="Times New Roman" w:hAnsi="Times New Roman" w:eastAsia="楷体" w:cs="Times New Roman"/>
                <w:color w:val="auto"/>
                <w:sz w:val="24"/>
                <w:szCs w:val="24"/>
                <w:highlight w:val="none"/>
                <w:lang w:eastAsia="zh-CN"/>
              </w:rPr>
              <w:t>项目</w:t>
            </w:r>
          </w:p>
        </w:tc>
      </w:tr>
      <w:tr w14:paraId="7A3D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36" w:type="dxa"/>
            <w:vAlign w:val="center"/>
          </w:tcPr>
          <w:p w14:paraId="55AEFACC">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3</w:t>
            </w:r>
          </w:p>
        </w:tc>
        <w:tc>
          <w:tcPr>
            <w:tcW w:w="1522" w:type="dxa"/>
            <w:vAlign w:val="center"/>
          </w:tcPr>
          <w:p w14:paraId="71B435E8">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项目实施地</w:t>
            </w:r>
          </w:p>
        </w:tc>
        <w:tc>
          <w:tcPr>
            <w:tcW w:w="6379" w:type="dxa"/>
            <w:vAlign w:val="center"/>
          </w:tcPr>
          <w:p w14:paraId="56A095B7">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见上文第一章第一条第</w:t>
            </w:r>
            <w:r>
              <w:rPr>
                <w:rFonts w:hint="eastAsia" w:ascii="Times New Roman" w:hAnsi="Times New Roman" w:eastAsia="楷体" w:cs="Times New Roman"/>
                <w:color w:val="auto"/>
                <w:sz w:val="24"/>
                <w:szCs w:val="24"/>
                <w:highlight w:val="none"/>
              </w:rPr>
              <w:t>2</w:t>
            </w:r>
            <w:r>
              <w:rPr>
                <w:rFonts w:ascii="Times New Roman" w:hAnsi="Times New Roman" w:eastAsia="楷体" w:cs="Times New Roman"/>
                <w:color w:val="auto"/>
                <w:sz w:val="24"/>
                <w:szCs w:val="24"/>
                <w:highlight w:val="none"/>
              </w:rPr>
              <w:t>款</w:t>
            </w:r>
          </w:p>
        </w:tc>
      </w:tr>
      <w:tr w14:paraId="4B50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6" w:type="dxa"/>
            <w:vAlign w:val="center"/>
          </w:tcPr>
          <w:p w14:paraId="25BD1776">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4</w:t>
            </w:r>
          </w:p>
        </w:tc>
        <w:tc>
          <w:tcPr>
            <w:tcW w:w="1522" w:type="dxa"/>
            <w:vAlign w:val="center"/>
          </w:tcPr>
          <w:p w14:paraId="12BBC4CA">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采购范围</w:t>
            </w:r>
          </w:p>
        </w:tc>
        <w:tc>
          <w:tcPr>
            <w:tcW w:w="6379" w:type="dxa"/>
            <w:vAlign w:val="center"/>
          </w:tcPr>
          <w:p w14:paraId="56719B76">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见上文第一章第一条第3款</w:t>
            </w:r>
          </w:p>
        </w:tc>
      </w:tr>
      <w:tr w14:paraId="25F9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36" w:type="dxa"/>
            <w:vAlign w:val="center"/>
          </w:tcPr>
          <w:p w14:paraId="509C525F">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5</w:t>
            </w:r>
          </w:p>
        </w:tc>
        <w:tc>
          <w:tcPr>
            <w:tcW w:w="1522" w:type="dxa"/>
            <w:vAlign w:val="center"/>
          </w:tcPr>
          <w:p w14:paraId="1AF6DA9A">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计划工期</w:t>
            </w:r>
          </w:p>
        </w:tc>
        <w:tc>
          <w:tcPr>
            <w:tcW w:w="6379" w:type="dxa"/>
            <w:vAlign w:val="center"/>
          </w:tcPr>
          <w:p w14:paraId="4385D3FE">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见上文第一章第一条第5款</w:t>
            </w:r>
          </w:p>
        </w:tc>
      </w:tr>
      <w:tr w14:paraId="0D1D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36" w:type="dxa"/>
            <w:vAlign w:val="center"/>
          </w:tcPr>
          <w:p w14:paraId="6964ACDE">
            <w:pPr>
              <w:spacing w:line="400" w:lineRule="exact"/>
              <w:jc w:val="center"/>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6</w:t>
            </w:r>
          </w:p>
        </w:tc>
        <w:tc>
          <w:tcPr>
            <w:tcW w:w="1522" w:type="dxa"/>
            <w:vAlign w:val="center"/>
          </w:tcPr>
          <w:p w14:paraId="3C95D9A3">
            <w:pPr>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现场踏勘</w:t>
            </w:r>
          </w:p>
        </w:tc>
        <w:tc>
          <w:tcPr>
            <w:tcW w:w="6379" w:type="dxa"/>
            <w:vAlign w:val="center"/>
          </w:tcPr>
          <w:p w14:paraId="69BF963D">
            <w:pPr>
              <w:snapToGrid w:val="0"/>
              <w:spacing w:line="400" w:lineRule="exac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不组织；谈判申请人自行前往。</w:t>
            </w:r>
          </w:p>
        </w:tc>
      </w:tr>
      <w:tr w14:paraId="16DB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46BB3C6A">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7</w:t>
            </w:r>
          </w:p>
        </w:tc>
        <w:tc>
          <w:tcPr>
            <w:tcW w:w="1522" w:type="dxa"/>
            <w:vAlign w:val="center"/>
          </w:tcPr>
          <w:p w14:paraId="4F93D3F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质量要求</w:t>
            </w:r>
          </w:p>
        </w:tc>
        <w:tc>
          <w:tcPr>
            <w:tcW w:w="6379" w:type="dxa"/>
            <w:vAlign w:val="center"/>
          </w:tcPr>
          <w:p w14:paraId="1A272BD8">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见上文第一章第一条第6款</w:t>
            </w:r>
          </w:p>
        </w:tc>
      </w:tr>
      <w:tr w14:paraId="7791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6" w:type="dxa"/>
            <w:vAlign w:val="center"/>
          </w:tcPr>
          <w:p w14:paraId="4858223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8</w:t>
            </w:r>
          </w:p>
        </w:tc>
        <w:tc>
          <w:tcPr>
            <w:tcW w:w="1522" w:type="dxa"/>
            <w:vAlign w:val="center"/>
          </w:tcPr>
          <w:p w14:paraId="19AC9DB2">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投标人资格要求</w:t>
            </w:r>
          </w:p>
        </w:tc>
        <w:tc>
          <w:tcPr>
            <w:tcW w:w="6379" w:type="dxa"/>
            <w:vAlign w:val="center"/>
          </w:tcPr>
          <w:p w14:paraId="785289D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见上文第一章第二条资格要求</w:t>
            </w:r>
          </w:p>
        </w:tc>
      </w:tr>
      <w:tr w14:paraId="7FD6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2B2FE4C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9</w:t>
            </w:r>
          </w:p>
        </w:tc>
        <w:tc>
          <w:tcPr>
            <w:tcW w:w="1522" w:type="dxa"/>
            <w:vAlign w:val="center"/>
          </w:tcPr>
          <w:p w14:paraId="6FA69325">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是否接受联合体报价</w:t>
            </w:r>
          </w:p>
        </w:tc>
        <w:tc>
          <w:tcPr>
            <w:tcW w:w="6379" w:type="dxa"/>
            <w:vAlign w:val="center"/>
          </w:tcPr>
          <w:p w14:paraId="67F58DF9">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不接受。</w:t>
            </w:r>
          </w:p>
        </w:tc>
      </w:tr>
      <w:tr w14:paraId="6EE0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C19181C">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10</w:t>
            </w:r>
          </w:p>
        </w:tc>
        <w:tc>
          <w:tcPr>
            <w:tcW w:w="1522" w:type="dxa"/>
            <w:vAlign w:val="center"/>
          </w:tcPr>
          <w:p w14:paraId="519A8390">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分  包</w:t>
            </w:r>
          </w:p>
        </w:tc>
        <w:tc>
          <w:tcPr>
            <w:tcW w:w="6379" w:type="dxa"/>
            <w:vAlign w:val="center"/>
          </w:tcPr>
          <w:p w14:paraId="2C2F8BE8">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本项目不允许分包；</w:t>
            </w:r>
          </w:p>
        </w:tc>
      </w:tr>
      <w:tr w14:paraId="4D44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0871F54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11</w:t>
            </w:r>
          </w:p>
        </w:tc>
        <w:tc>
          <w:tcPr>
            <w:tcW w:w="1522" w:type="dxa"/>
            <w:vAlign w:val="center"/>
          </w:tcPr>
          <w:p w14:paraId="07AAA0F6">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谈判申请人提出问题的截止时间</w:t>
            </w:r>
          </w:p>
        </w:tc>
        <w:tc>
          <w:tcPr>
            <w:tcW w:w="6379" w:type="dxa"/>
            <w:vAlign w:val="center"/>
          </w:tcPr>
          <w:p w14:paraId="77DBBA0E">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谈判申请文件递交截止日期2日前。</w:t>
            </w:r>
          </w:p>
        </w:tc>
      </w:tr>
      <w:tr w14:paraId="1F9A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375DAFB0">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12</w:t>
            </w:r>
          </w:p>
        </w:tc>
        <w:tc>
          <w:tcPr>
            <w:tcW w:w="1522" w:type="dxa"/>
            <w:vAlign w:val="center"/>
          </w:tcPr>
          <w:p w14:paraId="7C0E62D2">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发包人修改、澄清的截止时间</w:t>
            </w:r>
          </w:p>
        </w:tc>
        <w:tc>
          <w:tcPr>
            <w:tcW w:w="6379" w:type="dxa"/>
            <w:vAlign w:val="center"/>
          </w:tcPr>
          <w:p w14:paraId="413E5D78">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提交谈判申请文件文件截止时间2日前，以书面形式通知所有获取竞争性谈判文件的谈判申请人；不足2日时，发包人顺延提交谈判申请文件截止日期。</w:t>
            </w:r>
          </w:p>
        </w:tc>
      </w:tr>
      <w:tr w14:paraId="3883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9C9D243">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13</w:t>
            </w:r>
          </w:p>
        </w:tc>
        <w:tc>
          <w:tcPr>
            <w:tcW w:w="1522" w:type="dxa"/>
            <w:vAlign w:val="center"/>
          </w:tcPr>
          <w:p w14:paraId="3650CE5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谈判申请文件递交截止时间</w:t>
            </w:r>
          </w:p>
        </w:tc>
        <w:tc>
          <w:tcPr>
            <w:tcW w:w="6379" w:type="dxa"/>
            <w:vAlign w:val="center"/>
          </w:tcPr>
          <w:p w14:paraId="7E712C0C">
            <w:pPr>
              <w:snapToGrid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202</w:t>
            </w:r>
            <w:r>
              <w:rPr>
                <w:rFonts w:hint="eastAsia" w:ascii="Times New Roman" w:hAnsi="Times New Roman" w:eastAsia="楷体" w:cs="Times New Roman"/>
                <w:color w:val="auto"/>
                <w:sz w:val="24"/>
                <w:szCs w:val="24"/>
                <w:lang w:val="en-US" w:eastAsia="zh-CN"/>
              </w:rPr>
              <w:t>4</w:t>
            </w:r>
            <w:r>
              <w:rPr>
                <w:rFonts w:hint="eastAsia" w:ascii="Times New Roman" w:hAnsi="Times New Roman" w:eastAsia="楷体" w:cs="Times New Roman"/>
                <w:color w:val="auto"/>
                <w:sz w:val="24"/>
                <w:szCs w:val="24"/>
              </w:rPr>
              <w:t>年</w:t>
            </w:r>
            <w:r>
              <w:rPr>
                <w:rFonts w:hint="eastAsia" w:ascii="Times New Roman" w:hAnsi="Times New Roman" w:eastAsia="楷体" w:cs="Times New Roman"/>
                <w:color w:val="FF0000"/>
                <w:sz w:val="24"/>
                <w:szCs w:val="24"/>
                <w:lang w:val="en-US" w:eastAsia="zh-CN"/>
              </w:rPr>
              <w:t>10</w:t>
            </w:r>
            <w:r>
              <w:rPr>
                <w:rFonts w:hint="eastAsia" w:ascii="Times New Roman" w:hAnsi="Times New Roman" w:eastAsia="楷体" w:cs="Times New Roman"/>
                <w:color w:val="FF0000"/>
                <w:sz w:val="24"/>
                <w:szCs w:val="24"/>
              </w:rPr>
              <w:t>月</w:t>
            </w:r>
            <w:r>
              <w:rPr>
                <w:rFonts w:hint="eastAsia" w:ascii="Times New Roman" w:hAnsi="Times New Roman" w:eastAsia="楷体" w:cs="Times New Roman"/>
                <w:color w:val="FF0000"/>
                <w:sz w:val="24"/>
                <w:szCs w:val="24"/>
                <w:lang w:val="en-US" w:eastAsia="zh-CN"/>
              </w:rPr>
              <w:t>15</w:t>
            </w:r>
            <w:bookmarkStart w:id="106" w:name="_GoBack"/>
            <w:bookmarkEnd w:id="106"/>
            <w:r>
              <w:rPr>
                <w:rFonts w:hint="eastAsia" w:ascii="Times New Roman" w:hAnsi="Times New Roman" w:eastAsia="楷体" w:cs="Times New Roman"/>
                <w:color w:val="FF0000"/>
                <w:sz w:val="24"/>
                <w:szCs w:val="24"/>
              </w:rPr>
              <w:t>日9时30分</w:t>
            </w:r>
          </w:p>
        </w:tc>
      </w:tr>
      <w:tr w14:paraId="3D96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5A23247">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14</w:t>
            </w:r>
          </w:p>
        </w:tc>
        <w:tc>
          <w:tcPr>
            <w:tcW w:w="1522" w:type="dxa"/>
            <w:vAlign w:val="center"/>
          </w:tcPr>
          <w:p w14:paraId="66ACB1A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竞谈有效期</w:t>
            </w:r>
          </w:p>
        </w:tc>
        <w:tc>
          <w:tcPr>
            <w:tcW w:w="6379" w:type="dxa"/>
            <w:vAlign w:val="center"/>
          </w:tcPr>
          <w:p w14:paraId="113FF1E0">
            <w:pPr>
              <w:snapToGrid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6</w:t>
            </w:r>
            <w:r>
              <w:rPr>
                <w:rFonts w:ascii="Times New Roman" w:hAnsi="Times New Roman" w:eastAsia="楷体" w:cs="Times New Roman"/>
                <w:color w:val="auto"/>
                <w:sz w:val="24"/>
                <w:szCs w:val="24"/>
              </w:rPr>
              <w:t>0日历日（从文件递交截止日起算）</w:t>
            </w:r>
          </w:p>
        </w:tc>
      </w:tr>
      <w:tr w14:paraId="37A4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D08CE56">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15</w:t>
            </w:r>
          </w:p>
        </w:tc>
        <w:tc>
          <w:tcPr>
            <w:tcW w:w="1522" w:type="dxa"/>
            <w:vAlign w:val="center"/>
          </w:tcPr>
          <w:p w14:paraId="03D3709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签字和（或）盖章要求</w:t>
            </w:r>
          </w:p>
        </w:tc>
        <w:tc>
          <w:tcPr>
            <w:tcW w:w="6379" w:type="dxa"/>
            <w:vAlign w:val="center"/>
          </w:tcPr>
          <w:p w14:paraId="22BD19AF">
            <w:pPr>
              <w:spacing w:line="400" w:lineRule="exact"/>
              <w:rPr>
                <w:rFonts w:ascii="Times New Roman" w:hAnsi="Times New Roman" w:eastAsia="楷体" w:cs="Times New Roman"/>
                <w:b/>
                <w:bCs/>
                <w:color w:val="auto"/>
                <w:sz w:val="24"/>
                <w:szCs w:val="24"/>
              </w:rPr>
            </w:pPr>
            <w:r>
              <w:rPr>
                <w:rFonts w:ascii="Times New Roman" w:hAnsi="Times New Roman" w:eastAsia="楷体" w:cs="Times New Roman"/>
                <w:color w:val="auto"/>
                <w:sz w:val="24"/>
                <w:szCs w:val="24"/>
              </w:rPr>
              <w:t>1、谈判申请文件应按谈判申请文件格式部分要求，由谈判申请人的法定代表人或其委托代理人签字或盖章。</w:t>
            </w:r>
            <w:r>
              <w:rPr>
                <w:rFonts w:ascii="Times New Roman" w:hAnsi="Times New Roman" w:eastAsia="楷体" w:cs="Times New Roman"/>
                <w:b/>
                <w:bCs/>
                <w:color w:val="auto"/>
                <w:sz w:val="24"/>
                <w:szCs w:val="24"/>
              </w:rPr>
              <w:t>没有按要求签字或盖章的谈判申请文件文件将被拒</w:t>
            </w:r>
            <w:r>
              <w:rPr>
                <w:rFonts w:hint="eastAsia" w:ascii="Times New Roman" w:hAnsi="Times New Roman" w:eastAsia="楷体" w:cs="Times New Roman"/>
                <w:b/>
                <w:bCs/>
                <w:color w:val="auto"/>
                <w:sz w:val="24"/>
                <w:szCs w:val="24"/>
              </w:rPr>
              <w:t>收</w:t>
            </w:r>
            <w:r>
              <w:rPr>
                <w:rFonts w:ascii="Times New Roman" w:hAnsi="Times New Roman" w:eastAsia="楷体" w:cs="Times New Roman"/>
                <w:b/>
                <w:bCs/>
                <w:color w:val="auto"/>
                <w:sz w:val="24"/>
                <w:szCs w:val="24"/>
              </w:rPr>
              <w:t>；</w:t>
            </w:r>
          </w:p>
          <w:p w14:paraId="1B6D475D">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2、由委托代理人签字或盖章的，谈判申请文件中应附有法定代表人的授权委托书，其授权委托书必须由法定代表人及委托代理人签字</w:t>
            </w:r>
            <w:r>
              <w:rPr>
                <w:rFonts w:hint="eastAsia" w:ascii="Times New Roman" w:hAnsi="Times New Roman" w:eastAsia="楷体" w:cs="Times New Roman"/>
                <w:color w:val="auto"/>
                <w:sz w:val="24"/>
                <w:szCs w:val="24"/>
              </w:rPr>
              <w:t>并加盖公章</w:t>
            </w:r>
            <w:r>
              <w:rPr>
                <w:rFonts w:ascii="Times New Roman" w:hAnsi="Times New Roman" w:eastAsia="楷体" w:cs="Times New Roman"/>
                <w:color w:val="auto"/>
                <w:sz w:val="24"/>
                <w:szCs w:val="24"/>
              </w:rPr>
              <w:t>；</w:t>
            </w:r>
          </w:p>
        </w:tc>
      </w:tr>
      <w:tr w14:paraId="648F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7EE841D">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16</w:t>
            </w:r>
          </w:p>
        </w:tc>
        <w:tc>
          <w:tcPr>
            <w:tcW w:w="1522" w:type="dxa"/>
            <w:vAlign w:val="center"/>
          </w:tcPr>
          <w:p w14:paraId="2D5701C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谈判申请文件文件份数要求</w:t>
            </w:r>
          </w:p>
        </w:tc>
        <w:tc>
          <w:tcPr>
            <w:tcW w:w="6379" w:type="dxa"/>
            <w:vAlign w:val="center"/>
          </w:tcPr>
          <w:p w14:paraId="7D149F3B">
            <w:pPr>
              <w:autoSpaceDE w:val="0"/>
              <w:autoSpaceDN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纸质标书：</w:t>
            </w:r>
            <w:r>
              <w:rPr>
                <w:rFonts w:ascii="Times New Roman" w:hAnsi="Times New Roman" w:eastAsia="楷体" w:cs="Times New Roman"/>
                <w:color w:val="auto"/>
                <w:sz w:val="24"/>
                <w:szCs w:val="24"/>
              </w:rPr>
              <w:t>正本1份。需密封</w:t>
            </w:r>
            <w:r>
              <w:rPr>
                <w:rFonts w:hint="eastAsia" w:ascii="Times New Roman" w:hAnsi="Times New Roman" w:eastAsia="楷体" w:cs="Times New Roman"/>
                <w:color w:val="auto"/>
                <w:sz w:val="24"/>
                <w:szCs w:val="24"/>
              </w:rPr>
              <w:t>并加盖公章</w:t>
            </w:r>
            <w:r>
              <w:rPr>
                <w:rFonts w:ascii="Times New Roman" w:hAnsi="Times New Roman" w:eastAsia="楷体" w:cs="Times New Roman"/>
                <w:color w:val="auto"/>
                <w:sz w:val="24"/>
                <w:szCs w:val="24"/>
              </w:rPr>
              <w:t>，否则将会被拒收</w:t>
            </w:r>
            <w:r>
              <w:rPr>
                <w:rFonts w:hint="eastAsia" w:ascii="Times New Roman" w:hAnsi="Times New Roman" w:eastAsia="楷体" w:cs="Times New Roman"/>
                <w:color w:val="auto"/>
                <w:sz w:val="24"/>
                <w:szCs w:val="24"/>
              </w:rPr>
              <w:t>。</w:t>
            </w:r>
          </w:p>
          <w:p w14:paraId="00ACD00C">
            <w:pPr>
              <w:autoSpaceDE w:val="0"/>
              <w:autoSpaceDN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电子标书：</w:t>
            </w:r>
            <w:r>
              <w:rPr>
                <w:rFonts w:hint="eastAsia" w:ascii="Times New Roman" w:hAnsi="Times New Roman" w:eastAsia="楷体" w:cs="Times New Roman"/>
                <w:color w:val="auto"/>
                <w:sz w:val="24"/>
                <w:szCs w:val="24"/>
              </w:rPr>
              <w:t>纸质标书</w:t>
            </w:r>
            <w:r>
              <w:rPr>
                <w:rFonts w:ascii="Times New Roman" w:hAnsi="Times New Roman" w:eastAsia="楷体" w:cs="Times New Roman"/>
                <w:color w:val="auto"/>
                <w:sz w:val="24"/>
                <w:szCs w:val="24"/>
              </w:rPr>
              <w:t>的PDF</w:t>
            </w:r>
            <w:r>
              <w:rPr>
                <w:rFonts w:hint="eastAsia" w:ascii="Times New Roman" w:hAnsi="Times New Roman" w:eastAsia="楷体" w:cs="Times New Roman"/>
                <w:color w:val="auto"/>
                <w:sz w:val="24"/>
                <w:szCs w:val="24"/>
              </w:rPr>
              <w:t>扫描件，</w:t>
            </w:r>
            <w:r>
              <w:rPr>
                <w:rFonts w:ascii="Times New Roman" w:hAnsi="Times New Roman" w:eastAsia="楷体" w:cs="Times New Roman"/>
                <w:color w:val="auto"/>
                <w:sz w:val="24"/>
                <w:szCs w:val="24"/>
              </w:rPr>
              <w:t>上传至</w:t>
            </w:r>
            <w:r>
              <w:rPr>
                <w:rFonts w:hint="eastAsia" w:ascii="Times New Roman" w:hAnsi="Times New Roman" w:eastAsia="楷体" w:cs="Times New Roman"/>
                <w:color w:val="auto"/>
                <w:sz w:val="24"/>
                <w:szCs w:val="24"/>
                <w:lang w:eastAsia="zh-CN"/>
              </w:rPr>
              <w:t>公司采购平台</w:t>
            </w:r>
            <w:r>
              <w:rPr>
                <w:rFonts w:hint="eastAsia" w:ascii="Times New Roman" w:hAnsi="Times New Roman" w:eastAsia="楷体" w:cs="Times New Roman"/>
                <w:color w:val="auto"/>
                <w:sz w:val="24"/>
                <w:szCs w:val="24"/>
              </w:rPr>
              <w:t>系统</w:t>
            </w:r>
            <w:r>
              <w:rPr>
                <w:color w:val="auto"/>
              </w:rPr>
              <w:fldChar w:fldCharType="begin"/>
            </w:r>
            <w:r>
              <w:rPr>
                <w:color w:val="auto"/>
              </w:rPr>
              <w:instrText xml:space="preserve"> HYPERLINK "http://www.hbyn.cn。" </w:instrText>
            </w:r>
            <w:r>
              <w:rPr>
                <w:color w:val="auto"/>
              </w:rPr>
              <w:fldChar w:fldCharType="separate"/>
            </w:r>
            <w:r>
              <w:rPr>
                <w:rStyle w:val="96"/>
                <w:rFonts w:ascii="Times New Roman" w:hAnsi="Times New Roman" w:eastAsia="楷体" w:cs="Times New Roman"/>
                <w:color w:val="auto"/>
                <w:sz w:val="24"/>
                <w:szCs w:val="24"/>
              </w:rPr>
              <w:t>http://www.hbyn.cn</w:t>
            </w:r>
            <w:r>
              <w:rPr>
                <w:rStyle w:val="96"/>
                <w:rFonts w:ascii="Times New Roman" w:hAnsi="Times New Roman" w:eastAsia="楷体" w:cs="Times New Roman"/>
                <w:color w:val="auto"/>
                <w:sz w:val="24"/>
                <w:szCs w:val="24"/>
              </w:rPr>
              <w:fldChar w:fldCharType="end"/>
            </w:r>
            <w:r>
              <w:rPr>
                <w:rFonts w:hint="eastAsia" w:ascii="Times New Roman" w:hAnsi="Times New Roman" w:eastAsia="楷体" w:cs="Times New Roman"/>
                <w:color w:val="auto"/>
                <w:sz w:val="24"/>
                <w:szCs w:val="24"/>
              </w:rPr>
              <w:t>。</w:t>
            </w:r>
          </w:p>
          <w:p w14:paraId="1E0150E2">
            <w:pPr>
              <w:autoSpaceDE w:val="0"/>
              <w:autoSpaceDN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纸质标书及电子标书（若未上传到询比价系统）邮寄到石家庄市桥西区自强路中交财富中心1号楼701室。</w:t>
            </w:r>
          </w:p>
          <w:p w14:paraId="243FC0EF">
            <w:pPr>
              <w:autoSpaceDE w:val="0"/>
              <w:autoSpaceDN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若电子文档与纸质文件不一致，以纸质文件为准，谈判申请文件</w:t>
            </w:r>
            <w:r>
              <w:rPr>
                <w:rFonts w:hint="eastAsia" w:ascii="Times New Roman" w:hAnsi="Times New Roman" w:eastAsia="楷体" w:cs="Times New Roman"/>
                <w:color w:val="auto"/>
                <w:sz w:val="24"/>
                <w:szCs w:val="24"/>
              </w:rPr>
              <w:t>关键内容</w:t>
            </w:r>
            <w:r>
              <w:rPr>
                <w:rFonts w:ascii="Times New Roman" w:hAnsi="Times New Roman" w:eastAsia="楷体" w:cs="Times New Roman"/>
                <w:color w:val="auto"/>
                <w:sz w:val="24"/>
                <w:szCs w:val="24"/>
              </w:rPr>
              <w:t>因字迹潦草或表达不清</w:t>
            </w:r>
            <w:r>
              <w:rPr>
                <w:rFonts w:hint="eastAsia" w:ascii="Times New Roman" w:hAnsi="Times New Roman" w:eastAsia="楷体" w:cs="Times New Roman"/>
                <w:color w:val="auto"/>
                <w:sz w:val="24"/>
                <w:szCs w:val="24"/>
              </w:rPr>
              <w:t>作为无效投标文件。</w:t>
            </w:r>
          </w:p>
        </w:tc>
      </w:tr>
      <w:tr w14:paraId="6D34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44EC88F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17</w:t>
            </w:r>
          </w:p>
        </w:tc>
        <w:tc>
          <w:tcPr>
            <w:tcW w:w="1522" w:type="dxa"/>
            <w:vAlign w:val="center"/>
          </w:tcPr>
          <w:p w14:paraId="12EAD06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装订要求</w:t>
            </w:r>
          </w:p>
        </w:tc>
        <w:tc>
          <w:tcPr>
            <w:tcW w:w="6379" w:type="dxa"/>
            <w:vAlign w:val="center"/>
          </w:tcPr>
          <w:p w14:paraId="2BC86FC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1、不得活页装订，须胶装装订，否则该谈判申请文件将被拒绝</w:t>
            </w:r>
            <w:r>
              <w:rPr>
                <w:rFonts w:hint="eastAsia" w:ascii="Times New Roman" w:hAnsi="Times New Roman" w:eastAsia="楷体" w:cs="Times New Roman"/>
                <w:color w:val="auto"/>
                <w:sz w:val="24"/>
                <w:szCs w:val="24"/>
                <w:lang w:eastAsia="zh-CN"/>
              </w:rPr>
              <w:t>（</w:t>
            </w:r>
            <w:r>
              <w:rPr>
                <w:rFonts w:hint="eastAsia" w:ascii="Times New Roman" w:hAnsi="Times New Roman" w:eastAsia="楷体" w:cs="Times New Roman"/>
                <w:color w:val="auto"/>
                <w:sz w:val="24"/>
                <w:szCs w:val="24"/>
                <w:lang w:val="en-US" w:eastAsia="zh-CN"/>
              </w:rPr>
              <w:t>视为不通过初步评审）</w:t>
            </w:r>
            <w:r>
              <w:rPr>
                <w:rFonts w:ascii="Times New Roman" w:hAnsi="Times New Roman" w:eastAsia="楷体" w:cs="Times New Roman"/>
                <w:color w:val="auto"/>
                <w:sz w:val="24"/>
                <w:szCs w:val="24"/>
              </w:rPr>
              <w:t>。</w:t>
            </w:r>
          </w:p>
          <w:p w14:paraId="31215A25">
            <w:pPr>
              <w:spacing w:line="400" w:lineRule="exact"/>
              <w:rPr>
                <w:rFonts w:ascii="Times New Roman" w:hAnsi="Times New Roman" w:eastAsia="楷体" w:cs="Times New Roman"/>
                <w:color w:val="auto"/>
                <w:kern w:val="0"/>
                <w:sz w:val="24"/>
                <w:szCs w:val="24"/>
              </w:rPr>
            </w:pPr>
            <w:r>
              <w:rPr>
                <w:rFonts w:ascii="Times New Roman" w:hAnsi="Times New Roman" w:eastAsia="楷体" w:cs="Times New Roman"/>
                <w:color w:val="auto"/>
                <w:kern w:val="0"/>
                <w:sz w:val="24"/>
                <w:szCs w:val="24"/>
              </w:rPr>
              <w:t>2、报价人将所有谈判申请文件的正本统一密封在一个封包内。</w:t>
            </w:r>
          </w:p>
          <w:p w14:paraId="31CC1E77">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3、封口处均应加盖“密封”章或报价人公章。</w:t>
            </w:r>
          </w:p>
        </w:tc>
      </w:tr>
      <w:tr w14:paraId="0E6F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A33BA2A">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18</w:t>
            </w:r>
          </w:p>
        </w:tc>
        <w:tc>
          <w:tcPr>
            <w:tcW w:w="1522" w:type="dxa"/>
            <w:vAlign w:val="center"/>
          </w:tcPr>
          <w:p w14:paraId="1A13C0F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递交谈判申请文件地点</w:t>
            </w:r>
          </w:p>
        </w:tc>
        <w:tc>
          <w:tcPr>
            <w:tcW w:w="6379" w:type="dxa"/>
            <w:vAlign w:val="center"/>
          </w:tcPr>
          <w:p w14:paraId="4BDA6183">
            <w:pPr>
              <w:snapToGrid w:val="0"/>
              <w:spacing w:line="400" w:lineRule="exact"/>
              <w:rPr>
                <w:rFonts w:ascii="Times New Roman" w:hAnsi="Times New Roman" w:eastAsia="楷体" w:cs="Times New Roman"/>
                <w:color w:val="auto"/>
                <w:sz w:val="24"/>
                <w:szCs w:val="24"/>
              </w:rPr>
            </w:pPr>
            <w:r>
              <w:rPr>
                <w:rFonts w:hint="eastAsia" w:ascii="Times New Roman" w:hAnsi="Times New Roman" w:eastAsia="楷体" w:cs="Times New Roman"/>
                <w:color w:val="auto"/>
                <w:sz w:val="24"/>
                <w:szCs w:val="24"/>
              </w:rPr>
              <w:t>石家庄市桥西区自强路中交财富中心1号楼701室</w:t>
            </w:r>
          </w:p>
        </w:tc>
      </w:tr>
      <w:tr w14:paraId="75AE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057E3F48">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19</w:t>
            </w:r>
          </w:p>
        </w:tc>
        <w:tc>
          <w:tcPr>
            <w:tcW w:w="1522" w:type="dxa"/>
            <w:vAlign w:val="center"/>
          </w:tcPr>
          <w:p w14:paraId="3BFAAF07">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是否退还谈判申请文件</w:t>
            </w:r>
          </w:p>
        </w:tc>
        <w:tc>
          <w:tcPr>
            <w:tcW w:w="6379" w:type="dxa"/>
            <w:vAlign w:val="center"/>
          </w:tcPr>
          <w:p w14:paraId="4E0DB61B">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■否</w:t>
            </w:r>
          </w:p>
        </w:tc>
      </w:tr>
      <w:tr w14:paraId="5EE6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4459884">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20</w:t>
            </w:r>
          </w:p>
        </w:tc>
        <w:tc>
          <w:tcPr>
            <w:tcW w:w="1522" w:type="dxa"/>
            <w:vAlign w:val="center"/>
          </w:tcPr>
          <w:p w14:paraId="320B460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谈判时间和地点</w:t>
            </w:r>
          </w:p>
        </w:tc>
        <w:tc>
          <w:tcPr>
            <w:tcW w:w="6379" w:type="dxa"/>
            <w:vAlign w:val="center"/>
          </w:tcPr>
          <w:p w14:paraId="618B490D">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谈判时间：同谈判申请文件递交截止时间</w:t>
            </w:r>
          </w:p>
          <w:p w14:paraId="1915B559">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谈判地点：</w:t>
            </w:r>
            <w:r>
              <w:rPr>
                <w:rFonts w:hint="eastAsia" w:ascii="Times New Roman" w:hAnsi="Times New Roman" w:eastAsia="楷体" w:cs="Times New Roman"/>
                <w:color w:val="auto"/>
                <w:sz w:val="24"/>
                <w:szCs w:val="24"/>
              </w:rPr>
              <w:t>石家庄市桥西区自强路中交财富中心1号楼701室</w:t>
            </w:r>
          </w:p>
        </w:tc>
      </w:tr>
      <w:tr w14:paraId="754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E96A1D2">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21</w:t>
            </w:r>
          </w:p>
        </w:tc>
        <w:tc>
          <w:tcPr>
            <w:tcW w:w="1522" w:type="dxa"/>
            <w:vAlign w:val="center"/>
          </w:tcPr>
          <w:p w14:paraId="4026054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谈判方式</w:t>
            </w:r>
          </w:p>
        </w:tc>
        <w:tc>
          <w:tcPr>
            <w:tcW w:w="6379" w:type="dxa"/>
            <w:vAlign w:val="center"/>
          </w:tcPr>
          <w:p w14:paraId="0DFFD9EC">
            <w:pPr>
              <w:spacing w:line="400" w:lineRule="exact"/>
              <w:rPr>
                <w:rFonts w:ascii="Times New Roman" w:hAnsi="Times New Roman" w:eastAsia="楷体" w:cs="Times New Roman"/>
                <w:color w:val="auto"/>
                <w:sz w:val="24"/>
                <w:szCs w:val="24"/>
              </w:rPr>
            </w:pPr>
            <w:bookmarkStart w:id="26" w:name="_Toc393204323"/>
            <w:bookmarkStart w:id="27" w:name="_Toc392489135"/>
            <w:bookmarkStart w:id="28" w:name="_Toc392769471"/>
            <w:bookmarkStart w:id="29" w:name="_Toc392500994"/>
            <w:bookmarkStart w:id="30" w:name="_Toc392769102"/>
            <w:r>
              <w:rPr>
                <w:rFonts w:ascii="Times New Roman" w:hAnsi="Times New Roman" w:eastAsia="楷体" w:cs="Times New Roman"/>
                <w:color w:val="auto"/>
                <w:sz w:val="24"/>
                <w:szCs w:val="24"/>
              </w:rPr>
              <w:t>第一轮报价为公开报价；经竞谈小组评审通过形式评审、资格评审、响应性评审的谈判申请人将进入到下一轮与发包人进行谈判、报价。（最终报价为本项目的成交价）</w:t>
            </w:r>
            <w:bookmarkEnd w:id="26"/>
            <w:bookmarkEnd w:id="27"/>
            <w:bookmarkEnd w:id="28"/>
            <w:bookmarkEnd w:id="29"/>
            <w:bookmarkEnd w:id="30"/>
          </w:p>
        </w:tc>
      </w:tr>
      <w:tr w14:paraId="2A91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235F4E5E">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22</w:t>
            </w:r>
          </w:p>
        </w:tc>
        <w:tc>
          <w:tcPr>
            <w:tcW w:w="1522" w:type="dxa"/>
            <w:vAlign w:val="center"/>
          </w:tcPr>
          <w:p w14:paraId="6A9C86A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谈判程序及原则</w:t>
            </w:r>
          </w:p>
        </w:tc>
        <w:tc>
          <w:tcPr>
            <w:tcW w:w="6379" w:type="dxa"/>
            <w:vAlign w:val="center"/>
          </w:tcPr>
          <w:p w14:paraId="6CC109ED">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1.谈判小组根据所有谈判申请人提交的谈判文件及第一轮报价情况进行初步评审，只有通过初步评审的谈判申请文件才能进入到下一轮谈判、报价阶段。</w:t>
            </w:r>
          </w:p>
          <w:p w14:paraId="0965B26B">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2.谈判申请人代表按谈判申请文件递交顺序进行单独谈判，并进行下一轮报价，此报价为最终报价，成交后不得调整。</w:t>
            </w:r>
          </w:p>
          <w:p w14:paraId="6B44B33E">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3.谈判小组根据谈判情况及下一轮报价情况进行评审，按综合评分由高到低的顺序推荐成交候选人。</w:t>
            </w:r>
          </w:p>
          <w:p w14:paraId="1575EE2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4.完成评审后，谈判小组向发包人提交书面谈判结果报告。</w:t>
            </w:r>
          </w:p>
        </w:tc>
      </w:tr>
      <w:tr w14:paraId="36F7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2B41E3A8">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23</w:t>
            </w:r>
          </w:p>
        </w:tc>
        <w:tc>
          <w:tcPr>
            <w:tcW w:w="1522" w:type="dxa"/>
            <w:vAlign w:val="center"/>
          </w:tcPr>
          <w:p w14:paraId="54B919EE">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谈判要求</w:t>
            </w:r>
          </w:p>
        </w:tc>
        <w:tc>
          <w:tcPr>
            <w:tcW w:w="6379" w:type="dxa"/>
            <w:vAlign w:val="center"/>
          </w:tcPr>
          <w:p w14:paraId="69F69D4B">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1．在竞争性谈判过程中谈判的任何一方在未征得另一方同意的情况下，不得透露本项目谈判的有关技术资料、价格或其他信息。</w:t>
            </w:r>
          </w:p>
          <w:p w14:paraId="39F9C51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2．竞争性谈判过程中，如需要澄清的，谈判小组须以书面形式通知谈判申请人，谈判申请人应当在规定的时间内作出书面回答。</w:t>
            </w:r>
          </w:p>
          <w:p w14:paraId="6BE9BD5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3．谈判申请人在竞争性谈判过程中作出的所有书面回答及承诺均应由法定代表人或其委托代理人签字或盖章确认。</w:t>
            </w:r>
          </w:p>
          <w:p w14:paraId="6D8FF78A">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4．参与竞争性谈判的谈判申请人人数要求</w:t>
            </w:r>
          </w:p>
          <w:p w14:paraId="2B38D9F1">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谈判申请人可派1-3名代表参与谈判，其中1人应为法定代表人或其委托代理人。</w:t>
            </w:r>
          </w:p>
        </w:tc>
      </w:tr>
      <w:tr w14:paraId="65E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B3EF249">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24</w:t>
            </w:r>
          </w:p>
        </w:tc>
        <w:tc>
          <w:tcPr>
            <w:tcW w:w="1522" w:type="dxa"/>
            <w:vAlign w:val="center"/>
          </w:tcPr>
          <w:p w14:paraId="0DBF4634">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谈判小组的组成</w:t>
            </w:r>
          </w:p>
        </w:tc>
        <w:tc>
          <w:tcPr>
            <w:tcW w:w="6379" w:type="dxa"/>
            <w:vAlign w:val="center"/>
          </w:tcPr>
          <w:p w14:paraId="365D8E7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谈判小组为5人及以上单数组成。</w:t>
            </w:r>
          </w:p>
        </w:tc>
      </w:tr>
      <w:tr w14:paraId="2B27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8AC1035">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25</w:t>
            </w:r>
          </w:p>
        </w:tc>
        <w:tc>
          <w:tcPr>
            <w:tcW w:w="1522" w:type="dxa"/>
            <w:vAlign w:val="center"/>
          </w:tcPr>
          <w:p w14:paraId="73C4280A">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评审方法</w:t>
            </w:r>
          </w:p>
        </w:tc>
        <w:tc>
          <w:tcPr>
            <w:tcW w:w="6379" w:type="dxa"/>
            <w:vAlign w:val="center"/>
          </w:tcPr>
          <w:p w14:paraId="579AE890">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综合评估及打分法</w:t>
            </w:r>
          </w:p>
        </w:tc>
      </w:tr>
      <w:tr w14:paraId="04CB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1E732A10">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26</w:t>
            </w:r>
          </w:p>
        </w:tc>
        <w:tc>
          <w:tcPr>
            <w:tcW w:w="1522" w:type="dxa"/>
            <w:vAlign w:val="center"/>
          </w:tcPr>
          <w:p w14:paraId="2D0D7FCC">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采购控制价</w:t>
            </w:r>
          </w:p>
        </w:tc>
        <w:tc>
          <w:tcPr>
            <w:tcW w:w="6379" w:type="dxa"/>
            <w:vAlign w:val="center"/>
          </w:tcPr>
          <w:p w14:paraId="02B4E0AF">
            <w:pPr>
              <w:spacing w:line="400" w:lineRule="exact"/>
              <w:rPr>
                <w:rFonts w:ascii="Times New Roman" w:hAnsi="Times New Roman" w:eastAsia="楷体" w:cs="Times New Roman"/>
                <w:color w:val="auto"/>
                <w:sz w:val="24"/>
                <w:szCs w:val="24"/>
              </w:rPr>
            </w:pPr>
            <w:r>
              <w:rPr>
                <w:rFonts w:ascii="Segoe UI Emoji" w:hAnsi="Segoe UI Emoji" w:eastAsia="楷体" w:cs="Segoe UI Emoji"/>
                <w:color w:val="auto"/>
                <w:sz w:val="24"/>
                <w:szCs w:val="24"/>
              </w:rPr>
              <w:t>☑</w:t>
            </w:r>
            <w:r>
              <w:rPr>
                <w:rFonts w:ascii="Times New Roman" w:hAnsi="Times New Roman" w:eastAsia="楷体" w:cs="Times New Roman"/>
                <w:color w:val="auto"/>
                <w:sz w:val="24"/>
                <w:szCs w:val="24"/>
              </w:rPr>
              <w:t>无</w:t>
            </w:r>
          </w:p>
          <w:p w14:paraId="5AEEFDF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□有，最高限价：【】</w:t>
            </w:r>
          </w:p>
        </w:tc>
      </w:tr>
      <w:tr w14:paraId="7E5F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699F985F">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27</w:t>
            </w:r>
          </w:p>
        </w:tc>
        <w:tc>
          <w:tcPr>
            <w:tcW w:w="1522" w:type="dxa"/>
            <w:vAlign w:val="center"/>
          </w:tcPr>
          <w:p w14:paraId="1B799BC9">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竞争性谈判保证金</w:t>
            </w:r>
          </w:p>
        </w:tc>
        <w:tc>
          <w:tcPr>
            <w:tcW w:w="6379" w:type="dxa"/>
            <w:vAlign w:val="center"/>
          </w:tcPr>
          <w:p w14:paraId="38E59FFB">
            <w:pPr>
              <w:spacing w:line="400" w:lineRule="exact"/>
              <w:rPr>
                <w:rFonts w:ascii="Times New Roman" w:hAnsi="Times New Roman" w:eastAsia="楷体" w:cs="Times New Roman"/>
                <w:color w:val="auto"/>
                <w:sz w:val="24"/>
                <w:szCs w:val="24"/>
              </w:rPr>
            </w:pPr>
            <w:r>
              <w:rPr>
                <w:rFonts w:ascii="Segoe UI Emoji" w:hAnsi="Segoe UI Emoji" w:eastAsia="楷体" w:cs="Segoe UI Emoji"/>
                <w:color w:val="auto"/>
                <w:sz w:val="24"/>
                <w:szCs w:val="24"/>
              </w:rPr>
              <w:t>☑</w:t>
            </w:r>
            <w:r>
              <w:rPr>
                <w:rFonts w:ascii="Times New Roman" w:hAnsi="Times New Roman" w:eastAsia="楷体" w:cs="Times New Roman"/>
                <w:color w:val="auto"/>
                <w:sz w:val="24"/>
                <w:szCs w:val="24"/>
              </w:rPr>
              <w:t>无</w:t>
            </w:r>
          </w:p>
          <w:p w14:paraId="1D739A3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□有，要求递交竞争性谈判保证金。</w:t>
            </w:r>
          </w:p>
          <w:p w14:paraId="15A61B8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（一）竞争性谈判保证金的金额：不少于人民币【】万元整。</w:t>
            </w:r>
          </w:p>
          <w:p w14:paraId="3D4E727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（二）交纳时间：在报价截止时间前一次性缴纳。</w:t>
            </w:r>
          </w:p>
          <w:p w14:paraId="31A5A3D2">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（三）竞争性谈判保证金有效期：不短于报价文件的有效期（时间从报价截止日期算起）。</w:t>
            </w:r>
          </w:p>
          <w:p w14:paraId="0C615B4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（四）竞争性谈判保证金的形式：</w:t>
            </w:r>
          </w:p>
          <w:p w14:paraId="6B108517">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须在报价截止时间前以电汇或网银的形式从报价人基本账户汇出（须在汇款凭证附言处注明项目名称）。以本文件规定以外形式递交的竞争性谈判保证金的或在报价截止时间前竞争性谈判保证金未到账的，其报价文件均将被拒绝。为确保竞争性谈判保证金递交无误，建议报价人在报价截止时间前两天内汇入以下指定账户。汇款信息如下：</w:t>
            </w:r>
          </w:p>
          <w:p w14:paraId="75202EC0">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收 款 人：【】</w:t>
            </w:r>
          </w:p>
          <w:p w14:paraId="06175457">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开 户 行：【】</w:t>
            </w:r>
          </w:p>
          <w:p w14:paraId="7741B4D0">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银行帐号：【】</w:t>
            </w:r>
          </w:p>
          <w:p w14:paraId="3D28F86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（五）竞争性谈判保证金的退还：</w:t>
            </w:r>
          </w:p>
          <w:p w14:paraId="21516785">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（一）退还</w:t>
            </w:r>
          </w:p>
          <w:p w14:paraId="25B2D2F7">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1.未中选人的竞争性谈判保证金，在中选结果通知书发出后5日内退还。</w:t>
            </w:r>
          </w:p>
          <w:p w14:paraId="7098FF9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2.中选人的竞争性谈判保证金，在中选人提交履约担保并签订书面合同后5日内退还。</w:t>
            </w:r>
          </w:p>
          <w:p w14:paraId="2F2A2A3B">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3.若采购人终止竞争性谈判并且已实际收取竞争性谈判保证金的，在采购人通知报价人终止竞争性谈判之日起5日内向所有报价人退还竞争性谈判保证金。</w:t>
            </w:r>
          </w:p>
          <w:p w14:paraId="0D092B4A">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4.报价人在报价截止时间前书面通知采购人撤回已递交报价文件或放弃谈判，采购人已收取竞争性谈判保证金的应在收到报价人撤回或放弃谈判的通知后5日内退还。</w:t>
            </w:r>
          </w:p>
          <w:p w14:paraId="25E2BBFE">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（二）其他：</w:t>
            </w:r>
          </w:p>
          <w:p w14:paraId="001430C5">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1.竞争性谈判保证金一律退还至报价人基本账户。</w:t>
            </w:r>
          </w:p>
          <w:p w14:paraId="325BC6C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2.报价人须按第一条的约定计算竞争性谈判保证金的银行同期活期利息金额并开具发票，采购人会凭发票退还银行同期活期利息。</w:t>
            </w:r>
          </w:p>
          <w:p w14:paraId="231C291C">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（三）退竞争性谈判保证金联系人及联系方式：</w:t>
            </w:r>
          </w:p>
          <w:p w14:paraId="21B7F764">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退竞争性谈判保证金联系人：【】</w:t>
            </w:r>
          </w:p>
          <w:p w14:paraId="3F0976DA">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联系电话：【】</w:t>
            </w:r>
          </w:p>
          <w:p w14:paraId="2E28AC12">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邮箱：【】</w:t>
            </w:r>
          </w:p>
          <w:p w14:paraId="59C370D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（六）竞争性谈判保证金不予退还的情形：</w:t>
            </w:r>
          </w:p>
          <w:p w14:paraId="1E74EE03">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1、报价人在报价截止后至报价有效期满之前撤销其报价的；</w:t>
            </w:r>
          </w:p>
          <w:p w14:paraId="376FFD98">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2、报价人在报价截止后对报价文件作实质性修改的；</w:t>
            </w:r>
          </w:p>
          <w:p w14:paraId="68417AFB">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3、报价人被通知中选后，拒绝按中选状态签订合同的（即不按中选时规定的技术方案、服务范围和价格等实质性条件签订合同）；</w:t>
            </w:r>
          </w:p>
          <w:p w14:paraId="6926F316">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4、报价人未遵守竞争性谈判文件报价人须知[纪律与监督]中对报价人的规定的情形。</w:t>
            </w:r>
          </w:p>
        </w:tc>
      </w:tr>
      <w:tr w14:paraId="1E1D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46862236">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w:t>
            </w:r>
          </w:p>
        </w:tc>
        <w:tc>
          <w:tcPr>
            <w:tcW w:w="1522" w:type="dxa"/>
            <w:vAlign w:val="center"/>
          </w:tcPr>
          <w:p w14:paraId="1258320C">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履约担保</w:t>
            </w:r>
          </w:p>
        </w:tc>
        <w:tc>
          <w:tcPr>
            <w:tcW w:w="6379" w:type="dxa"/>
          </w:tcPr>
          <w:p w14:paraId="28F60F7E">
            <w:pPr>
              <w:spacing w:line="400" w:lineRule="exact"/>
              <w:rPr>
                <w:rFonts w:ascii="Times New Roman" w:hAnsi="Times New Roman" w:eastAsia="楷体" w:cs="Times New Roman"/>
                <w:color w:val="auto"/>
                <w:sz w:val="24"/>
                <w:szCs w:val="24"/>
              </w:rPr>
            </w:pPr>
            <w:r>
              <w:rPr>
                <w:rFonts w:ascii="Segoe UI Emoji" w:hAnsi="Segoe UI Emoji" w:eastAsia="楷体" w:cs="Segoe UI Emoji"/>
                <w:color w:val="auto"/>
                <w:sz w:val="24"/>
                <w:szCs w:val="24"/>
              </w:rPr>
              <w:t>☑</w:t>
            </w:r>
            <w:r>
              <w:rPr>
                <w:rFonts w:ascii="Times New Roman" w:hAnsi="Times New Roman" w:eastAsia="楷体" w:cs="Times New Roman"/>
                <w:color w:val="auto"/>
                <w:sz w:val="24"/>
                <w:szCs w:val="24"/>
              </w:rPr>
              <w:t>不提供</w:t>
            </w:r>
          </w:p>
          <w:p w14:paraId="26C1744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 xml:space="preserve">□提供，履约保证金的形式：银行支票、汇票或银行保函。 </w:t>
            </w:r>
          </w:p>
          <w:p w14:paraId="606BAFD1">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履约保证金的金额：合同总价的【】%。</w:t>
            </w:r>
          </w:p>
        </w:tc>
      </w:tr>
      <w:tr w14:paraId="4C85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37" w:type="dxa"/>
            <w:gridSpan w:val="3"/>
            <w:vAlign w:val="center"/>
          </w:tcPr>
          <w:p w14:paraId="6D633AC6">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28需要补充的其他内容</w:t>
            </w:r>
          </w:p>
        </w:tc>
      </w:tr>
      <w:tr w14:paraId="036B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37" w:type="dxa"/>
            <w:gridSpan w:val="3"/>
            <w:vAlign w:val="center"/>
          </w:tcPr>
          <w:p w14:paraId="3E35D112">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28.1 词语定义</w:t>
            </w:r>
          </w:p>
        </w:tc>
      </w:tr>
      <w:tr w14:paraId="10FD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6" w:type="dxa"/>
            <w:vAlign w:val="center"/>
          </w:tcPr>
          <w:p w14:paraId="7E2022C5">
            <w:pPr>
              <w:spacing w:line="400" w:lineRule="exact"/>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28.1.1</w:t>
            </w:r>
          </w:p>
        </w:tc>
        <w:tc>
          <w:tcPr>
            <w:tcW w:w="1522" w:type="dxa"/>
            <w:vAlign w:val="center"/>
          </w:tcPr>
          <w:p w14:paraId="6C93A6D9">
            <w:pPr>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不良行为记录</w:t>
            </w:r>
          </w:p>
        </w:tc>
        <w:tc>
          <w:tcPr>
            <w:tcW w:w="6379" w:type="dxa"/>
            <w:vAlign w:val="center"/>
          </w:tcPr>
          <w:p w14:paraId="14402E33">
            <w:pPr>
              <w:snapToGrid w:val="0"/>
              <w:spacing w:line="400" w:lineRule="exac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不良行为记录是指：1、谈判申请人当前被建设行政主管部门禁止报价；2、法律、法规禁止的其他行为。</w:t>
            </w:r>
          </w:p>
        </w:tc>
      </w:tr>
    </w:tbl>
    <w:p w14:paraId="2D983543">
      <w:pPr>
        <w:spacing w:line="400" w:lineRule="exact"/>
        <w:ind w:firstLine="480" w:firstLineChars="200"/>
        <w:jc w:val="center"/>
        <w:rPr>
          <w:rFonts w:ascii="Times New Roman" w:hAnsi="Times New Roman" w:eastAsia="楷体" w:cs="Times New Roman"/>
          <w:color w:val="auto"/>
          <w:sz w:val="24"/>
          <w:szCs w:val="24"/>
        </w:rPr>
      </w:pPr>
    </w:p>
    <w:p w14:paraId="1333473B">
      <w:pPr>
        <w:spacing w:line="400" w:lineRule="exact"/>
        <w:ind w:firstLine="480" w:firstLineChars="200"/>
        <w:jc w:val="center"/>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谈判须知正文</w:t>
      </w:r>
    </w:p>
    <w:p w14:paraId="63D50201">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1" w:name="_Toc13639"/>
      <w:bookmarkStart w:id="32" w:name="_Toc4342"/>
      <w:bookmarkStart w:id="33" w:name="_Toc102227314"/>
      <w:r>
        <w:rPr>
          <w:rFonts w:ascii="Times New Roman" w:hAnsi="Times New Roman" w:eastAsia="楷体" w:cs="Times New Roman"/>
          <w:b/>
          <w:bCs/>
          <w:color w:val="auto"/>
          <w:sz w:val="24"/>
          <w:szCs w:val="24"/>
        </w:rPr>
        <w:t>一、项目概况</w:t>
      </w:r>
      <w:bookmarkEnd w:id="31"/>
      <w:bookmarkEnd w:id="32"/>
    </w:p>
    <w:p w14:paraId="49D03ACB">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1、</w:t>
      </w:r>
      <w:r>
        <w:rPr>
          <w:rFonts w:ascii="Times New Roman" w:hAnsi="Times New Roman" w:eastAsia="楷体" w:cs="Times New Roman"/>
          <w:color w:val="auto"/>
          <w:sz w:val="24"/>
          <w:szCs w:val="24"/>
        </w:rPr>
        <w:t>根据《中华人民共和国招标投标法》、《中华人民共和国招标投标法实施条例》等有关法律、法规和规章的规定，本项目己具备采购条件，现对本项目组织竞争性谈判。</w:t>
      </w:r>
    </w:p>
    <w:p w14:paraId="642CC248">
      <w:pPr>
        <w:spacing w:line="400" w:lineRule="exact"/>
        <w:ind w:firstLine="482" w:firstLineChars="200"/>
        <w:rPr>
          <w:rFonts w:hint="eastAsia" w:ascii="Times New Roman" w:hAnsi="Times New Roman" w:eastAsia="楷体" w:cs="Times New Roman"/>
          <w:b/>
          <w:color w:val="auto"/>
          <w:sz w:val="24"/>
          <w:szCs w:val="24"/>
          <w:lang w:eastAsia="zh-CN"/>
        </w:rPr>
      </w:pPr>
      <w:r>
        <w:rPr>
          <w:rFonts w:ascii="Times New Roman" w:hAnsi="Times New Roman" w:eastAsia="楷体" w:cs="Times New Roman"/>
          <w:b/>
          <w:color w:val="auto"/>
          <w:sz w:val="24"/>
          <w:szCs w:val="24"/>
        </w:rPr>
        <w:t>2、采购人：</w:t>
      </w:r>
      <w:r>
        <w:rPr>
          <w:rFonts w:hint="eastAsia" w:ascii="Times New Roman" w:hAnsi="Times New Roman" w:eastAsia="楷体" w:cs="Times New Roman"/>
          <w:b/>
          <w:color w:val="auto"/>
          <w:sz w:val="24"/>
          <w:szCs w:val="24"/>
          <w:lang w:eastAsia="zh-CN"/>
        </w:rPr>
        <w:t>河北协鑫新能源有限公司</w:t>
      </w:r>
    </w:p>
    <w:p w14:paraId="45853278">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3、项目名称：</w:t>
      </w:r>
      <w:r>
        <w:rPr>
          <w:rFonts w:hint="eastAsia" w:ascii="Times New Roman" w:hAnsi="Times New Roman" w:eastAsia="楷体" w:cs="Times New Roman"/>
          <w:b/>
          <w:color w:val="auto"/>
          <w:sz w:val="24"/>
          <w:szCs w:val="24"/>
        </w:rPr>
        <w:t>河北协鑫新能源有限公司</w:t>
      </w:r>
      <w:r>
        <w:rPr>
          <w:rFonts w:hint="eastAsia" w:ascii="Times New Roman" w:hAnsi="Times New Roman" w:eastAsia="楷体" w:cs="Times New Roman"/>
          <w:b/>
          <w:color w:val="auto"/>
          <w:sz w:val="24"/>
          <w:szCs w:val="24"/>
          <w:lang w:eastAsia="zh-CN"/>
        </w:rPr>
        <w:t>所辖项目电站35kV变压器检测及维修框架采购</w:t>
      </w:r>
    </w:p>
    <w:p w14:paraId="4CD7923C">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4" w:name="_Toc2235"/>
      <w:bookmarkStart w:id="35" w:name="_Toc11590"/>
      <w:r>
        <w:rPr>
          <w:rFonts w:ascii="Times New Roman" w:hAnsi="Times New Roman" w:eastAsia="楷体" w:cs="Times New Roman"/>
          <w:b/>
          <w:bCs/>
          <w:color w:val="auto"/>
          <w:sz w:val="24"/>
          <w:szCs w:val="24"/>
        </w:rPr>
        <w:t>二、投标费用</w:t>
      </w:r>
      <w:bookmarkEnd w:id="33"/>
      <w:bookmarkEnd w:id="34"/>
      <w:bookmarkEnd w:id="35"/>
    </w:p>
    <w:p w14:paraId="1CB503A8">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无论谈判结果如何，谈判申请单位应承担所有</w:t>
      </w:r>
      <w:r>
        <w:rPr>
          <w:rFonts w:ascii="Times New Roman" w:hAnsi="Times New Roman" w:eastAsia="楷体" w:cs="Times New Roman"/>
          <w:bCs/>
          <w:color w:val="auto"/>
          <w:sz w:val="24"/>
          <w:szCs w:val="24"/>
        </w:rPr>
        <w:t>参加谈判产生的差旅费、标前会（若有）、编制及递交谈判申请文件、谈判、中标等涉及</w:t>
      </w:r>
      <w:r>
        <w:rPr>
          <w:rFonts w:ascii="Times New Roman" w:hAnsi="Times New Roman" w:eastAsia="楷体" w:cs="Times New Roman"/>
          <w:color w:val="auto"/>
          <w:sz w:val="24"/>
          <w:szCs w:val="24"/>
        </w:rPr>
        <w:t>的全部费用，采购人在任何情况下均无责任和义务承担这些费用。</w:t>
      </w:r>
    </w:p>
    <w:p w14:paraId="3D64D151">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6" w:name="_Toc102227316"/>
      <w:bookmarkStart w:id="37" w:name="_Toc13784"/>
      <w:bookmarkStart w:id="38" w:name="_Toc19746"/>
      <w:r>
        <w:rPr>
          <w:rFonts w:ascii="Times New Roman" w:hAnsi="Times New Roman" w:eastAsia="楷体" w:cs="Times New Roman"/>
          <w:b/>
          <w:bCs/>
          <w:color w:val="auto"/>
          <w:sz w:val="24"/>
          <w:szCs w:val="24"/>
        </w:rPr>
        <w:t>三、</w:t>
      </w:r>
      <w:bookmarkEnd w:id="36"/>
      <w:r>
        <w:rPr>
          <w:rFonts w:ascii="Times New Roman" w:hAnsi="Times New Roman" w:eastAsia="楷体" w:cs="Times New Roman"/>
          <w:b/>
          <w:bCs/>
          <w:color w:val="auto"/>
          <w:sz w:val="24"/>
          <w:szCs w:val="24"/>
        </w:rPr>
        <w:t>资格要求</w:t>
      </w:r>
      <w:bookmarkEnd w:id="37"/>
      <w:bookmarkEnd w:id="38"/>
      <w:r>
        <w:rPr>
          <w:rFonts w:ascii="Times New Roman" w:hAnsi="Times New Roman" w:eastAsia="楷体" w:cs="Times New Roman"/>
          <w:b/>
          <w:bCs/>
          <w:color w:val="auto"/>
          <w:sz w:val="24"/>
          <w:szCs w:val="24"/>
        </w:rPr>
        <w:t xml:space="preserve"> </w:t>
      </w:r>
    </w:p>
    <w:p w14:paraId="73936301">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同谈判须知前附表。</w:t>
      </w:r>
    </w:p>
    <w:p w14:paraId="69921524">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39" w:name="_Toc8152"/>
      <w:bookmarkStart w:id="40" w:name="_Toc102227317"/>
      <w:bookmarkStart w:id="41" w:name="_Toc14213"/>
      <w:r>
        <w:rPr>
          <w:rFonts w:ascii="Times New Roman" w:hAnsi="Times New Roman" w:eastAsia="楷体" w:cs="Times New Roman"/>
          <w:b/>
          <w:bCs/>
          <w:color w:val="auto"/>
          <w:sz w:val="24"/>
          <w:szCs w:val="24"/>
        </w:rPr>
        <w:t>四、竞争性谈判文件</w:t>
      </w:r>
      <w:bookmarkEnd w:id="39"/>
      <w:bookmarkEnd w:id="40"/>
      <w:bookmarkEnd w:id="41"/>
    </w:p>
    <w:p w14:paraId="54FA8860">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1、竞争性谈判文件由</w:t>
      </w:r>
      <w:r>
        <w:rPr>
          <w:rFonts w:ascii="Times New Roman" w:hAnsi="Times New Roman" w:eastAsia="楷体" w:cs="Times New Roman"/>
          <w:b/>
          <w:color w:val="auto"/>
          <w:sz w:val="24"/>
          <w:szCs w:val="24"/>
          <w:u w:val="single"/>
        </w:rPr>
        <w:t>竞争性谈判</w:t>
      </w:r>
      <w:r>
        <w:rPr>
          <w:rFonts w:hint="eastAsia" w:ascii="Times New Roman" w:hAnsi="Times New Roman" w:eastAsia="楷体" w:cs="Times New Roman"/>
          <w:b/>
          <w:color w:val="auto"/>
          <w:sz w:val="24"/>
          <w:szCs w:val="24"/>
          <w:u w:val="single"/>
          <w:lang w:eastAsia="zh-CN"/>
        </w:rPr>
        <w:t>公告</w:t>
      </w:r>
      <w:r>
        <w:rPr>
          <w:rFonts w:ascii="Times New Roman" w:hAnsi="Times New Roman" w:eastAsia="楷体" w:cs="Times New Roman"/>
          <w:b/>
          <w:color w:val="auto"/>
          <w:sz w:val="24"/>
          <w:szCs w:val="24"/>
          <w:u w:val="single"/>
        </w:rPr>
        <w:t>、谈判须知、合同标准条款和格式、谈判申请文件格式要求</w:t>
      </w:r>
      <w:r>
        <w:rPr>
          <w:rFonts w:hint="eastAsia" w:ascii="Times New Roman" w:hAnsi="Times New Roman" w:eastAsia="楷体" w:cs="Times New Roman"/>
          <w:b/>
          <w:color w:val="auto"/>
          <w:sz w:val="24"/>
          <w:szCs w:val="24"/>
          <w:u w:val="single"/>
          <w:lang w:eastAsia="zh-CN"/>
        </w:rPr>
        <w:t>、项目需求及技术要求</w:t>
      </w:r>
      <w:r>
        <w:rPr>
          <w:rFonts w:hint="eastAsia" w:ascii="Times New Roman" w:hAnsi="Times New Roman" w:eastAsia="楷体" w:cs="Times New Roman"/>
          <w:color w:val="auto"/>
          <w:sz w:val="24"/>
          <w:szCs w:val="24"/>
          <w:lang w:val="en-US" w:eastAsia="zh-CN"/>
        </w:rPr>
        <w:t>五</w:t>
      </w:r>
      <w:r>
        <w:rPr>
          <w:rFonts w:ascii="Times New Roman" w:hAnsi="Times New Roman" w:eastAsia="楷体" w:cs="Times New Roman"/>
          <w:color w:val="auto"/>
          <w:sz w:val="24"/>
          <w:szCs w:val="24"/>
        </w:rPr>
        <w:t>部分组成。</w:t>
      </w:r>
    </w:p>
    <w:p w14:paraId="3CE8982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2、谈判申请单位</w:t>
      </w:r>
      <w:r>
        <w:rPr>
          <w:rFonts w:ascii="Times New Roman" w:hAnsi="Times New Roman" w:eastAsia="楷体" w:cs="Times New Roman"/>
          <w:color w:val="auto"/>
          <w:sz w:val="24"/>
          <w:szCs w:val="24"/>
          <w:lang w:val="zh-CN"/>
        </w:rPr>
        <w:t>应详细阅读</w:t>
      </w:r>
      <w:r>
        <w:rPr>
          <w:rFonts w:ascii="Times New Roman" w:hAnsi="Times New Roman" w:eastAsia="楷体" w:cs="Times New Roman"/>
          <w:color w:val="auto"/>
          <w:sz w:val="24"/>
          <w:szCs w:val="24"/>
        </w:rPr>
        <w:t>竞争性谈判文件</w:t>
      </w:r>
      <w:r>
        <w:rPr>
          <w:rFonts w:ascii="Times New Roman" w:hAnsi="Times New Roman" w:eastAsia="楷体" w:cs="Times New Roman"/>
          <w:color w:val="auto"/>
          <w:sz w:val="24"/>
          <w:szCs w:val="24"/>
          <w:lang w:val="zh-CN"/>
        </w:rPr>
        <w:t>中的所有条款和内容，并按</w:t>
      </w:r>
      <w:r>
        <w:rPr>
          <w:rFonts w:ascii="Times New Roman" w:hAnsi="Times New Roman" w:eastAsia="楷体" w:cs="Times New Roman"/>
          <w:color w:val="auto"/>
          <w:sz w:val="24"/>
          <w:szCs w:val="24"/>
        </w:rPr>
        <w:t>竞争性谈判文件</w:t>
      </w:r>
      <w:r>
        <w:rPr>
          <w:rFonts w:ascii="Times New Roman" w:hAnsi="Times New Roman" w:eastAsia="楷体" w:cs="Times New Roman"/>
          <w:color w:val="auto"/>
          <w:sz w:val="24"/>
          <w:szCs w:val="24"/>
          <w:lang w:val="zh-CN"/>
        </w:rPr>
        <w:t>要求提供全部资料，若递交的谈判申请文件未对竞争性谈判文件做出全面响应的，则</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rPr>
        <w:t>将承担其风险，并根据文件规定有可能导致谈判被拒绝。</w:t>
      </w:r>
    </w:p>
    <w:p w14:paraId="77E79515">
      <w:pPr>
        <w:spacing w:line="400" w:lineRule="exact"/>
        <w:ind w:firstLine="480" w:firstLineChars="200"/>
        <w:rPr>
          <w:rFonts w:ascii="Times New Roman" w:hAnsi="Times New Roman" w:eastAsia="楷体" w:cs="Times New Roman"/>
          <w:color w:val="auto"/>
          <w:sz w:val="24"/>
          <w:szCs w:val="24"/>
          <w:lang w:val="zh-CN"/>
        </w:rPr>
      </w:pPr>
      <w:r>
        <w:rPr>
          <w:rFonts w:ascii="Times New Roman" w:hAnsi="Times New Roman" w:eastAsia="楷体" w:cs="Times New Roman"/>
          <w:color w:val="auto"/>
          <w:sz w:val="24"/>
          <w:szCs w:val="24"/>
          <w:lang w:val="zh-CN"/>
        </w:rPr>
        <w:t>3、采</w:t>
      </w:r>
      <w:r>
        <w:rPr>
          <w:rFonts w:ascii="Times New Roman" w:hAnsi="Times New Roman" w:eastAsia="楷体" w:cs="Times New Roman"/>
          <w:color w:val="auto"/>
          <w:sz w:val="24"/>
          <w:szCs w:val="24"/>
        </w:rPr>
        <w:t>购人可以对已发出的竞争性谈判文件进行必要的澄清或者修改。澄清或者修改的内容可能影响谈判申请文件编制的，采购人应当在</w:t>
      </w:r>
      <w:r>
        <w:rPr>
          <w:rFonts w:ascii="Times New Roman" w:hAnsi="Times New Roman" w:eastAsia="楷体" w:cs="Times New Roman"/>
          <w:b/>
          <w:color w:val="auto"/>
          <w:sz w:val="24"/>
          <w:szCs w:val="24"/>
          <w:u w:val="single"/>
        </w:rPr>
        <w:t>谈判申请文件递交截止时间至少3</w:t>
      </w:r>
      <w:r>
        <w:rPr>
          <w:rFonts w:hint="eastAsia" w:ascii="Times New Roman" w:hAnsi="Times New Roman" w:eastAsia="楷体" w:cs="Times New Roman"/>
          <w:b/>
          <w:color w:val="auto"/>
          <w:sz w:val="24"/>
          <w:szCs w:val="24"/>
          <w:u w:val="single"/>
        </w:rPr>
        <w:t>个工作</w:t>
      </w:r>
      <w:r>
        <w:rPr>
          <w:rFonts w:ascii="Times New Roman" w:hAnsi="Times New Roman" w:eastAsia="楷体" w:cs="Times New Roman"/>
          <w:b/>
          <w:color w:val="auto"/>
          <w:sz w:val="24"/>
          <w:szCs w:val="24"/>
          <w:u w:val="single"/>
        </w:rPr>
        <w:t>日前</w:t>
      </w:r>
      <w:r>
        <w:rPr>
          <w:rFonts w:ascii="Times New Roman" w:hAnsi="Times New Roman" w:eastAsia="楷体" w:cs="Times New Roman"/>
          <w:color w:val="auto"/>
          <w:sz w:val="24"/>
          <w:szCs w:val="24"/>
        </w:rPr>
        <w:t>，以书面形式通知所有获取竞争性谈判文件的谈判申请单位；不足3</w:t>
      </w:r>
      <w:r>
        <w:rPr>
          <w:rFonts w:hint="eastAsia" w:ascii="Times New Roman" w:hAnsi="Times New Roman" w:eastAsia="楷体" w:cs="Times New Roman"/>
          <w:color w:val="auto"/>
          <w:sz w:val="24"/>
          <w:szCs w:val="24"/>
        </w:rPr>
        <w:t>个工作日</w:t>
      </w:r>
      <w:r>
        <w:rPr>
          <w:rFonts w:ascii="Times New Roman" w:hAnsi="Times New Roman" w:eastAsia="楷体" w:cs="Times New Roman"/>
          <w:color w:val="auto"/>
          <w:sz w:val="24"/>
          <w:szCs w:val="24"/>
        </w:rPr>
        <w:t>的，采购人应当顺延提交谈判申请文件的截止时间</w:t>
      </w:r>
      <w:r>
        <w:rPr>
          <w:rFonts w:ascii="Times New Roman" w:hAnsi="Times New Roman" w:eastAsia="楷体" w:cs="Times New Roman"/>
          <w:color w:val="auto"/>
          <w:sz w:val="24"/>
          <w:szCs w:val="24"/>
          <w:lang w:val="zh-CN"/>
        </w:rPr>
        <w:t>，以保证</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rPr>
        <w:t>有合理的时间修编谈判申请文件。</w:t>
      </w:r>
    </w:p>
    <w:p w14:paraId="577BF9A2">
      <w:pPr>
        <w:spacing w:line="400" w:lineRule="exact"/>
        <w:ind w:firstLine="480" w:firstLineChars="200"/>
        <w:rPr>
          <w:rFonts w:ascii="Times New Roman" w:hAnsi="Times New Roman" w:eastAsia="楷体" w:cs="Times New Roman"/>
          <w:color w:val="auto"/>
          <w:sz w:val="24"/>
          <w:szCs w:val="24"/>
          <w:lang w:val="zh-CN"/>
        </w:rPr>
      </w:pPr>
      <w:r>
        <w:rPr>
          <w:rFonts w:ascii="Times New Roman" w:hAnsi="Times New Roman" w:eastAsia="楷体" w:cs="Times New Roman"/>
          <w:color w:val="auto"/>
          <w:sz w:val="24"/>
          <w:szCs w:val="24"/>
          <w:lang w:val="zh-CN"/>
        </w:rPr>
        <w:t>4、谈</w:t>
      </w:r>
      <w:r>
        <w:rPr>
          <w:rFonts w:ascii="Times New Roman" w:hAnsi="Times New Roman" w:eastAsia="楷体" w:cs="Times New Roman"/>
          <w:color w:val="auto"/>
          <w:sz w:val="24"/>
          <w:szCs w:val="24"/>
        </w:rPr>
        <w:t>判申请单位</w:t>
      </w:r>
      <w:r>
        <w:rPr>
          <w:rFonts w:ascii="Times New Roman" w:hAnsi="Times New Roman" w:eastAsia="楷体" w:cs="Times New Roman"/>
          <w:color w:val="auto"/>
          <w:sz w:val="24"/>
          <w:szCs w:val="24"/>
          <w:lang w:val="zh-CN"/>
        </w:rPr>
        <w:t>应仔细阅读和检查竞争性谈判文件的全部内容，</w:t>
      </w:r>
      <w:r>
        <w:rPr>
          <w:rFonts w:ascii="Times New Roman" w:hAnsi="Times New Roman" w:eastAsia="楷体" w:cs="Times New Roman"/>
          <w:color w:val="auto"/>
          <w:sz w:val="24"/>
          <w:szCs w:val="24"/>
        </w:rPr>
        <w:t>对竞争性谈判文件有异议的，应当在</w:t>
      </w:r>
      <w:r>
        <w:rPr>
          <w:rFonts w:ascii="Times New Roman" w:hAnsi="Times New Roman" w:eastAsia="楷体" w:cs="Times New Roman"/>
          <w:b/>
          <w:color w:val="auto"/>
          <w:sz w:val="24"/>
          <w:szCs w:val="24"/>
          <w:u w:val="single"/>
        </w:rPr>
        <w:t>谈判申请文件递交截止时间3</w:t>
      </w:r>
      <w:r>
        <w:rPr>
          <w:rFonts w:hint="eastAsia" w:ascii="Times New Roman" w:hAnsi="Times New Roman" w:eastAsia="楷体" w:cs="Times New Roman"/>
          <w:b/>
          <w:color w:val="auto"/>
          <w:sz w:val="24"/>
          <w:szCs w:val="24"/>
          <w:u w:val="single"/>
        </w:rPr>
        <w:t>个工作日</w:t>
      </w:r>
      <w:r>
        <w:rPr>
          <w:rFonts w:ascii="Times New Roman" w:hAnsi="Times New Roman" w:eastAsia="楷体" w:cs="Times New Roman"/>
          <w:b/>
          <w:color w:val="auto"/>
          <w:sz w:val="24"/>
          <w:szCs w:val="24"/>
          <w:u w:val="single"/>
        </w:rPr>
        <w:t>前</w:t>
      </w:r>
      <w:r>
        <w:rPr>
          <w:rFonts w:ascii="Times New Roman" w:hAnsi="Times New Roman" w:eastAsia="楷体" w:cs="Times New Roman"/>
          <w:color w:val="auto"/>
          <w:sz w:val="24"/>
          <w:szCs w:val="24"/>
        </w:rPr>
        <w:t>以书面形式提出。采购人应当自收到异议之日起1日内以书面形式作出答复，</w:t>
      </w:r>
      <w:r>
        <w:rPr>
          <w:rFonts w:ascii="Times New Roman" w:hAnsi="Times New Roman" w:eastAsia="楷体" w:cs="Times New Roman"/>
          <w:color w:val="auto"/>
          <w:sz w:val="24"/>
          <w:szCs w:val="24"/>
          <w:lang w:val="zh-CN" w:bidi="en-US"/>
        </w:rPr>
        <w:t>并将答疑函发给所有购买竞争性谈判文件的</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bidi="en-US"/>
        </w:rPr>
        <w:t>，但不指明答疑问题的来源。</w:t>
      </w:r>
    </w:p>
    <w:p w14:paraId="5D88AC29">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lang w:val="zh-CN"/>
        </w:rPr>
        <w:t>5、竞争性谈判文件的澄清、修改和答疑等内容均应以书面形式明确的内容为准，并作为竞争性谈判文件的组成部分，</w:t>
      </w:r>
      <w:r>
        <w:rPr>
          <w:rFonts w:ascii="Times New Roman" w:hAnsi="Times New Roman" w:eastAsia="楷体" w:cs="Times New Roman"/>
          <w:color w:val="auto"/>
          <w:sz w:val="24"/>
          <w:szCs w:val="24"/>
          <w:lang w:val="zh-CN" w:bidi="en-US"/>
        </w:rPr>
        <w:t>采购人对本竞争性谈判文件的修改、澄清和答疑等内容与竞争性谈判文件具有同等法律效应。</w:t>
      </w:r>
      <w:r>
        <w:rPr>
          <w:rFonts w:ascii="Times New Roman" w:hAnsi="Times New Roman" w:eastAsia="楷体" w:cs="Times New Roman"/>
          <w:color w:val="auto"/>
          <w:sz w:val="24"/>
          <w:szCs w:val="24"/>
        </w:rPr>
        <w:t>谈判申请单位</w:t>
      </w:r>
      <w:r>
        <w:rPr>
          <w:rFonts w:ascii="Times New Roman" w:hAnsi="Times New Roman" w:eastAsia="楷体" w:cs="Times New Roman"/>
          <w:color w:val="auto"/>
          <w:sz w:val="24"/>
          <w:szCs w:val="24"/>
          <w:lang w:val="zh-CN"/>
        </w:rPr>
        <w:t>在收到澄清、修改和答疑后应在24小时内以书面形式通知采购人，确认已收到。</w:t>
      </w:r>
      <w:bookmarkStart w:id="42" w:name="_Toc102227318"/>
    </w:p>
    <w:p w14:paraId="48CF370C">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43" w:name="_Toc22816"/>
      <w:bookmarkStart w:id="44" w:name="_Toc7878"/>
      <w:r>
        <w:rPr>
          <w:rFonts w:ascii="Times New Roman" w:hAnsi="Times New Roman" w:eastAsia="楷体" w:cs="Times New Roman"/>
          <w:b/>
          <w:bCs/>
          <w:color w:val="auto"/>
          <w:sz w:val="24"/>
          <w:szCs w:val="24"/>
        </w:rPr>
        <w:t>五、谈判申请文件</w:t>
      </w:r>
      <w:bookmarkEnd w:id="42"/>
      <w:bookmarkEnd w:id="43"/>
      <w:bookmarkEnd w:id="44"/>
    </w:p>
    <w:p w14:paraId="56C36C1A">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1、谈判申请文件的编写：严格按照竞争性谈判文件第四章</w:t>
      </w:r>
      <w:r>
        <w:rPr>
          <w:rFonts w:ascii="Times New Roman" w:hAnsi="Times New Roman" w:eastAsia="楷体" w:cs="Times New Roman"/>
          <w:b/>
          <w:color w:val="auto"/>
          <w:sz w:val="24"/>
          <w:szCs w:val="24"/>
        </w:rPr>
        <w:t>“谈判申请文件格式要求”</w:t>
      </w:r>
      <w:r>
        <w:rPr>
          <w:rFonts w:ascii="Times New Roman" w:hAnsi="Times New Roman" w:eastAsia="楷体" w:cs="Times New Roman"/>
          <w:color w:val="auto"/>
          <w:sz w:val="24"/>
          <w:szCs w:val="24"/>
        </w:rPr>
        <w:t>的规定进行编写。</w:t>
      </w:r>
    </w:p>
    <w:p w14:paraId="65DD138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2、谈判申请文件有效期：谈判申请文件递交截止日起30日历日内。</w:t>
      </w:r>
    </w:p>
    <w:p w14:paraId="61F26DCA">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3、谈判申请文件的份数和签署</w:t>
      </w:r>
    </w:p>
    <w:p w14:paraId="783D0577">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（1）谈判申请文件份数：</w:t>
      </w:r>
      <w:r>
        <w:rPr>
          <w:rFonts w:hint="eastAsia" w:ascii="Times New Roman" w:hAnsi="Times New Roman" w:eastAsia="楷体" w:cs="Times New Roman"/>
          <w:color w:val="auto"/>
          <w:sz w:val="24"/>
          <w:szCs w:val="24"/>
        </w:rPr>
        <w:t>纸质标书正本</w:t>
      </w:r>
      <w:r>
        <w:rPr>
          <w:rFonts w:ascii="Times New Roman" w:hAnsi="Times New Roman" w:eastAsia="楷体" w:cs="Times New Roman"/>
          <w:color w:val="auto"/>
          <w:sz w:val="24"/>
          <w:szCs w:val="24"/>
        </w:rPr>
        <w:t>1份</w:t>
      </w:r>
      <w:r>
        <w:rPr>
          <w:rFonts w:hint="eastAsia" w:ascii="Times New Roman" w:hAnsi="Times New Roman" w:eastAsia="楷体" w:cs="Times New Roman"/>
          <w:color w:val="auto"/>
          <w:sz w:val="24"/>
          <w:szCs w:val="24"/>
        </w:rPr>
        <w:t>，</w:t>
      </w:r>
      <w:r>
        <w:rPr>
          <w:rFonts w:ascii="Times New Roman" w:hAnsi="Times New Roman" w:eastAsia="楷体" w:cs="Times New Roman"/>
          <w:color w:val="auto"/>
          <w:sz w:val="24"/>
          <w:szCs w:val="24"/>
        </w:rPr>
        <w:t>需密封并加盖公章，否则将会被拒收。</w:t>
      </w:r>
      <w:r>
        <w:rPr>
          <w:rFonts w:hint="eastAsia" w:ascii="Times New Roman" w:hAnsi="Times New Roman" w:eastAsia="楷体" w:cs="Times New Roman"/>
          <w:color w:val="auto"/>
          <w:sz w:val="24"/>
          <w:szCs w:val="24"/>
        </w:rPr>
        <w:t>电子标书为纸质标书的</w:t>
      </w:r>
      <w:r>
        <w:rPr>
          <w:rFonts w:ascii="Times New Roman" w:hAnsi="Times New Roman" w:eastAsia="楷体" w:cs="Times New Roman"/>
          <w:color w:val="auto"/>
          <w:sz w:val="24"/>
          <w:szCs w:val="24"/>
        </w:rPr>
        <w:t>PDF扫描件，上传至</w:t>
      </w:r>
      <w:r>
        <w:rPr>
          <w:rFonts w:hint="eastAsia" w:ascii="Times New Roman" w:hAnsi="Times New Roman" w:eastAsia="楷体" w:cs="Times New Roman"/>
          <w:color w:val="auto"/>
          <w:sz w:val="24"/>
          <w:szCs w:val="24"/>
          <w:lang w:eastAsia="zh-CN"/>
        </w:rPr>
        <w:t>公司采购平台</w:t>
      </w:r>
      <w:r>
        <w:rPr>
          <w:rFonts w:hint="eastAsia" w:ascii="Times New Roman" w:hAnsi="Times New Roman" w:eastAsia="楷体" w:cs="Times New Roman"/>
          <w:color w:val="auto"/>
          <w:sz w:val="24"/>
          <w:szCs w:val="24"/>
        </w:rPr>
        <w:t>系统</w:t>
      </w:r>
      <w:r>
        <w:rPr>
          <w:rFonts w:ascii="Times New Roman" w:hAnsi="Times New Roman" w:eastAsia="楷体" w:cs="Times New Roman"/>
          <w:color w:val="auto"/>
          <w:sz w:val="24"/>
          <w:szCs w:val="24"/>
        </w:rPr>
        <w:t>http://www.hbyn.cn。</w:t>
      </w:r>
      <w:r>
        <w:rPr>
          <w:rFonts w:hint="eastAsia" w:ascii="Times New Roman" w:hAnsi="Times New Roman" w:eastAsia="楷体" w:cs="Times New Roman"/>
          <w:color w:val="auto"/>
          <w:sz w:val="24"/>
          <w:szCs w:val="24"/>
        </w:rPr>
        <w:t>纸质标书及电子标书（若未上传到询比价系统）邮寄到石家庄市桥西区自强路中交财富中心1号楼701室</w:t>
      </w:r>
      <w:r>
        <w:rPr>
          <w:rFonts w:ascii="Times New Roman" w:hAnsi="Times New Roman" w:eastAsia="楷体" w:cs="Times New Roman"/>
          <w:color w:val="auto"/>
          <w:sz w:val="24"/>
          <w:szCs w:val="24"/>
        </w:rPr>
        <w:t>。</w:t>
      </w:r>
    </w:p>
    <w:p w14:paraId="72189486">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w:t>
      </w:r>
      <w:r>
        <w:rPr>
          <w:rFonts w:ascii="Times New Roman" w:hAnsi="Times New Roman" w:eastAsia="楷体" w:cs="Times New Roman"/>
          <w:b/>
          <w:bCs/>
          <w:color w:val="auto"/>
          <w:sz w:val="24"/>
          <w:szCs w:val="24"/>
        </w:rPr>
        <w:t>谈判申请文件正本应胶装成册，标注清晰。</w:t>
      </w:r>
    </w:p>
    <w:p w14:paraId="2C000565">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（3）谈判申请文件应用不褪色的材料书写或打印，并由谈判申请单位的法定代表人或其委托代理人签字或盖章。</w:t>
      </w:r>
    </w:p>
    <w:p w14:paraId="7AABD92A">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4、谈判申请文件的递交</w:t>
      </w:r>
    </w:p>
    <w:p w14:paraId="74C31622">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（1）谈判申请文件的密封与标记</w:t>
      </w:r>
    </w:p>
    <w:p w14:paraId="02AF0FF9">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谈判申请人将所有谈判申请文件的正本和电子版本统一密封在一个封包内。</w:t>
      </w:r>
    </w:p>
    <w:p w14:paraId="64ECDBC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封口处均应加盖“密封”章或谈判申请人公章。</w:t>
      </w:r>
    </w:p>
    <w:p w14:paraId="075E821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（2）谈判申请文件递交截止时间：详见竞争性谈判</w:t>
      </w:r>
      <w:r>
        <w:rPr>
          <w:rFonts w:hint="eastAsia" w:ascii="Times New Roman" w:hAnsi="Times New Roman" w:eastAsia="楷体" w:cs="Times New Roman"/>
          <w:color w:val="auto"/>
          <w:sz w:val="24"/>
          <w:szCs w:val="24"/>
          <w:lang w:eastAsia="zh-CN"/>
        </w:rPr>
        <w:t>公告</w:t>
      </w:r>
      <w:r>
        <w:rPr>
          <w:rFonts w:ascii="Times New Roman" w:hAnsi="Times New Roman" w:eastAsia="楷体" w:cs="Times New Roman"/>
          <w:color w:val="auto"/>
          <w:sz w:val="24"/>
          <w:szCs w:val="24"/>
        </w:rPr>
        <w:t>。</w:t>
      </w:r>
    </w:p>
    <w:p w14:paraId="5D578C1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（3）谈判申请文件递交地点：详见竞争性谈判</w:t>
      </w:r>
      <w:r>
        <w:rPr>
          <w:rFonts w:hint="eastAsia" w:ascii="Times New Roman" w:hAnsi="Times New Roman" w:eastAsia="楷体" w:cs="Times New Roman"/>
          <w:color w:val="auto"/>
          <w:sz w:val="24"/>
          <w:szCs w:val="24"/>
          <w:lang w:eastAsia="zh-CN"/>
        </w:rPr>
        <w:t>公告</w:t>
      </w:r>
      <w:r>
        <w:rPr>
          <w:rFonts w:ascii="Times New Roman" w:hAnsi="Times New Roman" w:eastAsia="楷体" w:cs="Times New Roman"/>
          <w:color w:val="auto"/>
          <w:sz w:val="24"/>
          <w:szCs w:val="24"/>
        </w:rPr>
        <w:t>。</w:t>
      </w:r>
    </w:p>
    <w:p w14:paraId="199AC99A">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5、若电子文档与纸质文件不一致，以纸质文件为准，谈判申请文件因字迹潦草或表达不清所导致的后果由谈判申请单位自行负责。</w:t>
      </w:r>
    </w:p>
    <w:p w14:paraId="41FFEDD5">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45" w:name="_Toc102227319"/>
      <w:bookmarkStart w:id="46" w:name="_Toc31577"/>
      <w:bookmarkStart w:id="47" w:name="_Toc21245"/>
      <w:r>
        <w:rPr>
          <w:rFonts w:ascii="Times New Roman" w:hAnsi="Times New Roman" w:eastAsia="楷体" w:cs="Times New Roman"/>
          <w:b/>
          <w:bCs/>
          <w:color w:val="auto"/>
          <w:sz w:val="24"/>
          <w:szCs w:val="24"/>
        </w:rPr>
        <w:t>六、谈判</w:t>
      </w:r>
      <w:bookmarkEnd w:id="45"/>
      <w:r>
        <w:rPr>
          <w:rFonts w:ascii="Times New Roman" w:hAnsi="Times New Roman" w:eastAsia="楷体" w:cs="Times New Roman"/>
          <w:b/>
          <w:bCs/>
          <w:color w:val="auto"/>
          <w:sz w:val="24"/>
          <w:szCs w:val="24"/>
        </w:rPr>
        <w:t>要求</w:t>
      </w:r>
      <w:bookmarkEnd w:id="46"/>
      <w:bookmarkEnd w:id="47"/>
    </w:p>
    <w:p w14:paraId="4178DF58">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同谈判须知前附表。</w:t>
      </w:r>
    </w:p>
    <w:p w14:paraId="05975E2E">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48" w:name="_Toc8389"/>
      <w:bookmarkStart w:id="49" w:name="_Toc20162"/>
      <w:r>
        <w:rPr>
          <w:rFonts w:ascii="Times New Roman" w:hAnsi="Times New Roman" w:eastAsia="楷体" w:cs="Times New Roman"/>
          <w:b/>
          <w:bCs/>
          <w:color w:val="auto"/>
          <w:sz w:val="24"/>
          <w:szCs w:val="24"/>
        </w:rPr>
        <w:t>七、谈判报价要求</w:t>
      </w:r>
      <w:bookmarkEnd w:id="48"/>
      <w:bookmarkEnd w:id="49"/>
    </w:p>
    <w:p w14:paraId="723A2052">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单位应按竞争性谈判文件中规定的报价格式填写谈判报价，谈判报价应考虑在项目完成期内的物价因素及实际工作量发生变化的因素。符合合同规定的全部费用和利润都应包括在报价清单所列的各项目中，合同规定应由成交人承担而在报价清单未详细列出的项目，其费用和利润应视为已包括在其它相关项目的报价中。谈判申请单位不应在报价清单中自行增加新的项目或修改项目名称。</w:t>
      </w:r>
    </w:p>
    <w:p w14:paraId="17FFF5EE">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2、竞争性谈判报价为包干价，包括但不限于</w:t>
      </w:r>
      <w:r>
        <w:rPr>
          <w:rFonts w:hint="eastAsia" w:ascii="Times New Roman" w:hAnsi="Times New Roman" w:eastAsia="楷体" w:cs="Times New Roman"/>
          <w:color w:val="auto"/>
          <w:sz w:val="24"/>
          <w:szCs w:val="24"/>
          <w:lang w:eastAsia="zh-CN"/>
        </w:rPr>
        <w:t>物资原价</w:t>
      </w:r>
      <w:r>
        <w:rPr>
          <w:rFonts w:hint="eastAsia" w:ascii="Times New Roman" w:hAnsi="Times New Roman" w:eastAsia="楷体" w:cs="Times New Roman"/>
          <w:color w:val="auto"/>
          <w:sz w:val="24"/>
          <w:szCs w:val="24"/>
        </w:rPr>
        <w:t>、运杂费（含装卸费及包装绑扎费）、运输保险费及税费等</w:t>
      </w:r>
      <w:r>
        <w:rPr>
          <w:rFonts w:ascii="Times New Roman" w:hAnsi="Times New Roman" w:eastAsia="楷体" w:cs="Times New Roman"/>
          <w:color w:val="auto"/>
          <w:sz w:val="24"/>
          <w:szCs w:val="24"/>
        </w:rPr>
        <w:t>。</w:t>
      </w:r>
    </w:p>
    <w:p w14:paraId="1DBD3FB2">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3、报价依据按竞争性谈判文件和招标答疑（若有）、图纸（若有）要求及相关规定进行。</w:t>
      </w:r>
    </w:p>
    <w:p w14:paraId="48EA27EE">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4、本报价的币种为人民币。</w:t>
      </w:r>
    </w:p>
    <w:p w14:paraId="2352154E">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5、谈判申请单位应将谈判报价需要说明的事项，用文字书写并与谈判报价表装订在一起。</w:t>
      </w:r>
    </w:p>
    <w:p w14:paraId="29EFDDF8">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6、谈判报价中未填写的项目费用，视为已包括在其它项目之中。</w:t>
      </w:r>
    </w:p>
    <w:p w14:paraId="73BF127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7、报价明细需要具体到每个项目。</w:t>
      </w:r>
    </w:p>
    <w:p w14:paraId="363821FD">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50" w:name="_Toc102227320"/>
      <w:bookmarkStart w:id="51" w:name="_Toc16340"/>
      <w:bookmarkStart w:id="52" w:name="_Toc30913"/>
      <w:r>
        <w:rPr>
          <w:rFonts w:ascii="Times New Roman" w:hAnsi="Times New Roman" w:eastAsia="楷体" w:cs="Times New Roman"/>
          <w:b/>
          <w:bCs/>
          <w:color w:val="auto"/>
          <w:sz w:val="24"/>
          <w:szCs w:val="24"/>
        </w:rPr>
        <w:t>八、谈判</w:t>
      </w:r>
      <w:bookmarkEnd w:id="50"/>
      <w:r>
        <w:rPr>
          <w:rFonts w:ascii="Times New Roman" w:hAnsi="Times New Roman" w:eastAsia="楷体" w:cs="Times New Roman"/>
          <w:b/>
          <w:bCs/>
          <w:color w:val="auto"/>
          <w:sz w:val="24"/>
          <w:szCs w:val="24"/>
        </w:rPr>
        <w:t>评审办法</w:t>
      </w:r>
      <w:bookmarkEnd w:id="51"/>
      <w:bookmarkEnd w:id="52"/>
    </w:p>
    <w:p w14:paraId="58B7C789">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本项目谈判小组由采购人委派的代表组成，必要时可邀请有关专业、技术、经济等方面的外部专家，谈判小组负责完成本项目的谈判评审工作，评审工作分为初步评审（形式评审、资格评审、响应性评审）、谈判及最终报价、详细评审，出具书面评标报告并推荐成交候选单位。谈判小组总数应当是至少5人及以上的单数。</w:t>
      </w:r>
    </w:p>
    <w:p w14:paraId="49F6203E">
      <w:pPr>
        <w:spacing w:line="400" w:lineRule="exact"/>
        <w:ind w:firstLine="482" w:firstLineChars="200"/>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1、初步评审：</w:t>
      </w:r>
    </w:p>
    <w:p w14:paraId="0C8530DA">
      <w:pPr>
        <w:spacing w:line="400" w:lineRule="exact"/>
        <w:ind w:firstLine="482" w:firstLineChars="200"/>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（1）形式评审</w:t>
      </w: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
        <w:gridCol w:w="1381"/>
        <w:gridCol w:w="3151"/>
        <w:gridCol w:w="1151"/>
        <w:gridCol w:w="1388"/>
        <w:gridCol w:w="1526"/>
      </w:tblGrid>
      <w:tr w14:paraId="5C99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 w:type="pct"/>
            <w:vMerge w:val="restart"/>
            <w:vAlign w:val="center"/>
          </w:tcPr>
          <w:p w14:paraId="016EB72E">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序号</w:t>
            </w:r>
          </w:p>
        </w:tc>
        <w:tc>
          <w:tcPr>
            <w:tcW w:w="767" w:type="pct"/>
            <w:vMerge w:val="restart"/>
            <w:vAlign w:val="center"/>
          </w:tcPr>
          <w:p w14:paraId="5237F931">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评审因素</w:t>
            </w:r>
          </w:p>
        </w:tc>
        <w:tc>
          <w:tcPr>
            <w:tcW w:w="1750" w:type="pct"/>
            <w:vMerge w:val="restart"/>
            <w:vAlign w:val="center"/>
          </w:tcPr>
          <w:p w14:paraId="6FEF47E5">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评审标准</w:t>
            </w:r>
          </w:p>
        </w:tc>
        <w:tc>
          <w:tcPr>
            <w:tcW w:w="2257" w:type="pct"/>
            <w:gridSpan w:val="3"/>
            <w:vAlign w:val="center"/>
          </w:tcPr>
          <w:p w14:paraId="0DC4EB9F">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谈判申请人</w:t>
            </w:r>
          </w:p>
        </w:tc>
      </w:tr>
      <w:tr w14:paraId="015B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6" w:type="pct"/>
            <w:vMerge w:val="continue"/>
            <w:vAlign w:val="center"/>
          </w:tcPr>
          <w:p w14:paraId="2B9864F9">
            <w:pPr>
              <w:spacing w:line="400" w:lineRule="exact"/>
              <w:jc w:val="center"/>
              <w:rPr>
                <w:rFonts w:ascii="Times New Roman" w:hAnsi="Times New Roman" w:eastAsia="楷体" w:cs="Times New Roman"/>
                <w:color w:val="auto"/>
                <w:sz w:val="18"/>
                <w:szCs w:val="18"/>
              </w:rPr>
            </w:pPr>
          </w:p>
        </w:tc>
        <w:tc>
          <w:tcPr>
            <w:tcW w:w="767" w:type="pct"/>
            <w:vMerge w:val="continue"/>
            <w:vAlign w:val="center"/>
          </w:tcPr>
          <w:p w14:paraId="55758873">
            <w:pPr>
              <w:spacing w:line="400" w:lineRule="exact"/>
              <w:jc w:val="center"/>
              <w:rPr>
                <w:rFonts w:ascii="Times New Roman" w:hAnsi="Times New Roman" w:eastAsia="楷体" w:cs="Times New Roman"/>
                <w:color w:val="auto"/>
                <w:sz w:val="18"/>
                <w:szCs w:val="18"/>
              </w:rPr>
            </w:pPr>
          </w:p>
        </w:tc>
        <w:tc>
          <w:tcPr>
            <w:tcW w:w="1750" w:type="pct"/>
            <w:vMerge w:val="continue"/>
            <w:vAlign w:val="center"/>
          </w:tcPr>
          <w:p w14:paraId="267EC3C7">
            <w:pPr>
              <w:spacing w:line="400" w:lineRule="exact"/>
              <w:jc w:val="center"/>
              <w:rPr>
                <w:rFonts w:ascii="Times New Roman" w:hAnsi="Times New Roman" w:eastAsia="楷体" w:cs="Times New Roman"/>
                <w:color w:val="auto"/>
                <w:sz w:val="18"/>
                <w:szCs w:val="18"/>
              </w:rPr>
            </w:pPr>
          </w:p>
        </w:tc>
        <w:tc>
          <w:tcPr>
            <w:tcW w:w="639" w:type="pct"/>
            <w:tcBorders>
              <w:right w:val="single" w:color="auto" w:sz="4" w:space="0"/>
            </w:tcBorders>
            <w:vAlign w:val="center"/>
          </w:tcPr>
          <w:p w14:paraId="32641818">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71EAADE1">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7B3CB52D">
            <w:pPr>
              <w:spacing w:line="400" w:lineRule="exact"/>
              <w:jc w:val="center"/>
              <w:rPr>
                <w:rFonts w:ascii="Times New Roman" w:hAnsi="Times New Roman" w:eastAsia="楷体" w:cs="Times New Roman"/>
                <w:color w:val="auto"/>
                <w:sz w:val="18"/>
                <w:szCs w:val="18"/>
              </w:rPr>
            </w:pPr>
          </w:p>
        </w:tc>
      </w:tr>
      <w:tr w14:paraId="311F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1BA85C3C">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1</w:t>
            </w:r>
          </w:p>
        </w:tc>
        <w:tc>
          <w:tcPr>
            <w:tcW w:w="767" w:type="pct"/>
            <w:vAlign w:val="center"/>
          </w:tcPr>
          <w:p w14:paraId="5764752B">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报价人名称</w:t>
            </w:r>
          </w:p>
        </w:tc>
        <w:tc>
          <w:tcPr>
            <w:tcW w:w="1750" w:type="pct"/>
            <w:vAlign w:val="center"/>
          </w:tcPr>
          <w:p w14:paraId="2AD06C25">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与营业执照一致</w:t>
            </w:r>
          </w:p>
        </w:tc>
        <w:tc>
          <w:tcPr>
            <w:tcW w:w="639" w:type="pct"/>
            <w:tcBorders>
              <w:right w:val="single" w:color="auto" w:sz="4" w:space="0"/>
            </w:tcBorders>
            <w:vAlign w:val="center"/>
          </w:tcPr>
          <w:p w14:paraId="6EC5AF92">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5252227B">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3722CAF2">
            <w:pPr>
              <w:spacing w:line="400" w:lineRule="exact"/>
              <w:jc w:val="center"/>
              <w:rPr>
                <w:rFonts w:ascii="Times New Roman" w:hAnsi="Times New Roman" w:eastAsia="楷体" w:cs="Times New Roman"/>
                <w:color w:val="auto"/>
                <w:sz w:val="18"/>
                <w:szCs w:val="18"/>
              </w:rPr>
            </w:pPr>
          </w:p>
        </w:tc>
      </w:tr>
      <w:tr w14:paraId="78A7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2A687642">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2</w:t>
            </w:r>
          </w:p>
        </w:tc>
        <w:tc>
          <w:tcPr>
            <w:tcW w:w="767" w:type="pct"/>
            <w:vAlign w:val="center"/>
          </w:tcPr>
          <w:p w14:paraId="089BE3E9">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签字或盖章</w:t>
            </w:r>
          </w:p>
        </w:tc>
        <w:tc>
          <w:tcPr>
            <w:tcW w:w="1750" w:type="pct"/>
            <w:vAlign w:val="center"/>
          </w:tcPr>
          <w:p w14:paraId="47FC444E">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按竞争性谈判文件要求签字或盖章</w:t>
            </w:r>
          </w:p>
        </w:tc>
        <w:tc>
          <w:tcPr>
            <w:tcW w:w="639" w:type="pct"/>
            <w:tcBorders>
              <w:right w:val="single" w:color="auto" w:sz="4" w:space="0"/>
            </w:tcBorders>
            <w:vAlign w:val="center"/>
          </w:tcPr>
          <w:p w14:paraId="52886795">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6BAE870D">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7B3E9B7E">
            <w:pPr>
              <w:spacing w:line="400" w:lineRule="exact"/>
              <w:jc w:val="center"/>
              <w:rPr>
                <w:rFonts w:ascii="Times New Roman" w:hAnsi="Times New Roman" w:eastAsia="楷体" w:cs="Times New Roman"/>
                <w:color w:val="auto"/>
                <w:sz w:val="18"/>
                <w:szCs w:val="18"/>
              </w:rPr>
            </w:pPr>
          </w:p>
        </w:tc>
      </w:tr>
      <w:tr w14:paraId="632A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3B1A8705">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3</w:t>
            </w:r>
          </w:p>
        </w:tc>
        <w:tc>
          <w:tcPr>
            <w:tcW w:w="767" w:type="pct"/>
            <w:vAlign w:val="center"/>
          </w:tcPr>
          <w:p w14:paraId="45957B5B">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谈判申请文件格式</w:t>
            </w:r>
          </w:p>
        </w:tc>
        <w:tc>
          <w:tcPr>
            <w:tcW w:w="1750" w:type="pct"/>
            <w:vAlign w:val="center"/>
          </w:tcPr>
          <w:p w14:paraId="34BBA0EA">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符合“谈判申请文件格式要求”</w:t>
            </w:r>
          </w:p>
        </w:tc>
        <w:tc>
          <w:tcPr>
            <w:tcW w:w="639" w:type="pct"/>
            <w:tcBorders>
              <w:right w:val="single" w:color="auto" w:sz="4" w:space="0"/>
            </w:tcBorders>
            <w:vAlign w:val="center"/>
          </w:tcPr>
          <w:p w14:paraId="22B1DC31">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79FF7CA8">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3CFB52B0">
            <w:pPr>
              <w:spacing w:line="400" w:lineRule="exact"/>
              <w:jc w:val="center"/>
              <w:rPr>
                <w:rFonts w:ascii="Times New Roman" w:hAnsi="Times New Roman" w:eastAsia="楷体" w:cs="Times New Roman"/>
                <w:color w:val="auto"/>
                <w:sz w:val="18"/>
                <w:szCs w:val="18"/>
              </w:rPr>
            </w:pPr>
          </w:p>
        </w:tc>
      </w:tr>
      <w:tr w14:paraId="08D6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20D1339B">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4</w:t>
            </w:r>
          </w:p>
        </w:tc>
        <w:tc>
          <w:tcPr>
            <w:tcW w:w="767" w:type="pct"/>
            <w:vAlign w:val="center"/>
          </w:tcPr>
          <w:p w14:paraId="1041815B">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报价</w:t>
            </w:r>
          </w:p>
        </w:tc>
        <w:tc>
          <w:tcPr>
            <w:tcW w:w="1750" w:type="pct"/>
            <w:vAlign w:val="center"/>
          </w:tcPr>
          <w:p w14:paraId="1D431EE6">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只有一个有效报价</w:t>
            </w:r>
          </w:p>
        </w:tc>
        <w:tc>
          <w:tcPr>
            <w:tcW w:w="639" w:type="pct"/>
            <w:tcBorders>
              <w:right w:val="single" w:color="auto" w:sz="4" w:space="0"/>
            </w:tcBorders>
            <w:vAlign w:val="center"/>
          </w:tcPr>
          <w:p w14:paraId="734F86A9">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76431F9F">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7D6832C7">
            <w:pPr>
              <w:spacing w:line="400" w:lineRule="exact"/>
              <w:jc w:val="center"/>
              <w:rPr>
                <w:rFonts w:ascii="Times New Roman" w:hAnsi="Times New Roman" w:eastAsia="楷体" w:cs="Times New Roman"/>
                <w:color w:val="auto"/>
                <w:sz w:val="18"/>
                <w:szCs w:val="18"/>
              </w:rPr>
            </w:pPr>
          </w:p>
        </w:tc>
      </w:tr>
      <w:tr w14:paraId="4277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3" w:type="pct"/>
            <w:gridSpan w:val="3"/>
            <w:vAlign w:val="center"/>
          </w:tcPr>
          <w:p w14:paraId="2B48347F">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结果</w:t>
            </w:r>
          </w:p>
        </w:tc>
        <w:tc>
          <w:tcPr>
            <w:tcW w:w="639" w:type="pct"/>
            <w:tcBorders>
              <w:right w:val="single" w:color="auto" w:sz="4" w:space="0"/>
            </w:tcBorders>
            <w:vAlign w:val="center"/>
          </w:tcPr>
          <w:p w14:paraId="081A53E2">
            <w:pPr>
              <w:spacing w:line="400" w:lineRule="exact"/>
              <w:jc w:val="center"/>
              <w:rPr>
                <w:rFonts w:ascii="Times New Roman" w:hAnsi="Times New Roman" w:eastAsia="楷体" w:cs="Times New Roman"/>
                <w:color w:val="auto"/>
                <w:sz w:val="18"/>
                <w:szCs w:val="18"/>
              </w:rPr>
            </w:pPr>
          </w:p>
        </w:tc>
        <w:tc>
          <w:tcPr>
            <w:tcW w:w="771" w:type="pct"/>
            <w:tcBorders>
              <w:left w:val="single" w:color="auto" w:sz="4" w:space="0"/>
              <w:right w:val="single" w:color="auto" w:sz="4" w:space="0"/>
            </w:tcBorders>
            <w:vAlign w:val="center"/>
          </w:tcPr>
          <w:p w14:paraId="79F24A23">
            <w:pPr>
              <w:spacing w:line="400" w:lineRule="exact"/>
              <w:jc w:val="center"/>
              <w:rPr>
                <w:rFonts w:ascii="Times New Roman" w:hAnsi="Times New Roman" w:eastAsia="楷体" w:cs="Times New Roman"/>
                <w:color w:val="auto"/>
                <w:sz w:val="18"/>
                <w:szCs w:val="18"/>
              </w:rPr>
            </w:pPr>
          </w:p>
        </w:tc>
        <w:tc>
          <w:tcPr>
            <w:tcW w:w="848" w:type="pct"/>
            <w:tcBorders>
              <w:left w:val="single" w:color="auto" w:sz="4" w:space="0"/>
            </w:tcBorders>
            <w:vAlign w:val="center"/>
          </w:tcPr>
          <w:p w14:paraId="02BFC21F">
            <w:pPr>
              <w:spacing w:line="400" w:lineRule="exact"/>
              <w:jc w:val="center"/>
              <w:rPr>
                <w:rFonts w:ascii="Times New Roman" w:hAnsi="Times New Roman" w:eastAsia="楷体" w:cs="Times New Roman"/>
                <w:color w:val="auto"/>
                <w:sz w:val="18"/>
                <w:szCs w:val="18"/>
              </w:rPr>
            </w:pPr>
          </w:p>
        </w:tc>
      </w:tr>
      <w:tr w14:paraId="16F5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04B91996">
            <w:pPr>
              <w:spacing w:line="400" w:lineRule="exact"/>
              <w:rPr>
                <w:rFonts w:ascii="Times New Roman" w:hAnsi="Times New Roman" w:eastAsia="楷体" w:cs="Times New Roman"/>
                <w:color w:val="auto"/>
                <w:kern w:val="0"/>
                <w:sz w:val="18"/>
                <w:szCs w:val="18"/>
              </w:rPr>
            </w:pPr>
            <w:r>
              <w:rPr>
                <w:rFonts w:ascii="Times New Roman" w:hAnsi="Times New Roman" w:eastAsia="楷体" w:cs="Times New Roman"/>
                <w:color w:val="auto"/>
                <w:kern w:val="0"/>
                <w:sz w:val="18"/>
                <w:szCs w:val="18"/>
              </w:rPr>
              <w:t>注：合格的打“√”，不合格的打“×”；就评审情况给出结论性意见（即：“通过”或“不通过”）。</w:t>
            </w:r>
          </w:p>
        </w:tc>
      </w:tr>
    </w:tbl>
    <w:p w14:paraId="096C5AFE">
      <w:pPr>
        <w:spacing w:line="400" w:lineRule="exact"/>
        <w:ind w:firstLine="480" w:firstLineChars="200"/>
        <w:rPr>
          <w:rFonts w:ascii="Times New Roman" w:hAnsi="Times New Roman" w:eastAsia="楷体" w:cs="Times New Roman"/>
          <w:color w:val="auto"/>
          <w:sz w:val="24"/>
          <w:szCs w:val="24"/>
        </w:rPr>
      </w:pPr>
      <w:bookmarkStart w:id="53" w:name="_Toc31404"/>
      <w:bookmarkStart w:id="54" w:name="_Toc14827"/>
      <w:r>
        <w:rPr>
          <w:rFonts w:ascii="Times New Roman" w:hAnsi="Times New Roman" w:eastAsia="楷体" w:cs="Times New Roman"/>
          <w:color w:val="auto"/>
          <w:sz w:val="24"/>
          <w:szCs w:val="24"/>
        </w:rPr>
        <w:t>说明：未通过形式评审的谈判申请单位将予以否决投标。</w:t>
      </w:r>
    </w:p>
    <w:p w14:paraId="53EBBEC7">
      <w:pPr>
        <w:spacing w:line="400" w:lineRule="exact"/>
        <w:ind w:firstLine="482" w:firstLineChars="200"/>
        <w:rPr>
          <w:rFonts w:ascii="Times New Roman" w:hAnsi="Times New Roman" w:eastAsia="楷体" w:cs="Times New Roman"/>
          <w:color w:val="auto"/>
          <w:sz w:val="24"/>
          <w:szCs w:val="24"/>
        </w:rPr>
      </w:pPr>
      <w:r>
        <w:rPr>
          <w:rFonts w:ascii="Times New Roman" w:hAnsi="Times New Roman" w:eastAsia="楷体" w:cs="Times New Roman"/>
          <w:b/>
          <w:bCs/>
          <w:color w:val="auto"/>
          <w:sz w:val="24"/>
          <w:szCs w:val="24"/>
        </w:rPr>
        <w:t>（2）资格审查</w:t>
      </w:r>
      <w:bookmarkEnd w:id="53"/>
      <w:bookmarkEnd w:id="54"/>
      <w:r>
        <w:rPr>
          <w:rFonts w:ascii="Times New Roman" w:hAnsi="Times New Roman" w:eastAsia="楷体" w:cs="Times New Roman"/>
          <w:color w:val="auto"/>
          <w:sz w:val="24"/>
          <w:szCs w:val="24"/>
        </w:rPr>
        <w:t xml:space="preserve"> </w:t>
      </w: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
        <w:gridCol w:w="1188"/>
        <w:gridCol w:w="3105"/>
        <w:gridCol w:w="1387"/>
        <w:gridCol w:w="1387"/>
        <w:gridCol w:w="1531"/>
      </w:tblGrid>
      <w:tr w14:paraId="66CC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26" w:type="pct"/>
            <w:vMerge w:val="restart"/>
            <w:vAlign w:val="center"/>
          </w:tcPr>
          <w:p w14:paraId="72BD6ABA">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序号</w:t>
            </w:r>
          </w:p>
        </w:tc>
        <w:tc>
          <w:tcPr>
            <w:tcW w:w="660" w:type="pct"/>
            <w:vMerge w:val="restart"/>
            <w:vAlign w:val="center"/>
          </w:tcPr>
          <w:p w14:paraId="784A05EE">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评审因素</w:t>
            </w:r>
          </w:p>
        </w:tc>
        <w:tc>
          <w:tcPr>
            <w:tcW w:w="1724" w:type="pct"/>
            <w:vMerge w:val="restart"/>
            <w:vAlign w:val="center"/>
          </w:tcPr>
          <w:p w14:paraId="1EC07F21">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评审标准</w:t>
            </w:r>
          </w:p>
        </w:tc>
        <w:tc>
          <w:tcPr>
            <w:tcW w:w="2389" w:type="pct"/>
            <w:gridSpan w:val="3"/>
            <w:vAlign w:val="center"/>
          </w:tcPr>
          <w:p w14:paraId="63C2E77C">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谈判申请人</w:t>
            </w:r>
          </w:p>
        </w:tc>
      </w:tr>
      <w:tr w14:paraId="11C7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 w:type="pct"/>
            <w:vMerge w:val="continue"/>
            <w:vAlign w:val="center"/>
          </w:tcPr>
          <w:p w14:paraId="642260F9">
            <w:pPr>
              <w:spacing w:line="400" w:lineRule="exact"/>
              <w:jc w:val="center"/>
              <w:rPr>
                <w:rFonts w:ascii="Times New Roman" w:hAnsi="Times New Roman" w:eastAsia="楷体" w:cs="Times New Roman"/>
                <w:color w:val="auto"/>
                <w:sz w:val="18"/>
                <w:szCs w:val="18"/>
              </w:rPr>
            </w:pPr>
          </w:p>
        </w:tc>
        <w:tc>
          <w:tcPr>
            <w:tcW w:w="660" w:type="pct"/>
            <w:vMerge w:val="continue"/>
            <w:vAlign w:val="center"/>
          </w:tcPr>
          <w:p w14:paraId="70E080D8">
            <w:pPr>
              <w:spacing w:line="400" w:lineRule="exact"/>
              <w:jc w:val="center"/>
              <w:rPr>
                <w:rFonts w:ascii="Times New Roman" w:hAnsi="Times New Roman" w:eastAsia="楷体" w:cs="Times New Roman"/>
                <w:color w:val="auto"/>
                <w:sz w:val="18"/>
                <w:szCs w:val="18"/>
              </w:rPr>
            </w:pPr>
          </w:p>
        </w:tc>
        <w:tc>
          <w:tcPr>
            <w:tcW w:w="1724" w:type="pct"/>
            <w:vMerge w:val="continue"/>
            <w:vAlign w:val="center"/>
          </w:tcPr>
          <w:p w14:paraId="78B217DE">
            <w:pPr>
              <w:spacing w:line="400" w:lineRule="exact"/>
              <w:jc w:val="center"/>
              <w:rPr>
                <w:rFonts w:ascii="Times New Roman" w:hAnsi="Times New Roman" w:eastAsia="楷体" w:cs="Times New Roman"/>
                <w:color w:val="auto"/>
                <w:sz w:val="18"/>
                <w:szCs w:val="18"/>
              </w:rPr>
            </w:pPr>
          </w:p>
        </w:tc>
        <w:tc>
          <w:tcPr>
            <w:tcW w:w="770" w:type="pct"/>
            <w:tcBorders>
              <w:right w:val="single" w:color="auto" w:sz="4" w:space="0"/>
            </w:tcBorders>
            <w:vAlign w:val="center"/>
          </w:tcPr>
          <w:p w14:paraId="5A7E4D8E">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25C06EC6">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0A48A798">
            <w:pPr>
              <w:spacing w:line="400" w:lineRule="exact"/>
              <w:jc w:val="center"/>
              <w:rPr>
                <w:rFonts w:ascii="Times New Roman" w:hAnsi="Times New Roman" w:eastAsia="楷体" w:cs="Times New Roman"/>
                <w:color w:val="auto"/>
                <w:sz w:val="18"/>
                <w:szCs w:val="18"/>
              </w:rPr>
            </w:pPr>
          </w:p>
        </w:tc>
      </w:tr>
      <w:tr w14:paraId="3395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5B411D02">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1</w:t>
            </w:r>
          </w:p>
        </w:tc>
        <w:tc>
          <w:tcPr>
            <w:tcW w:w="660" w:type="pct"/>
            <w:vAlign w:val="center"/>
          </w:tcPr>
          <w:p w14:paraId="3F91C841">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营业执照</w:t>
            </w:r>
          </w:p>
        </w:tc>
        <w:tc>
          <w:tcPr>
            <w:tcW w:w="1724" w:type="pct"/>
            <w:vAlign w:val="center"/>
          </w:tcPr>
          <w:p w14:paraId="75C6314C">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合法有效</w:t>
            </w:r>
          </w:p>
        </w:tc>
        <w:tc>
          <w:tcPr>
            <w:tcW w:w="770" w:type="pct"/>
            <w:tcBorders>
              <w:right w:val="single" w:color="auto" w:sz="4" w:space="0"/>
            </w:tcBorders>
            <w:vAlign w:val="center"/>
          </w:tcPr>
          <w:p w14:paraId="3BAD465F">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196D1738">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0F95BECB">
            <w:pPr>
              <w:spacing w:line="400" w:lineRule="exact"/>
              <w:jc w:val="center"/>
              <w:rPr>
                <w:rFonts w:ascii="Times New Roman" w:hAnsi="Times New Roman" w:eastAsia="楷体" w:cs="Times New Roman"/>
                <w:color w:val="auto"/>
                <w:sz w:val="18"/>
                <w:szCs w:val="18"/>
              </w:rPr>
            </w:pPr>
          </w:p>
        </w:tc>
      </w:tr>
      <w:tr w14:paraId="0FEC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3B91B117">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val="en-US" w:eastAsia="zh-CN"/>
              </w:rPr>
              <w:t>2</w:t>
            </w:r>
          </w:p>
        </w:tc>
        <w:tc>
          <w:tcPr>
            <w:tcW w:w="660" w:type="pct"/>
            <w:vAlign w:val="center"/>
          </w:tcPr>
          <w:p w14:paraId="11919E1A">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财务要求</w:t>
            </w:r>
          </w:p>
        </w:tc>
        <w:tc>
          <w:tcPr>
            <w:tcW w:w="1724" w:type="pct"/>
            <w:vAlign w:val="center"/>
          </w:tcPr>
          <w:p w14:paraId="5B9C8C25">
            <w:pPr>
              <w:spacing w:line="400" w:lineRule="exact"/>
              <w:jc w:val="left"/>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财务状况良好，提供近两年经审计的年度</w:t>
            </w:r>
            <w:r>
              <w:rPr>
                <w:rFonts w:hint="eastAsia" w:ascii="Times New Roman" w:hAnsi="Times New Roman" w:eastAsia="楷体" w:cs="Times New Roman"/>
                <w:color w:val="auto"/>
                <w:sz w:val="18"/>
                <w:szCs w:val="18"/>
              </w:rPr>
              <w:t>财务</w:t>
            </w:r>
            <w:r>
              <w:rPr>
                <w:rFonts w:ascii="Times New Roman" w:hAnsi="Times New Roman" w:eastAsia="楷体" w:cs="Times New Roman"/>
                <w:color w:val="auto"/>
                <w:sz w:val="18"/>
                <w:szCs w:val="18"/>
              </w:rPr>
              <w:t>审计报告（如未审计请说明情况并提供近两年年度财务报表）及最近一期财务报表</w:t>
            </w:r>
          </w:p>
        </w:tc>
        <w:tc>
          <w:tcPr>
            <w:tcW w:w="770" w:type="pct"/>
            <w:tcBorders>
              <w:right w:val="single" w:color="auto" w:sz="4" w:space="0"/>
            </w:tcBorders>
            <w:vAlign w:val="center"/>
          </w:tcPr>
          <w:p w14:paraId="10A1C034">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34EC3BF7">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290C5FE8">
            <w:pPr>
              <w:spacing w:line="400" w:lineRule="exact"/>
              <w:jc w:val="center"/>
              <w:rPr>
                <w:rFonts w:ascii="Times New Roman" w:hAnsi="Times New Roman" w:eastAsia="楷体" w:cs="Times New Roman"/>
                <w:color w:val="auto"/>
                <w:sz w:val="18"/>
                <w:szCs w:val="18"/>
              </w:rPr>
            </w:pPr>
          </w:p>
        </w:tc>
      </w:tr>
      <w:tr w14:paraId="118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vAlign w:val="center"/>
          </w:tcPr>
          <w:p w14:paraId="7216CD83">
            <w:pPr>
              <w:spacing w:line="400" w:lineRule="exact"/>
              <w:jc w:val="center"/>
              <w:rPr>
                <w:rFonts w:hint="default" w:ascii="Times New Roman" w:hAnsi="Times New Roman" w:eastAsia="楷体" w:cs="Times New Roman"/>
                <w:color w:val="auto"/>
                <w:sz w:val="18"/>
                <w:szCs w:val="18"/>
                <w:lang w:val="en-US" w:eastAsia="zh-CN"/>
              </w:rPr>
            </w:pPr>
            <w:r>
              <w:rPr>
                <w:rFonts w:hint="eastAsia" w:ascii="Times New Roman" w:hAnsi="Times New Roman" w:eastAsia="楷体" w:cs="Times New Roman"/>
                <w:color w:val="auto"/>
                <w:sz w:val="18"/>
                <w:szCs w:val="18"/>
                <w:lang w:val="en-US" w:eastAsia="zh-CN"/>
              </w:rPr>
              <w:t>3</w:t>
            </w:r>
          </w:p>
        </w:tc>
        <w:tc>
          <w:tcPr>
            <w:tcW w:w="660" w:type="pct"/>
            <w:vAlign w:val="center"/>
          </w:tcPr>
          <w:p w14:paraId="47E14D5B">
            <w:pPr>
              <w:spacing w:line="400" w:lineRule="exact"/>
              <w:jc w:val="center"/>
              <w:rPr>
                <w:rFonts w:hint="eastAsia" w:ascii="Times New Roman" w:hAnsi="Times New Roman" w:eastAsia="楷体" w:cs="Times New Roman"/>
                <w:color w:val="auto"/>
                <w:sz w:val="18"/>
                <w:szCs w:val="18"/>
                <w:lang w:val="en-US" w:eastAsia="zh-CN"/>
              </w:rPr>
            </w:pPr>
            <w:r>
              <w:rPr>
                <w:rFonts w:hint="eastAsia" w:ascii="Times New Roman" w:hAnsi="Times New Roman" w:eastAsia="楷体" w:cs="Times New Roman"/>
                <w:color w:val="auto"/>
                <w:sz w:val="18"/>
                <w:szCs w:val="18"/>
                <w:lang w:val="en-US" w:eastAsia="zh-CN"/>
              </w:rPr>
              <w:t>资质</w:t>
            </w:r>
          </w:p>
        </w:tc>
        <w:tc>
          <w:tcPr>
            <w:tcW w:w="1724" w:type="pct"/>
            <w:vAlign w:val="center"/>
          </w:tcPr>
          <w:p w14:paraId="2111A368">
            <w:pPr>
              <w:spacing w:line="400" w:lineRule="exact"/>
              <w:jc w:val="center"/>
              <w:rPr>
                <w:rFonts w:ascii="Times New Roman" w:hAnsi="Times New Roman" w:eastAsia="楷体" w:cs="Times New Roman"/>
                <w:color w:val="auto"/>
                <w:sz w:val="18"/>
                <w:szCs w:val="18"/>
              </w:rPr>
            </w:pPr>
            <w:r>
              <w:rPr>
                <w:rFonts w:hint="eastAsia" w:ascii="Times New Roman" w:hAnsi="Times New Roman" w:eastAsia="楷体" w:cs="Times New Roman"/>
                <w:color w:val="auto"/>
                <w:sz w:val="18"/>
                <w:szCs w:val="18"/>
                <w:lang w:val="en-US" w:eastAsia="zh-CN"/>
              </w:rPr>
              <w:t>具备四级承装、修、试资质。</w:t>
            </w:r>
          </w:p>
        </w:tc>
        <w:tc>
          <w:tcPr>
            <w:tcW w:w="770" w:type="pct"/>
            <w:tcBorders>
              <w:right w:val="single" w:color="auto" w:sz="4" w:space="0"/>
            </w:tcBorders>
            <w:vAlign w:val="center"/>
          </w:tcPr>
          <w:p w14:paraId="11A71BDA">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1D65DD45">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52A7635B">
            <w:pPr>
              <w:spacing w:line="400" w:lineRule="exact"/>
              <w:jc w:val="center"/>
              <w:rPr>
                <w:rFonts w:ascii="Times New Roman" w:hAnsi="Times New Roman" w:eastAsia="楷体" w:cs="Times New Roman"/>
                <w:color w:val="auto"/>
                <w:sz w:val="18"/>
                <w:szCs w:val="18"/>
              </w:rPr>
            </w:pPr>
          </w:p>
        </w:tc>
      </w:tr>
      <w:tr w14:paraId="5D28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26" w:type="pct"/>
            <w:vAlign w:val="center"/>
          </w:tcPr>
          <w:p w14:paraId="72939C35">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val="en-US" w:eastAsia="zh-CN"/>
              </w:rPr>
              <w:t>4</w:t>
            </w:r>
          </w:p>
        </w:tc>
        <w:tc>
          <w:tcPr>
            <w:tcW w:w="660" w:type="pct"/>
            <w:vAlign w:val="center"/>
          </w:tcPr>
          <w:p w14:paraId="57B0A390">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企业业绩</w:t>
            </w:r>
          </w:p>
        </w:tc>
        <w:tc>
          <w:tcPr>
            <w:tcW w:w="1724" w:type="pct"/>
            <w:vAlign w:val="center"/>
          </w:tcPr>
          <w:p w14:paraId="7A9AA022">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eastAsia="zh-CN"/>
              </w:rPr>
              <w:t>至少三个类似业绩</w:t>
            </w:r>
          </w:p>
        </w:tc>
        <w:tc>
          <w:tcPr>
            <w:tcW w:w="770" w:type="pct"/>
            <w:tcBorders>
              <w:right w:val="single" w:color="auto" w:sz="4" w:space="0"/>
            </w:tcBorders>
            <w:vAlign w:val="center"/>
          </w:tcPr>
          <w:p w14:paraId="5880D5EF">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2447B274">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49DE5F28">
            <w:pPr>
              <w:spacing w:line="400" w:lineRule="exact"/>
              <w:jc w:val="center"/>
              <w:rPr>
                <w:rFonts w:ascii="Times New Roman" w:hAnsi="Times New Roman" w:eastAsia="楷体" w:cs="Times New Roman"/>
                <w:color w:val="auto"/>
                <w:sz w:val="18"/>
                <w:szCs w:val="18"/>
              </w:rPr>
            </w:pPr>
          </w:p>
        </w:tc>
      </w:tr>
      <w:tr w14:paraId="63ED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pct"/>
            <w:gridSpan w:val="3"/>
            <w:vAlign w:val="center"/>
          </w:tcPr>
          <w:p w14:paraId="25E0C28D">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结果</w:t>
            </w:r>
          </w:p>
        </w:tc>
        <w:tc>
          <w:tcPr>
            <w:tcW w:w="770" w:type="pct"/>
            <w:tcBorders>
              <w:right w:val="single" w:color="auto" w:sz="4" w:space="0"/>
            </w:tcBorders>
            <w:vAlign w:val="center"/>
          </w:tcPr>
          <w:p w14:paraId="3CF0DF1D">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6F7FCBCF">
            <w:pPr>
              <w:spacing w:line="400" w:lineRule="exact"/>
              <w:jc w:val="center"/>
              <w:rPr>
                <w:rFonts w:ascii="Times New Roman" w:hAnsi="Times New Roman" w:eastAsia="楷体" w:cs="Times New Roman"/>
                <w:color w:val="auto"/>
                <w:sz w:val="18"/>
                <w:szCs w:val="18"/>
              </w:rPr>
            </w:pPr>
          </w:p>
        </w:tc>
        <w:tc>
          <w:tcPr>
            <w:tcW w:w="847" w:type="pct"/>
            <w:tcBorders>
              <w:left w:val="single" w:color="auto" w:sz="4" w:space="0"/>
            </w:tcBorders>
            <w:vAlign w:val="center"/>
          </w:tcPr>
          <w:p w14:paraId="6096669F">
            <w:pPr>
              <w:spacing w:line="400" w:lineRule="exact"/>
              <w:jc w:val="center"/>
              <w:rPr>
                <w:rFonts w:ascii="Times New Roman" w:hAnsi="Times New Roman" w:eastAsia="楷体" w:cs="Times New Roman"/>
                <w:color w:val="auto"/>
                <w:sz w:val="18"/>
                <w:szCs w:val="18"/>
              </w:rPr>
            </w:pPr>
          </w:p>
        </w:tc>
      </w:tr>
      <w:tr w14:paraId="63D5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6BFB49B4">
            <w:pPr>
              <w:spacing w:line="400" w:lineRule="exact"/>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注：合格的打“√”，不合格的打“×”；就评审情况给出结论性意见（即：“通过”或“不通过”）。</w:t>
            </w:r>
          </w:p>
        </w:tc>
      </w:tr>
    </w:tbl>
    <w:p w14:paraId="3E16C078">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说明：未通过资格审查的谈判申请单位将予以否决投标。</w:t>
      </w:r>
    </w:p>
    <w:p w14:paraId="4D50DB61">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（3）响应性评审</w:t>
      </w: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
        <w:gridCol w:w="1378"/>
        <w:gridCol w:w="3151"/>
        <w:gridCol w:w="1151"/>
        <w:gridCol w:w="1387"/>
        <w:gridCol w:w="1532"/>
      </w:tblGrid>
      <w:tr w14:paraId="3CE9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5" w:type="pct"/>
            <w:vMerge w:val="restart"/>
            <w:vAlign w:val="center"/>
          </w:tcPr>
          <w:p w14:paraId="79DFBF57">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序号</w:t>
            </w:r>
          </w:p>
        </w:tc>
        <w:tc>
          <w:tcPr>
            <w:tcW w:w="765" w:type="pct"/>
            <w:vMerge w:val="restart"/>
            <w:vAlign w:val="center"/>
          </w:tcPr>
          <w:p w14:paraId="11CFD541">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评审因素</w:t>
            </w:r>
          </w:p>
        </w:tc>
        <w:tc>
          <w:tcPr>
            <w:tcW w:w="1749" w:type="pct"/>
            <w:vMerge w:val="restart"/>
            <w:vAlign w:val="center"/>
          </w:tcPr>
          <w:p w14:paraId="2EBB78A3">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评审标准</w:t>
            </w:r>
          </w:p>
        </w:tc>
        <w:tc>
          <w:tcPr>
            <w:tcW w:w="2259" w:type="pct"/>
            <w:gridSpan w:val="3"/>
            <w:vAlign w:val="center"/>
          </w:tcPr>
          <w:p w14:paraId="591AF520">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谈判申请人</w:t>
            </w:r>
          </w:p>
        </w:tc>
      </w:tr>
      <w:tr w14:paraId="780D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5" w:type="pct"/>
            <w:vMerge w:val="continue"/>
            <w:vAlign w:val="center"/>
          </w:tcPr>
          <w:p w14:paraId="4E996380">
            <w:pPr>
              <w:spacing w:line="400" w:lineRule="exact"/>
              <w:jc w:val="center"/>
              <w:rPr>
                <w:rFonts w:ascii="Times New Roman" w:hAnsi="Times New Roman" w:eastAsia="楷体" w:cs="Times New Roman"/>
                <w:color w:val="auto"/>
                <w:sz w:val="18"/>
                <w:szCs w:val="18"/>
              </w:rPr>
            </w:pPr>
          </w:p>
        </w:tc>
        <w:tc>
          <w:tcPr>
            <w:tcW w:w="765" w:type="pct"/>
            <w:vMerge w:val="continue"/>
            <w:vAlign w:val="center"/>
          </w:tcPr>
          <w:p w14:paraId="11EB1A95">
            <w:pPr>
              <w:spacing w:line="400" w:lineRule="exact"/>
              <w:jc w:val="center"/>
              <w:rPr>
                <w:rFonts w:ascii="Times New Roman" w:hAnsi="Times New Roman" w:eastAsia="楷体" w:cs="Times New Roman"/>
                <w:color w:val="auto"/>
                <w:sz w:val="18"/>
                <w:szCs w:val="18"/>
              </w:rPr>
            </w:pPr>
          </w:p>
        </w:tc>
        <w:tc>
          <w:tcPr>
            <w:tcW w:w="1749" w:type="pct"/>
            <w:vMerge w:val="continue"/>
            <w:vAlign w:val="center"/>
          </w:tcPr>
          <w:p w14:paraId="0FB57B47">
            <w:pPr>
              <w:spacing w:line="400" w:lineRule="exact"/>
              <w:jc w:val="center"/>
              <w:rPr>
                <w:rFonts w:ascii="Times New Roman" w:hAnsi="Times New Roman" w:eastAsia="楷体" w:cs="Times New Roman"/>
                <w:color w:val="auto"/>
                <w:sz w:val="18"/>
                <w:szCs w:val="18"/>
              </w:rPr>
            </w:pPr>
          </w:p>
        </w:tc>
        <w:tc>
          <w:tcPr>
            <w:tcW w:w="639" w:type="pct"/>
            <w:tcBorders>
              <w:right w:val="single" w:color="auto" w:sz="4" w:space="0"/>
            </w:tcBorders>
            <w:vAlign w:val="center"/>
          </w:tcPr>
          <w:p w14:paraId="0BFD7389">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49AE93C1">
            <w:pPr>
              <w:spacing w:line="400" w:lineRule="exact"/>
              <w:jc w:val="center"/>
              <w:rPr>
                <w:rFonts w:ascii="Times New Roman" w:hAnsi="Times New Roman" w:eastAsia="楷体" w:cs="Times New Roman"/>
                <w:color w:val="auto"/>
                <w:sz w:val="18"/>
                <w:szCs w:val="18"/>
              </w:rPr>
            </w:pPr>
          </w:p>
        </w:tc>
        <w:tc>
          <w:tcPr>
            <w:tcW w:w="850" w:type="pct"/>
            <w:tcBorders>
              <w:left w:val="single" w:color="auto" w:sz="4" w:space="0"/>
            </w:tcBorders>
            <w:vAlign w:val="center"/>
          </w:tcPr>
          <w:p w14:paraId="0E67111C">
            <w:pPr>
              <w:spacing w:line="400" w:lineRule="exact"/>
              <w:jc w:val="center"/>
              <w:rPr>
                <w:rFonts w:ascii="Times New Roman" w:hAnsi="Times New Roman" w:eastAsia="楷体" w:cs="Times New Roman"/>
                <w:color w:val="auto"/>
                <w:sz w:val="18"/>
                <w:szCs w:val="18"/>
              </w:rPr>
            </w:pPr>
          </w:p>
        </w:tc>
      </w:tr>
      <w:tr w14:paraId="4E28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 w:type="pct"/>
            <w:vAlign w:val="center"/>
          </w:tcPr>
          <w:p w14:paraId="506EEDFE">
            <w:pPr>
              <w:spacing w:line="400" w:lineRule="exact"/>
              <w:jc w:val="center"/>
              <w:rPr>
                <w:rFonts w:hint="eastAsia" w:ascii="Times New Roman" w:hAnsi="Times New Roman" w:eastAsia="楷体" w:cs="Times New Roman"/>
                <w:color w:val="auto"/>
                <w:sz w:val="18"/>
                <w:szCs w:val="18"/>
                <w:lang w:eastAsia="zh-CN"/>
              </w:rPr>
            </w:pPr>
            <w:r>
              <w:rPr>
                <w:rFonts w:hint="eastAsia" w:ascii="Times New Roman" w:hAnsi="Times New Roman" w:eastAsia="楷体" w:cs="Times New Roman"/>
                <w:color w:val="auto"/>
                <w:sz w:val="18"/>
                <w:szCs w:val="18"/>
                <w:lang w:val="en-US" w:eastAsia="zh-CN"/>
              </w:rPr>
              <w:t>1</w:t>
            </w:r>
          </w:p>
        </w:tc>
        <w:tc>
          <w:tcPr>
            <w:tcW w:w="765" w:type="pct"/>
            <w:vAlign w:val="center"/>
          </w:tcPr>
          <w:p w14:paraId="75270AAD">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技术要求</w:t>
            </w:r>
          </w:p>
        </w:tc>
        <w:tc>
          <w:tcPr>
            <w:tcW w:w="1749" w:type="pct"/>
            <w:vAlign w:val="center"/>
          </w:tcPr>
          <w:p w14:paraId="259149D1">
            <w:pPr>
              <w:spacing w:line="400" w:lineRule="exact"/>
              <w:jc w:val="center"/>
              <w:rPr>
                <w:rFonts w:ascii="Times New Roman" w:hAnsi="Times New Roman" w:eastAsia="楷体" w:cs="Times New Roman"/>
                <w:color w:val="auto"/>
                <w:sz w:val="18"/>
                <w:szCs w:val="18"/>
              </w:rPr>
            </w:pPr>
            <w:r>
              <w:rPr>
                <w:rFonts w:hint="eastAsia" w:ascii="Times New Roman" w:hAnsi="Times New Roman" w:eastAsia="楷体" w:cs="Times New Roman"/>
                <w:color w:val="auto"/>
                <w:sz w:val="18"/>
                <w:szCs w:val="18"/>
              </w:rPr>
              <w:t>有完善的</w:t>
            </w:r>
            <w:r>
              <w:rPr>
                <w:rFonts w:hint="eastAsia" w:ascii="Times New Roman" w:hAnsi="Times New Roman" w:eastAsia="楷体" w:cs="Times New Roman"/>
                <w:color w:val="auto"/>
                <w:sz w:val="18"/>
                <w:szCs w:val="18"/>
                <w:lang w:val="en-US" w:eastAsia="zh-CN"/>
              </w:rPr>
              <w:t>服务方案</w:t>
            </w:r>
            <w:r>
              <w:rPr>
                <w:rFonts w:hint="eastAsia" w:ascii="Times New Roman" w:hAnsi="Times New Roman" w:eastAsia="楷体" w:cs="Times New Roman"/>
                <w:color w:val="auto"/>
                <w:sz w:val="18"/>
                <w:szCs w:val="18"/>
              </w:rPr>
              <w:t>及质量保障</w:t>
            </w:r>
          </w:p>
        </w:tc>
        <w:tc>
          <w:tcPr>
            <w:tcW w:w="639" w:type="pct"/>
            <w:tcBorders>
              <w:right w:val="single" w:color="auto" w:sz="4" w:space="0"/>
            </w:tcBorders>
            <w:vAlign w:val="center"/>
          </w:tcPr>
          <w:p w14:paraId="4FFCE0E7">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2F4353C5">
            <w:pPr>
              <w:spacing w:line="400" w:lineRule="exact"/>
              <w:jc w:val="center"/>
              <w:rPr>
                <w:rFonts w:ascii="Times New Roman" w:hAnsi="Times New Roman" w:eastAsia="楷体" w:cs="Times New Roman"/>
                <w:color w:val="auto"/>
                <w:sz w:val="18"/>
                <w:szCs w:val="18"/>
              </w:rPr>
            </w:pPr>
          </w:p>
        </w:tc>
        <w:tc>
          <w:tcPr>
            <w:tcW w:w="850" w:type="pct"/>
            <w:tcBorders>
              <w:left w:val="single" w:color="auto" w:sz="4" w:space="0"/>
            </w:tcBorders>
            <w:vAlign w:val="center"/>
          </w:tcPr>
          <w:p w14:paraId="635120D9">
            <w:pPr>
              <w:spacing w:line="400" w:lineRule="exact"/>
              <w:jc w:val="center"/>
              <w:rPr>
                <w:rFonts w:ascii="Times New Roman" w:hAnsi="Times New Roman" w:eastAsia="楷体" w:cs="Times New Roman"/>
                <w:color w:val="auto"/>
                <w:sz w:val="18"/>
                <w:szCs w:val="18"/>
              </w:rPr>
            </w:pPr>
          </w:p>
        </w:tc>
      </w:tr>
      <w:tr w14:paraId="5BD6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pct"/>
            <w:gridSpan w:val="3"/>
            <w:vAlign w:val="center"/>
          </w:tcPr>
          <w:p w14:paraId="30949BB3">
            <w:pPr>
              <w:spacing w:line="400" w:lineRule="exact"/>
              <w:jc w:val="center"/>
              <w:rPr>
                <w:rFonts w:ascii="Times New Roman" w:hAnsi="Times New Roman" w:eastAsia="楷体" w:cs="Times New Roman"/>
                <w:color w:val="auto"/>
                <w:sz w:val="18"/>
                <w:szCs w:val="18"/>
              </w:rPr>
            </w:pPr>
            <w:r>
              <w:rPr>
                <w:rFonts w:ascii="Times New Roman" w:hAnsi="Times New Roman" w:eastAsia="楷体" w:cs="Times New Roman"/>
                <w:color w:val="auto"/>
                <w:sz w:val="18"/>
                <w:szCs w:val="18"/>
              </w:rPr>
              <w:t>结果</w:t>
            </w:r>
          </w:p>
        </w:tc>
        <w:tc>
          <w:tcPr>
            <w:tcW w:w="639" w:type="pct"/>
            <w:tcBorders>
              <w:right w:val="single" w:color="auto" w:sz="4" w:space="0"/>
            </w:tcBorders>
            <w:vAlign w:val="center"/>
          </w:tcPr>
          <w:p w14:paraId="15479443">
            <w:pPr>
              <w:spacing w:line="400" w:lineRule="exact"/>
              <w:jc w:val="center"/>
              <w:rPr>
                <w:rFonts w:ascii="Times New Roman" w:hAnsi="Times New Roman" w:eastAsia="楷体" w:cs="Times New Roman"/>
                <w:color w:val="auto"/>
                <w:sz w:val="18"/>
                <w:szCs w:val="18"/>
              </w:rPr>
            </w:pPr>
          </w:p>
        </w:tc>
        <w:tc>
          <w:tcPr>
            <w:tcW w:w="770" w:type="pct"/>
            <w:tcBorders>
              <w:left w:val="single" w:color="auto" w:sz="4" w:space="0"/>
              <w:right w:val="single" w:color="auto" w:sz="4" w:space="0"/>
            </w:tcBorders>
            <w:vAlign w:val="center"/>
          </w:tcPr>
          <w:p w14:paraId="05F9A308">
            <w:pPr>
              <w:spacing w:line="400" w:lineRule="exact"/>
              <w:jc w:val="center"/>
              <w:rPr>
                <w:rFonts w:ascii="Times New Roman" w:hAnsi="Times New Roman" w:eastAsia="楷体" w:cs="Times New Roman"/>
                <w:color w:val="auto"/>
                <w:sz w:val="18"/>
                <w:szCs w:val="18"/>
              </w:rPr>
            </w:pPr>
          </w:p>
        </w:tc>
        <w:tc>
          <w:tcPr>
            <w:tcW w:w="850" w:type="pct"/>
            <w:tcBorders>
              <w:left w:val="single" w:color="auto" w:sz="4" w:space="0"/>
            </w:tcBorders>
            <w:vAlign w:val="center"/>
          </w:tcPr>
          <w:p w14:paraId="52E96512">
            <w:pPr>
              <w:spacing w:line="400" w:lineRule="exact"/>
              <w:jc w:val="center"/>
              <w:rPr>
                <w:rFonts w:ascii="Times New Roman" w:hAnsi="Times New Roman" w:eastAsia="楷体" w:cs="Times New Roman"/>
                <w:color w:val="auto"/>
                <w:sz w:val="18"/>
                <w:szCs w:val="18"/>
              </w:rPr>
            </w:pPr>
          </w:p>
        </w:tc>
      </w:tr>
      <w:tr w14:paraId="703A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3362223C">
            <w:pPr>
              <w:spacing w:line="400" w:lineRule="exact"/>
              <w:rPr>
                <w:rFonts w:ascii="Times New Roman" w:hAnsi="Times New Roman" w:eastAsia="楷体" w:cs="Times New Roman"/>
                <w:color w:val="auto"/>
                <w:kern w:val="0"/>
                <w:sz w:val="18"/>
                <w:szCs w:val="18"/>
              </w:rPr>
            </w:pPr>
            <w:r>
              <w:rPr>
                <w:rFonts w:ascii="Times New Roman" w:hAnsi="Times New Roman" w:eastAsia="楷体" w:cs="Times New Roman"/>
                <w:color w:val="auto"/>
                <w:kern w:val="0"/>
                <w:sz w:val="18"/>
                <w:szCs w:val="18"/>
              </w:rPr>
              <w:t>注：合格的打“√”，不合格的打“×”；就评审情况给出结论性意见（即：“通过”或“不通过”）。</w:t>
            </w:r>
          </w:p>
        </w:tc>
      </w:tr>
    </w:tbl>
    <w:p w14:paraId="64A32FA9">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说明：未通过响应性评审的谈判申请单位将予以否决投标。</w:t>
      </w:r>
    </w:p>
    <w:p w14:paraId="6818006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经谈判小组评审，否决谈判申请人后，进入谈判环节有效单位不足三个，只有两个有效谈判单位时，经评审委员会以记名投票方式确定是否仍具有竞争性，如具有竞争性，则进入谈判评比环节。当有效谈判申请人只剩一个时，做流标处理。</w:t>
      </w:r>
    </w:p>
    <w:p w14:paraId="2898F262">
      <w:pPr>
        <w:spacing w:line="400" w:lineRule="exact"/>
        <w:ind w:firstLine="482" w:firstLineChars="200"/>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2、谈判和最终报价：</w:t>
      </w:r>
    </w:p>
    <w:p w14:paraId="2FE0AE9A">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（1）谈判小组集中与通过形式评审、资格审查及响应性评审的谈判申请单位分别进行谈判。在谈判中，谈判的任何一方不得透露与谈判有关的其他谈判申请人的技术资料、价格、折扣和其他信息。</w:t>
      </w:r>
    </w:p>
    <w:p w14:paraId="705F07D5">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（2）竞争性谈判文件有实质性变动的，谈判小组将以书面形式通知所有参加谈判的谈判申请单位。但不得对涉及竞争的公平、公正性内容进行修改、变动。</w:t>
      </w:r>
    </w:p>
    <w:p w14:paraId="1A4694D8">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（3）为有助于对谈判申请文件的详细评审，谈判小组可要求谈判申请单位对其谈判申请文件作出澄清，谈判申请单位应当在规定的时间内作出书面回答。</w:t>
      </w:r>
    </w:p>
    <w:p w14:paraId="0BFC8468">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（4）</w:t>
      </w:r>
      <w:r>
        <w:rPr>
          <w:rFonts w:ascii="Times New Roman" w:hAnsi="Times New Roman" w:eastAsia="楷体" w:cs="Times New Roman"/>
          <w:b/>
          <w:color w:val="auto"/>
          <w:sz w:val="24"/>
          <w:szCs w:val="24"/>
        </w:rPr>
        <w:t>采购人允许谈判申请单位在谈判现场根据谈判情况作出最终报价及承诺，所有参与价格谈判的谈判申请单位享有同等报价机会。</w:t>
      </w:r>
    </w:p>
    <w:p w14:paraId="3855AB3A">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3、详细评审：</w:t>
      </w:r>
    </w:p>
    <w:p w14:paraId="299F669A">
      <w:pPr>
        <w:spacing w:line="400" w:lineRule="exact"/>
        <w:ind w:firstLine="480" w:firstLineChars="200"/>
        <w:rPr>
          <w:rFonts w:ascii="Times New Roman" w:hAnsi="Times New Roman" w:eastAsia="楷体" w:cs="Times New Roman"/>
          <w:color w:val="auto"/>
          <w:sz w:val="24"/>
          <w:szCs w:val="24"/>
          <w:lang w:bidi="en-US"/>
        </w:rPr>
      </w:pPr>
      <w:r>
        <w:rPr>
          <w:rFonts w:ascii="Times New Roman" w:hAnsi="Times New Roman" w:eastAsia="楷体" w:cs="Times New Roman"/>
          <w:color w:val="auto"/>
          <w:sz w:val="24"/>
          <w:szCs w:val="24"/>
        </w:rPr>
        <w:t>（1）本项目的评审采用</w:t>
      </w:r>
      <w:r>
        <w:rPr>
          <w:rFonts w:ascii="Times New Roman" w:hAnsi="Times New Roman" w:eastAsia="楷体" w:cs="Times New Roman"/>
          <w:b/>
          <w:color w:val="auto"/>
          <w:sz w:val="24"/>
          <w:szCs w:val="24"/>
          <w:u w:val="single"/>
        </w:rPr>
        <w:t>综合评</w:t>
      </w:r>
      <w:r>
        <w:rPr>
          <w:rFonts w:hint="eastAsia" w:ascii="Times New Roman" w:hAnsi="Times New Roman" w:eastAsia="楷体" w:cs="Times New Roman"/>
          <w:b/>
          <w:color w:val="auto"/>
          <w:sz w:val="24"/>
          <w:szCs w:val="24"/>
          <w:u w:val="single"/>
        </w:rPr>
        <w:t>分</w:t>
      </w:r>
      <w:r>
        <w:rPr>
          <w:rFonts w:ascii="Times New Roman" w:hAnsi="Times New Roman" w:eastAsia="楷体" w:cs="Times New Roman"/>
          <w:b/>
          <w:color w:val="auto"/>
          <w:sz w:val="24"/>
          <w:szCs w:val="24"/>
          <w:u w:val="single"/>
        </w:rPr>
        <w:t>法</w:t>
      </w:r>
      <w:r>
        <w:rPr>
          <w:rFonts w:ascii="Times New Roman" w:hAnsi="Times New Roman" w:eastAsia="楷体" w:cs="Times New Roman"/>
          <w:color w:val="auto"/>
          <w:sz w:val="24"/>
          <w:szCs w:val="24"/>
        </w:rPr>
        <w:t>对各谈判申请单位递交的谈判申请文件报价、商务及技术进行综合评审，按得分由高到低进行排序（如谈判申请单位最终得分相同时以报价低者优先），</w:t>
      </w:r>
      <w:r>
        <w:rPr>
          <w:rFonts w:ascii="Times New Roman" w:hAnsi="Times New Roman" w:eastAsia="楷体" w:cs="Times New Roman"/>
          <w:color w:val="auto"/>
          <w:sz w:val="24"/>
          <w:szCs w:val="24"/>
          <w:lang w:bidi="en-US"/>
        </w:rPr>
        <w:t>推荐第一成交候选人。</w:t>
      </w:r>
    </w:p>
    <w:p w14:paraId="43E736C5">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w:t>
      </w:r>
      <w:bookmarkStart w:id="55" w:name="_Hlk37431281"/>
      <w:r>
        <w:rPr>
          <w:rFonts w:ascii="Times New Roman" w:hAnsi="Times New Roman" w:eastAsia="楷体" w:cs="Times New Roman"/>
          <w:color w:val="auto"/>
          <w:sz w:val="24"/>
          <w:szCs w:val="24"/>
        </w:rPr>
        <w:t>报价部分评分和商务部分评分采用谈判小组集中评审方式；技术部分评分以各评委独立打分合计的总分除以评委数量计算出平均分，</w:t>
      </w:r>
      <w:bookmarkEnd w:id="55"/>
      <w:r>
        <w:rPr>
          <w:rFonts w:ascii="Times New Roman" w:hAnsi="Times New Roman" w:eastAsia="楷体" w:cs="Times New Roman"/>
          <w:color w:val="auto"/>
          <w:sz w:val="24"/>
          <w:szCs w:val="24"/>
        </w:rPr>
        <w:t xml:space="preserve">即为谈判申请人的最终技术部分得分（保留小数点后两位）。 </w:t>
      </w:r>
      <w:r>
        <w:rPr>
          <w:rFonts w:ascii="Times New Roman" w:hAnsi="Times New Roman" w:eastAsia="楷体" w:cs="Times New Roman"/>
          <w:b/>
          <w:color w:val="auto"/>
          <w:sz w:val="24"/>
          <w:szCs w:val="24"/>
        </w:rPr>
        <w:t>最终得分（100分）=最终报价得分（50分）+商务部分得分（10分）+技术部分得分（40分）</w:t>
      </w:r>
    </w:p>
    <w:p w14:paraId="4F1D4E33">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（3）谈判评审原则：谈判评审活动遵循公平、公正、科学和择优的原则。详细评审如下：</w:t>
      </w:r>
    </w:p>
    <w:p w14:paraId="0BB15A8F">
      <w:pPr>
        <w:pStyle w:val="2"/>
        <w:rPr>
          <w:color w:val="0000FF"/>
        </w:rPr>
      </w:pPr>
    </w:p>
    <w:p w14:paraId="6AA50E7A">
      <w:pPr>
        <w:rPr>
          <w:color w:val="auto"/>
        </w:rPr>
      </w:pPr>
    </w:p>
    <w:p w14:paraId="16C77CEA">
      <w:pPr>
        <w:pStyle w:val="2"/>
        <w:rPr>
          <w:color w:val="auto"/>
        </w:rPr>
      </w:pP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98"/>
        <w:gridCol w:w="1205"/>
        <w:gridCol w:w="3023"/>
        <w:gridCol w:w="1133"/>
        <w:gridCol w:w="989"/>
        <w:gridCol w:w="820"/>
      </w:tblGrid>
      <w:tr w14:paraId="1A0C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53" w:type="pct"/>
            <w:vMerge w:val="restart"/>
            <w:vAlign w:val="center"/>
          </w:tcPr>
          <w:p w14:paraId="7D233FAF">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序</w:t>
            </w:r>
            <w:r>
              <w:rPr>
                <w:rFonts w:hint="eastAsia" w:ascii="Times New Roman" w:hAnsi="Times New Roman" w:eastAsia="楷体" w:cs="Times New Roman"/>
                <w:bCs/>
                <w:color w:val="auto"/>
                <w:sz w:val="24"/>
                <w:szCs w:val="24"/>
              </w:rPr>
              <w:t>号</w:t>
            </w:r>
          </w:p>
        </w:tc>
        <w:tc>
          <w:tcPr>
            <w:tcW w:w="665" w:type="pct"/>
            <w:vMerge w:val="restart"/>
            <w:vAlign w:val="center"/>
          </w:tcPr>
          <w:p w14:paraId="3B0F2866">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评审因素</w:t>
            </w:r>
          </w:p>
        </w:tc>
        <w:tc>
          <w:tcPr>
            <w:tcW w:w="669" w:type="pct"/>
            <w:vMerge w:val="restart"/>
            <w:vAlign w:val="center"/>
          </w:tcPr>
          <w:p w14:paraId="24CBE478">
            <w:pPr>
              <w:spacing w:line="400" w:lineRule="exact"/>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分值（满分）</w:t>
            </w:r>
          </w:p>
        </w:tc>
        <w:tc>
          <w:tcPr>
            <w:tcW w:w="1678" w:type="pct"/>
            <w:vMerge w:val="restart"/>
            <w:vAlign w:val="center"/>
          </w:tcPr>
          <w:p w14:paraId="69D356AD">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评分标准</w:t>
            </w:r>
          </w:p>
        </w:tc>
        <w:tc>
          <w:tcPr>
            <w:tcW w:w="1633" w:type="pct"/>
            <w:gridSpan w:val="3"/>
            <w:vAlign w:val="center"/>
          </w:tcPr>
          <w:p w14:paraId="1F3DEE73">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竞争性谈判申请单位</w:t>
            </w:r>
          </w:p>
        </w:tc>
      </w:tr>
      <w:tr w14:paraId="5DE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53" w:type="pct"/>
            <w:vMerge w:val="continue"/>
            <w:vAlign w:val="center"/>
          </w:tcPr>
          <w:p w14:paraId="71FF14EB">
            <w:pPr>
              <w:spacing w:line="400" w:lineRule="exact"/>
              <w:jc w:val="center"/>
              <w:rPr>
                <w:rFonts w:ascii="Times New Roman" w:hAnsi="Times New Roman" w:eastAsia="楷体" w:cs="Times New Roman"/>
                <w:bCs/>
                <w:color w:val="auto"/>
                <w:sz w:val="24"/>
                <w:szCs w:val="24"/>
              </w:rPr>
            </w:pPr>
          </w:p>
        </w:tc>
        <w:tc>
          <w:tcPr>
            <w:tcW w:w="665" w:type="pct"/>
            <w:vMerge w:val="continue"/>
            <w:vAlign w:val="center"/>
          </w:tcPr>
          <w:p w14:paraId="5886B971">
            <w:pPr>
              <w:spacing w:line="400" w:lineRule="exact"/>
              <w:jc w:val="center"/>
              <w:rPr>
                <w:rFonts w:ascii="Times New Roman" w:hAnsi="Times New Roman" w:eastAsia="楷体" w:cs="Times New Roman"/>
                <w:bCs/>
                <w:color w:val="auto"/>
                <w:sz w:val="24"/>
                <w:szCs w:val="24"/>
              </w:rPr>
            </w:pPr>
          </w:p>
        </w:tc>
        <w:tc>
          <w:tcPr>
            <w:tcW w:w="669" w:type="pct"/>
            <w:vMerge w:val="continue"/>
            <w:vAlign w:val="center"/>
          </w:tcPr>
          <w:p w14:paraId="3E532A23">
            <w:pPr>
              <w:spacing w:line="400" w:lineRule="exact"/>
              <w:jc w:val="center"/>
              <w:rPr>
                <w:rFonts w:ascii="Times New Roman" w:hAnsi="Times New Roman" w:eastAsia="楷体" w:cs="Times New Roman"/>
                <w:bCs/>
                <w:color w:val="auto"/>
                <w:sz w:val="24"/>
                <w:szCs w:val="24"/>
              </w:rPr>
            </w:pPr>
          </w:p>
        </w:tc>
        <w:tc>
          <w:tcPr>
            <w:tcW w:w="1678" w:type="pct"/>
            <w:vMerge w:val="continue"/>
            <w:vAlign w:val="center"/>
          </w:tcPr>
          <w:p w14:paraId="7C2BC03D">
            <w:pPr>
              <w:spacing w:line="400" w:lineRule="exact"/>
              <w:jc w:val="center"/>
              <w:rPr>
                <w:rFonts w:ascii="Times New Roman" w:hAnsi="Times New Roman" w:eastAsia="楷体" w:cs="Times New Roman"/>
                <w:bCs/>
                <w:color w:val="auto"/>
                <w:sz w:val="24"/>
                <w:szCs w:val="24"/>
              </w:rPr>
            </w:pPr>
          </w:p>
        </w:tc>
        <w:tc>
          <w:tcPr>
            <w:tcW w:w="629" w:type="pct"/>
            <w:vAlign w:val="center"/>
          </w:tcPr>
          <w:p w14:paraId="473A3774">
            <w:pPr>
              <w:spacing w:line="400" w:lineRule="exact"/>
              <w:jc w:val="center"/>
              <w:rPr>
                <w:rFonts w:ascii="Times New Roman" w:hAnsi="Times New Roman" w:eastAsia="楷体" w:cs="Times New Roman"/>
                <w:bCs/>
                <w:color w:val="auto"/>
                <w:sz w:val="24"/>
                <w:szCs w:val="24"/>
              </w:rPr>
            </w:pPr>
          </w:p>
        </w:tc>
        <w:tc>
          <w:tcPr>
            <w:tcW w:w="549" w:type="pct"/>
            <w:vAlign w:val="center"/>
          </w:tcPr>
          <w:p w14:paraId="234F0075">
            <w:pPr>
              <w:spacing w:line="400" w:lineRule="exact"/>
              <w:jc w:val="center"/>
              <w:rPr>
                <w:rFonts w:ascii="Times New Roman" w:hAnsi="Times New Roman" w:eastAsia="楷体" w:cs="Times New Roman"/>
                <w:bCs/>
                <w:color w:val="auto"/>
                <w:sz w:val="24"/>
                <w:szCs w:val="24"/>
              </w:rPr>
            </w:pPr>
          </w:p>
        </w:tc>
        <w:tc>
          <w:tcPr>
            <w:tcW w:w="454" w:type="pct"/>
            <w:vAlign w:val="center"/>
          </w:tcPr>
          <w:p w14:paraId="4BC127A6">
            <w:pPr>
              <w:spacing w:line="400" w:lineRule="exact"/>
              <w:jc w:val="center"/>
              <w:rPr>
                <w:rFonts w:ascii="Times New Roman" w:hAnsi="Times New Roman" w:eastAsia="楷体" w:cs="Times New Roman"/>
                <w:bCs/>
                <w:color w:val="auto"/>
                <w:sz w:val="24"/>
                <w:szCs w:val="24"/>
              </w:rPr>
            </w:pPr>
          </w:p>
        </w:tc>
      </w:tr>
      <w:tr w14:paraId="2516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4A7CB9ED">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1</w:t>
            </w:r>
          </w:p>
        </w:tc>
        <w:tc>
          <w:tcPr>
            <w:tcW w:w="665" w:type="pct"/>
            <w:vAlign w:val="center"/>
          </w:tcPr>
          <w:p w14:paraId="24F03C4A">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技术部分</w:t>
            </w:r>
          </w:p>
        </w:tc>
        <w:tc>
          <w:tcPr>
            <w:tcW w:w="669" w:type="pct"/>
            <w:vAlign w:val="center"/>
          </w:tcPr>
          <w:p w14:paraId="249DB04A">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40</w:t>
            </w:r>
          </w:p>
        </w:tc>
        <w:tc>
          <w:tcPr>
            <w:tcW w:w="1678" w:type="pct"/>
            <w:vAlign w:val="center"/>
          </w:tcPr>
          <w:p w14:paraId="2879C483">
            <w:pPr>
              <w:spacing w:line="400" w:lineRule="exact"/>
              <w:rPr>
                <w:rFonts w:ascii="Times New Roman" w:hAnsi="Times New Roman" w:eastAsia="楷体" w:cs="Times New Roman"/>
                <w:bCs/>
                <w:color w:val="auto"/>
                <w:sz w:val="24"/>
                <w:szCs w:val="24"/>
              </w:rPr>
            </w:pPr>
          </w:p>
        </w:tc>
        <w:tc>
          <w:tcPr>
            <w:tcW w:w="629" w:type="pct"/>
            <w:vAlign w:val="center"/>
          </w:tcPr>
          <w:p w14:paraId="0D87653C">
            <w:pPr>
              <w:spacing w:line="400" w:lineRule="exact"/>
              <w:jc w:val="center"/>
              <w:rPr>
                <w:rFonts w:ascii="Times New Roman" w:hAnsi="Times New Roman" w:eastAsia="楷体" w:cs="Times New Roman"/>
                <w:bCs/>
                <w:color w:val="auto"/>
                <w:sz w:val="24"/>
                <w:szCs w:val="24"/>
              </w:rPr>
            </w:pPr>
          </w:p>
        </w:tc>
        <w:tc>
          <w:tcPr>
            <w:tcW w:w="549" w:type="pct"/>
            <w:vAlign w:val="center"/>
          </w:tcPr>
          <w:p w14:paraId="153924A5">
            <w:pPr>
              <w:spacing w:line="400" w:lineRule="exact"/>
              <w:jc w:val="center"/>
              <w:rPr>
                <w:rFonts w:ascii="Times New Roman" w:hAnsi="Times New Roman" w:eastAsia="楷体" w:cs="Times New Roman"/>
                <w:bCs/>
                <w:color w:val="auto"/>
                <w:sz w:val="24"/>
                <w:szCs w:val="24"/>
              </w:rPr>
            </w:pPr>
          </w:p>
        </w:tc>
        <w:tc>
          <w:tcPr>
            <w:tcW w:w="454" w:type="pct"/>
            <w:vAlign w:val="center"/>
          </w:tcPr>
          <w:p w14:paraId="020DECC6">
            <w:pPr>
              <w:spacing w:line="400" w:lineRule="exact"/>
              <w:jc w:val="center"/>
              <w:rPr>
                <w:rFonts w:ascii="Times New Roman" w:hAnsi="Times New Roman" w:eastAsia="楷体" w:cs="Times New Roman"/>
                <w:bCs/>
                <w:color w:val="auto"/>
                <w:sz w:val="24"/>
                <w:szCs w:val="24"/>
              </w:rPr>
            </w:pPr>
          </w:p>
        </w:tc>
      </w:tr>
      <w:tr w14:paraId="0DEE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36" w:type="dxa"/>
            <w:vAlign w:val="center"/>
          </w:tcPr>
          <w:p w14:paraId="37FFDD1E">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1</w:t>
            </w:r>
            <w:r>
              <w:rPr>
                <w:rFonts w:ascii="Times New Roman" w:hAnsi="Times New Roman" w:eastAsia="楷体" w:cs="Times New Roman"/>
                <w:bCs/>
                <w:color w:val="auto"/>
                <w:sz w:val="24"/>
                <w:szCs w:val="24"/>
              </w:rPr>
              <w:t>.1</w:t>
            </w:r>
          </w:p>
        </w:tc>
        <w:tc>
          <w:tcPr>
            <w:tcW w:w="1198" w:type="dxa"/>
            <w:vAlign w:val="center"/>
          </w:tcPr>
          <w:p w14:paraId="4C7328B5">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lang w:val="en-US" w:eastAsia="zh-CN"/>
              </w:rPr>
              <w:t>服务方案</w:t>
            </w:r>
          </w:p>
        </w:tc>
        <w:tc>
          <w:tcPr>
            <w:tcW w:w="1205" w:type="dxa"/>
            <w:vAlign w:val="center"/>
          </w:tcPr>
          <w:p w14:paraId="3FD5DA59">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lang w:val="en-US" w:eastAsia="zh-CN"/>
              </w:rPr>
              <w:t>30</w:t>
            </w:r>
          </w:p>
        </w:tc>
        <w:tc>
          <w:tcPr>
            <w:tcW w:w="3023" w:type="dxa"/>
            <w:vAlign w:val="center"/>
          </w:tcPr>
          <w:p w14:paraId="4D445982">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lang w:val="en-US" w:eastAsia="zh-CN"/>
              </w:rPr>
              <w:t>服务方案</w:t>
            </w:r>
            <w:r>
              <w:rPr>
                <w:rFonts w:hint="eastAsia" w:ascii="Times New Roman" w:hAnsi="Times New Roman" w:eastAsia="楷体" w:cs="Times New Roman"/>
                <w:bCs/>
                <w:color w:val="auto"/>
                <w:sz w:val="24"/>
                <w:szCs w:val="24"/>
              </w:rPr>
              <w:t>质量、</w:t>
            </w:r>
            <w:r>
              <w:rPr>
                <w:rFonts w:hint="eastAsia" w:ascii="Times New Roman" w:hAnsi="Times New Roman" w:eastAsia="楷体" w:cs="Times New Roman"/>
                <w:bCs/>
                <w:color w:val="auto"/>
                <w:sz w:val="24"/>
                <w:szCs w:val="24"/>
                <w:lang w:val="en-US" w:eastAsia="zh-CN"/>
              </w:rPr>
              <w:t>要求</w:t>
            </w:r>
            <w:r>
              <w:rPr>
                <w:rFonts w:hint="eastAsia" w:ascii="Times New Roman" w:hAnsi="Times New Roman" w:eastAsia="楷体" w:cs="Times New Roman"/>
                <w:bCs/>
                <w:color w:val="auto"/>
                <w:sz w:val="24"/>
                <w:szCs w:val="24"/>
              </w:rPr>
              <w:t>满足现场需求，</w:t>
            </w:r>
            <w:r>
              <w:rPr>
                <w:rFonts w:hint="eastAsia" w:ascii="Times New Roman" w:hAnsi="Times New Roman" w:eastAsia="楷体" w:cs="Times New Roman"/>
                <w:bCs/>
                <w:color w:val="auto"/>
                <w:sz w:val="24"/>
                <w:szCs w:val="24"/>
                <w:lang w:val="en-US" w:eastAsia="zh-CN"/>
              </w:rPr>
              <w:t>方案完整</w:t>
            </w:r>
            <w:r>
              <w:rPr>
                <w:rFonts w:hint="eastAsia"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与现场吻合度高</w:t>
            </w:r>
            <w:r>
              <w:rPr>
                <w:rFonts w:hint="eastAsia" w:ascii="Times New Roman" w:hAnsi="Times New Roman" w:eastAsia="楷体" w:cs="Times New Roman"/>
                <w:bCs/>
                <w:color w:val="auto"/>
                <w:sz w:val="24"/>
                <w:szCs w:val="24"/>
              </w:rPr>
              <w:t>得</w:t>
            </w:r>
            <w:r>
              <w:rPr>
                <w:rFonts w:hint="eastAsia" w:ascii="Times New Roman" w:hAnsi="Times New Roman" w:eastAsia="楷体" w:cs="Times New Roman"/>
                <w:bCs/>
                <w:color w:val="auto"/>
                <w:sz w:val="24"/>
                <w:szCs w:val="24"/>
                <w:lang w:val="en-US" w:eastAsia="zh-CN"/>
              </w:rPr>
              <w:t>20</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30</w:t>
            </w:r>
            <w:r>
              <w:rPr>
                <w:rFonts w:hint="eastAsia" w:ascii="Times New Roman" w:hAnsi="Times New Roman" w:eastAsia="楷体" w:cs="Times New Roman"/>
                <w:bCs/>
                <w:color w:val="auto"/>
                <w:sz w:val="24"/>
                <w:szCs w:val="24"/>
              </w:rPr>
              <w:t>分；</w:t>
            </w:r>
            <w:r>
              <w:rPr>
                <w:rFonts w:hint="eastAsia" w:ascii="Times New Roman" w:hAnsi="Times New Roman" w:eastAsia="楷体" w:cs="Times New Roman"/>
                <w:bCs/>
                <w:color w:val="auto"/>
                <w:sz w:val="24"/>
                <w:szCs w:val="24"/>
                <w:lang w:val="en-US" w:eastAsia="zh-CN"/>
              </w:rPr>
              <w:t>方案较完整</w:t>
            </w:r>
            <w:r>
              <w:rPr>
                <w:rFonts w:hint="eastAsia"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与现场吻合度较高</w:t>
            </w:r>
            <w:r>
              <w:rPr>
                <w:rFonts w:hint="eastAsia" w:ascii="Times New Roman" w:hAnsi="Times New Roman" w:eastAsia="楷体" w:cs="Times New Roman"/>
                <w:bCs/>
                <w:color w:val="auto"/>
                <w:sz w:val="24"/>
                <w:szCs w:val="24"/>
              </w:rPr>
              <w:t>得10</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19</w:t>
            </w:r>
            <w:r>
              <w:rPr>
                <w:rFonts w:hint="eastAsia" w:ascii="Times New Roman" w:hAnsi="Times New Roman" w:eastAsia="楷体" w:cs="Times New Roman"/>
                <w:bCs/>
                <w:color w:val="auto"/>
                <w:sz w:val="24"/>
                <w:szCs w:val="24"/>
              </w:rPr>
              <w:t>分；</w:t>
            </w:r>
            <w:r>
              <w:rPr>
                <w:rFonts w:hint="eastAsia" w:ascii="Times New Roman" w:hAnsi="Times New Roman" w:eastAsia="楷体" w:cs="Times New Roman"/>
                <w:bCs/>
                <w:color w:val="auto"/>
                <w:sz w:val="24"/>
                <w:szCs w:val="24"/>
                <w:lang w:val="en-US" w:eastAsia="zh-CN"/>
              </w:rPr>
              <w:t>方案完整性低与现场吻合度低</w:t>
            </w:r>
            <w:r>
              <w:rPr>
                <w:rFonts w:hint="eastAsia" w:ascii="Times New Roman" w:hAnsi="Times New Roman" w:eastAsia="楷体" w:cs="Times New Roman"/>
                <w:bCs/>
                <w:color w:val="auto"/>
                <w:sz w:val="24"/>
                <w:szCs w:val="24"/>
              </w:rPr>
              <w:t>得0</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9</w:t>
            </w:r>
            <w:r>
              <w:rPr>
                <w:rFonts w:hint="eastAsia" w:ascii="Times New Roman" w:hAnsi="Times New Roman" w:eastAsia="楷体" w:cs="Times New Roman"/>
                <w:bCs/>
                <w:color w:val="auto"/>
                <w:sz w:val="24"/>
                <w:szCs w:val="24"/>
              </w:rPr>
              <w:t>分；</w:t>
            </w:r>
          </w:p>
        </w:tc>
        <w:tc>
          <w:tcPr>
            <w:tcW w:w="629" w:type="pct"/>
            <w:vAlign w:val="center"/>
          </w:tcPr>
          <w:p w14:paraId="3AC60FBA">
            <w:pPr>
              <w:spacing w:line="400" w:lineRule="exact"/>
              <w:jc w:val="center"/>
              <w:rPr>
                <w:rFonts w:ascii="Times New Roman" w:hAnsi="Times New Roman" w:eastAsia="楷体" w:cs="Times New Roman"/>
                <w:bCs/>
                <w:color w:val="auto"/>
                <w:sz w:val="24"/>
                <w:szCs w:val="24"/>
              </w:rPr>
            </w:pPr>
          </w:p>
        </w:tc>
        <w:tc>
          <w:tcPr>
            <w:tcW w:w="549" w:type="pct"/>
            <w:vAlign w:val="center"/>
          </w:tcPr>
          <w:p w14:paraId="40B5C063">
            <w:pPr>
              <w:spacing w:line="400" w:lineRule="exact"/>
              <w:jc w:val="center"/>
              <w:rPr>
                <w:rFonts w:ascii="Times New Roman" w:hAnsi="Times New Roman" w:eastAsia="楷体" w:cs="Times New Roman"/>
                <w:bCs/>
                <w:color w:val="auto"/>
                <w:sz w:val="24"/>
                <w:szCs w:val="24"/>
              </w:rPr>
            </w:pPr>
          </w:p>
        </w:tc>
        <w:tc>
          <w:tcPr>
            <w:tcW w:w="454" w:type="pct"/>
            <w:vAlign w:val="center"/>
          </w:tcPr>
          <w:p w14:paraId="033AAC01">
            <w:pPr>
              <w:spacing w:line="400" w:lineRule="exact"/>
              <w:jc w:val="center"/>
              <w:rPr>
                <w:rFonts w:ascii="Times New Roman" w:hAnsi="Times New Roman" w:eastAsia="楷体" w:cs="Times New Roman"/>
                <w:bCs/>
                <w:color w:val="auto"/>
                <w:sz w:val="24"/>
                <w:szCs w:val="24"/>
              </w:rPr>
            </w:pPr>
          </w:p>
        </w:tc>
      </w:tr>
      <w:tr w14:paraId="201E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36" w:type="dxa"/>
            <w:vAlign w:val="center"/>
          </w:tcPr>
          <w:p w14:paraId="206708B5">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1</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2</w:t>
            </w:r>
          </w:p>
        </w:tc>
        <w:tc>
          <w:tcPr>
            <w:tcW w:w="1198" w:type="dxa"/>
            <w:vAlign w:val="center"/>
          </w:tcPr>
          <w:p w14:paraId="420F3625">
            <w:pPr>
              <w:spacing w:line="400" w:lineRule="exact"/>
              <w:jc w:val="center"/>
              <w:rPr>
                <w:rFonts w:hint="eastAsia" w:ascii="Times New Roman" w:hAnsi="Times New Roman" w:eastAsia="楷体" w:cs="Times New Roman"/>
                <w:bCs/>
                <w:color w:val="auto"/>
                <w:sz w:val="24"/>
                <w:szCs w:val="24"/>
                <w:lang w:eastAsia="zh-CN"/>
              </w:rPr>
            </w:pPr>
            <w:r>
              <w:rPr>
                <w:rFonts w:hint="eastAsia" w:ascii="Times New Roman" w:hAnsi="Times New Roman" w:eastAsia="楷体" w:cs="Times New Roman"/>
                <w:bCs/>
                <w:color w:val="auto"/>
                <w:sz w:val="24"/>
                <w:szCs w:val="24"/>
                <w:lang w:val="en-US" w:eastAsia="zh-CN"/>
              </w:rPr>
              <w:t>服务响应时间</w:t>
            </w:r>
          </w:p>
        </w:tc>
        <w:tc>
          <w:tcPr>
            <w:tcW w:w="1205" w:type="dxa"/>
            <w:vAlign w:val="center"/>
          </w:tcPr>
          <w:p w14:paraId="3C8D4DC2">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lang w:val="en-US" w:eastAsia="zh-CN"/>
              </w:rPr>
              <w:t>10</w:t>
            </w:r>
          </w:p>
        </w:tc>
        <w:tc>
          <w:tcPr>
            <w:tcW w:w="3023" w:type="dxa"/>
            <w:vAlign w:val="center"/>
          </w:tcPr>
          <w:p w14:paraId="26B62B5D">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服务响应及时，时间在4-</w:t>
            </w:r>
            <w:r>
              <w:rPr>
                <w:rFonts w:ascii="Times New Roman" w:hAnsi="Times New Roman" w:eastAsia="楷体" w:cs="Times New Roman"/>
                <w:bCs/>
                <w:color w:val="auto"/>
                <w:sz w:val="24"/>
                <w:szCs w:val="24"/>
              </w:rPr>
              <w:t>24</w:t>
            </w:r>
            <w:r>
              <w:rPr>
                <w:rFonts w:hint="eastAsia" w:ascii="Times New Roman" w:hAnsi="Times New Roman" w:eastAsia="楷体" w:cs="Times New Roman"/>
                <w:bCs/>
                <w:color w:val="auto"/>
                <w:sz w:val="24"/>
                <w:szCs w:val="24"/>
              </w:rPr>
              <w:t>小时可结合实际情况得</w:t>
            </w:r>
            <w:r>
              <w:rPr>
                <w:rFonts w:hint="eastAsia" w:ascii="Times New Roman" w:hAnsi="Times New Roman" w:eastAsia="楷体" w:cs="Times New Roman"/>
                <w:bCs/>
                <w:color w:val="auto"/>
                <w:sz w:val="24"/>
                <w:szCs w:val="24"/>
                <w:lang w:val="en-US" w:eastAsia="zh-CN"/>
              </w:rPr>
              <w:t>6</w:t>
            </w:r>
            <w:r>
              <w:rPr>
                <w:rFonts w:hint="eastAsia"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10</w:t>
            </w:r>
            <w:r>
              <w:rPr>
                <w:rFonts w:hint="eastAsia" w:ascii="Times New Roman" w:hAnsi="Times New Roman" w:eastAsia="楷体" w:cs="Times New Roman"/>
                <w:bCs/>
                <w:color w:val="auto"/>
                <w:sz w:val="24"/>
                <w:szCs w:val="24"/>
              </w:rPr>
              <w:t>分；服务响应</w:t>
            </w:r>
            <w:r>
              <w:rPr>
                <w:rFonts w:hint="eastAsia" w:ascii="Times New Roman" w:hAnsi="Times New Roman" w:eastAsia="楷体" w:cs="Times New Roman"/>
                <w:bCs/>
                <w:color w:val="auto"/>
                <w:sz w:val="24"/>
                <w:szCs w:val="24"/>
                <w:lang w:val="en-US" w:eastAsia="zh-CN"/>
              </w:rPr>
              <w:t>较</w:t>
            </w:r>
            <w:r>
              <w:rPr>
                <w:rFonts w:hint="eastAsia" w:ascii="Times New Roman" w:hAnsi="Times New Roman" w:eastAsia="楷体" w:cs="Times New Roman"/>
                <w:bCs/>
                <w:color w:val="auto"/>
                <w:sz w:val="24"/>
                <w:szCs w:val="24"/>
              </w:rPr>
              <w:t>及时，时间在</w:t>
            </w:r>
            <w:r>
              <w:rPr>
                <w:rFonts w:hint="eastAsia" w:ascii="Times New Roman" w:hAnsi="Times New Roman" w:eastAsia="楷体" w:cs="Times New Roman"/>
                <w:bCs/>
                <w:color w:val="auto"/>
                <w:sz w:val="24"/>
                <w:szCs w:val="24"/>
                <w:lang w:val="en-US" w:eastAsia="zh-CN"/>
              </w:rPr>
              <w:t>2</w:t>
            </w:r>
            <w:r>
              <w:rPr>
                <w:rFonts w:hint="eastAsia" w:ascii="Times New Roman" w:hAnsi="Times New Roman" w:eastAsia="楷体" w:cs="Times New Roman"/>
                <w:bCs/>
                <w:color w:val="auto"/>
                <w:sz w:val="24"/>
                <w:szCs w:val="24"/>
              </w:rPr>
              <w:t>4-</w:t>
            </w:r>
            <w:r>
              <w:rPr>
                <w:rFonts w:hint="eastAsia" w:ascii="Times New Roman" w:hAnsi="Times New Roman" w:eastAsia="楷体" w:cs="Times New Roman"/>
                <w:bCs/>
                <w:color w:val="auto"/>
                <w:sz w:val="24"/>
                <w:szCs w:val="24"/>
                <w:lang w:val="en-US" w:eastAsia="zh-CN"/>
              </w:rPr>
              <w:t>48</w:t>
            </w:r>
            <w:r>
              <w:rPr>
                <w:rFonts w:hint="eastAsia" w:ascii="Times New Roman" w:hAnsi="Times New Roman" w:eastAsia="楷体" w:cs="Times New Roman"/>
                <w:bCs/>
                <w:color w:val="auto"/>
                <w:sz w:val="24"/>
                <w:szCs w:val="24"/>
              </w:rPr>
              <w:t>小时可结合实际情况得</w:t>
            </w:r>
            <w:r>
              <w:rPr>
                <w:rFonts w:hint="eastAsia" w:ascii="Times New Roman" w:hAnsi="Times New Roman" w:eastAsia="楷体" w:cs="Times New Roman"/>
                <w:bCs/>
                <w:color w:val="auto"/>
                <w:sz w:val="24"/>
                <w:szCs w:val="24"/>
                <w:lang w:val="en-US" w:eastAsia="zh-CN"/>
              </w:rPr>
              <w:t>1</w:t>
            </w:r>
            <w:r>
              <w:rPr>
                <w:rFonts w:hint="eastAsia"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5</w:t>
            </w:r>
            <w:r>
              <w:rPr>
                <w:rFonts w:hint="eastAsia" w:ascii="Times New Roman" w:hAnsi="Times New Roman" w:eastAsia="楷体" w:cs="Times New Roman"/>
                <w:bCs/>
                <w:color w:val="auto"/>
                <w:sz w:val="24"/>
                <w:szCs w:val="24"/>
              </w:rPr>
              <w:t>分；</w:t>
            </w:r>
            <w:r>
              <w:rPr>
                <w:rFonts w:hint="eastAsia" w:ascii="Times New Roman" w:hAnsi="Times New Roman" w:eastAsia="楷体" w:cs="Times New Roman"/>
                <w:bCs/>
                <w:color w:val="auto"/>
                <w:sz w:val="24"/>
                <w:szCs w:val="24"/>
                <w:lang w:val="en-US" w:eastAsia="zh-CN"/>
              </w:rPr>
              <w:t>超过48小时0分。</w:t>
            </w:r>
          </w:p>
        </w:tc>
        <w:tc>
          <w:tcPr>
            <w:tcW w:w="629" w:type="pct"/>
            <w:vAlign w:val="center"/>
          </w:tcPr>
          <w:p w14:paraId="4A2A856D">
            <w:pPr>
              <w:spacing w:line="400" w:lineRule="exact"/>
              <w:jc w:val="center"/>
              <w:rPr>
                <w:rFonts w:ascii="Times New Roman" w:hAnsi="Times New Roman" w:eastAsia="楷体" w:cs="Times New Roman"/>
                <w:bCs/>
                <w:color w:val="auto"/>
                <w:sz w:val="24"/>
                <w:szCs w:val="24"/>
              </w:rPr>
            </w:pPr>
          </w:p>
        </w:tc>
        <w:tc>
          <w:tcPr>
            <w:tcW w:w="549" w:type="pct"/>
            <w:vAlign w:val="center"/>
          </w:tcPr>
          <w:p w14:paraId="0258EB75">
            <w:pPr>
              <w:spacing w:line="400" w:lineRule="exact"/>
              <w:jc w:val="center"/>
              <w:rPr>
                <w:rFonts w:ascii="Times New Roman" w:hAnsi="Times New Roman" w:eastAsia="楷体" w:cs="Times New Roman"/>
                <w:bCs/>
                <w:color w:val="auto"/>
                <w:sz w:val="24"/>
                <w:szCs w:val="24"/>
              </w:rPr>
            </w:pPr>
          </w:p>
        </w:tc>
        <w:tc>
          <w:tcPr>
            <w:tcW w:w="454" w:type="pct"/>
            <w:vAlign w:val="center"/>
          </w:tcPr>
          <w:p w14:paraId="72BDAB0E">
            <w:pPr>
              <w:spacing w:line="400" w:lineRule="exact"/>
              <w:jc w:val="center"/>
              <w:rPr>
                <w:rFonts w:ascii="Times New Roman" w:hAnsi="Times New Roman" w:eastAsia="楷体" w:cs="Times New Roman"/>
                <w:bCs/>
                <w:color w:val="auto"/>
                <w:sz w:val="24"/>
                <w:szCs w:val="24"/>
              </w:rPr>
            </w:pPr>
          </w:p>
        </w:tc>
      </w:tr>
      <w:tr w14:paraId="24AA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2290BA24">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2</w:t>
            </w:r>
          </w:p>
        </w:tc>
        <w:tc>
          <w:tcPr>
            <w:tcW w:w="665" w:type="pct"/>
            <w:vAlign w:val="center"/>
          </w:tcPr>
          <w:p w14:paraId="2FD3347E">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商务部分</w:t>
            </w:r>
          </w:p>
        </w:tc>
        <w:tc>
          <w:tcPr>
            <w:tcW w:w="669" w:type="pct"/>
            <w:vAlign w:val="center"/>
          </w:tcPr>
          <w:p w14:paraId="0858556D">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10</w:t>
            </w:r>
          </w:p>
        </w:tc>
        <w:tc>
          <w:tcPr>
            <w:tcW w:w="1678" w:type="pct"/>
            <w:vAlign w:val="center"/>
          </w:tcPr>
          <w:p w14:paraId="4F035760">
            <w:pPr>
              <w:spacing w:line="400" w:lineRule="exact"/>
              <w:rPr>
                <w:rFonts w:ascii="Times New Roman" w:hAnsi="Times New Roman" w:eastAsia="楷体" w:cs="Times New Roman"/>
                <w:bCs/>
                <w:color w:val="auto"/>
                <w:sz w:val="24"/>
                <w:szCs w:val="24"/>
              </w:rPr>
            </w:pPr>
          </w:p>
        </w:tc>
        <w:tc>
          <w:tcPr>
            <w:tcW w:w="629" w:type="pct"/>
            <w:vAlign w:val="center"/>
          </w:tcPr>
          <w:p w14:paraId="7A4C7792">
            <w:pPr>
              <w:spacing w:line="400" w:lineRule="exact"/>
              <w:jc w:val="center"/>
              <w:rPr>
                <w:rFonts w:ascii="Times New Roman" w:hAnsi="Times New Roman" w:eastAsia="楷体" w:cs="Times New Roman"/>
                <w:bCs/>
                <w:color w:val="auto"/>
                <w:sz w:val="24"/>
                <w:szCs w:val="24"/>
              </w:rPr>
            </w:pPr>
          </w:p>
        </w:tc>
        <w:tc>
          <w:tcPr>
            <w:tcW w:w="549" w:type="pct"/>
            <w:vAlign w:val="center"/>
          </w:tcPr>
          <w:p w14:paraId="3AA0EC40">
            <w:pPr>
              <w:spacing w:line="400" w:lineRule="exact"/>
              <w:jc w:val="center"/>
              <w:rPr>
                <w:rFonts w:ascii="Times New Roman" w:hAnsi="Times New Roman" w:eastAsia="楷体" w:cs="Times New Roman"/>
                <w:bCs/>
                <w:color w:val="auto"/>
                <w:sz w:val="24"/>
                <w:szCs w:val="24"/>
              </w:rPr>
            </w:pPr>
          </w:p>
        </w:tc>
        <w:tc>
          <w:tcPr>
            <w:tcW w:w="454" w:type="pct"/>
            <w:vAlign w:val="center"/>
          </w:tcPr>
          <w:p w14:paraId="0A59439A">
            <w:pPr>
              <w:spacing w:line="400" w:lineRule="exact"/>
              <w:jc w:val="center"/>
              <w:rPr>
                <w:rFonts w:ascii="Times New Roman" w:hAnsi="Times New Roman" w:eastAsia="楷体" w:cs="Times New Roman"/>
                <w:bCs/>
                <w:color w:val="auto"/>
                <w:sz w:val="24"/>
                <w:szCs w:val="24"/>
              </w:rPr>
            </w:pPr>
          </w:p>
        </w:tc>
      </w:tr>
      <w:tr w14:paraId="31EA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7444C8B0">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2.1</w:t>
            </w:r>
          </w:p>
        </w:tc>
        <w:tc>
          <w:tcPr>
            <w:tcW w:w="665" w:type="pct"/>
            <w:vAlign w:val="center"/>
          </w:tcPr>
          <w:p w14:paraId="5B269193">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财务状况</w:t>
            </w:r>
          </w:p>
        </w:tc>
        <w:tc>
          <w:tcPr>
            <w:tcW w:w="669" w:type="pct"/>
            <w:vAlign w:val="center"/>
          </w:tcPr>
          <w:p w14:paraId="0549EB84">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5</w:t>
            </w:r>
          </w:p>
        </w:tc>
        <w:tc>
          <w:tcPr>
            <w:tcW w:w="1678" w:type="pct"/>
            <w:vAlign w:val="center"/>
          </w:tcPr>
          <w:p w14:paraId="74F1201D">
            <w:pPr>
              <w:spacing w:line="400" w:lineRule="exact"/>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两年（</w:t>
            </w:r>
            <w:r>
              <w:rPr>
                <w:rFonts w:ascii="Times New Roman" w:hAnsi="Times New Roman" w:eastAsia="楷体" w:cs="Times New Roman"/>
                <w:bCs/>
                <w:color w:val="auto"/>
                <w:sz w:val="24"/>
                <w:szCs w:val="24"/>
              </w:rPr>
              <w:t>20</w:t>
            </w:r>
            <w:r>
              <w:rPr>
                <w:rFonts w:hint="eastAsia" w:ascii="Times New Roman" w:hAnsi="Times New Roman" w:eastAsia="楷体" w:cs="Times New Roman"/>
                <w:bCs/>
                <w:color w:val="auto"/>
                <w:sz w:val="24"/>
                <w:szCs w:val="24"/>
              </w:rPr>
              <w:t>2</w:t>
            </w:r>
            <w:r>
              <w:rPr>
                <w:rFonts w:hint="eastAsia" w:ascii="Times New Roman" w:hAnsi="Times New Roman" w:eastAsia="楷体" w:cs="Times New Roman"/>
                <w:bCs/>
                <w:color w:val="auto"/>
                <w:sz w:val="24"/>
                <w:szCs w:val="24"/>
                <w:lang w:val="en-US" w:eastAsia="zh-CN"/>
              </w:rPr>
              <w:t>1</w:t>
            </w:r>
            <w:r>
              <w:rPr>
                <w:rFonts w:ascii="Times New Roman" w:hAnsi="Times New Roman" w:eastAsia="楷体" w:cs="Times New Roman"/>
                <w:bCs/>
                <w:color w:val="auto"/>
                <w:sz w:val="24"/>
                <w:szCs w:val="24"/>
              </w:rPr>
              <w:t>年、202</w:t>
            </w:r>
            <w:r>
              <w:rPr>
                <w:rFonts w:hint="eastAsia" w:ascii="Times New Roman" w:hAnsi="Times New Roman" w:eastAsia="楷体" w:cs="Times New Roman"/>
                <w:bCs/>
                <w:color w:val="auto"/>
                <w:sz w:val="24"/>
                <w:szCs w:val="24"/>
                <w:lang w:val="en-US" w:eastAsia="zh-CN"/>
              </w:rPr>
              <w:t>2</w:t>
            </w:r>
            <w:r>
              <w:rPr>
                <w:rFonts w:ascii="Times New Roman" w:hAnsi="Times New Roman" w:eastAsia="楷体" w:cs="Times New Roman"/>
                <w:bCs/>
                <w:color w:val="auto"/>
                <w:sz w:val="24"/>
                <w:szCs w:val="24"/>
              </w:rPr>
              <w:t>年）年内</w:t>
            </w:r>
            <w:r>
              <w:rPr>
                <w:rFonts w:hint="eastAsia" w:ascii="Times New Roman" w:hAnsi="Times New Roman" w:eastAsia="楷体" w:cs="Times New Roman"/>
                <w:bCs/>
                <w:color w:val="auto"/>
                <w:sz w:val="24"/>
                <w:szCs w:val="24"/>
              </w:rPr>
              <w:t>经营活动净现金流</w:t>
            </w:r>
            <w:r>
              <w:rPr>
                <w:rFonts w:ascii="Times New Roman" w:hAnsi="Times New Roman" w:eastAsia="楷体" w:cs="Times New Roman"/>
                <w:bCs/>
                <w:color w:val="auto"/>
                <w:sz w:val="24"/>
                <w:szCs w:val="24"/>
              </w:rPr>
              <w:t>在所有合格的投标者中最高的得5分，最低得1分。处于中间水平的单位得分按内插法计算。</w:t>
            </w:r>
          </w:p>
        </w:tc>
        <w:tc>
          <w:tcPr>
            <w:tcW w:w="629" w:type="pct"/>
            <w:vAlign w:val="center"/>
          </w:tcPr>
          <w:p w14:paraId="3043249F">
            <w:pPr>
              <w:spacing w:line="400" w:lineRule="exact"/>
              <w:jc w:val="center"/>
              <w:rPr>
                <w:rFonts w:ascii="Times New Roman" w:hAnsi="Times New Roman" w:eastAsia="楷体" w:cs="Times New Roman"/>
                <w:bCs/>
                <w:color w:val="auto"/>
                <w:sz w:val="24"/>
                <w:szCs w:val="24"/>
              </w:rPr>
            </w:pPr>
          </w:p>
        </w:tc>
        <w:tc>
          <w:tcPr>
            <w:tcW w:w="549" w:type="pct"/>
            <w:vAlign w:val="center"/>
          </w:tcPr>
          <w:p w14:paraId="6AE4CA45">
            <w:pPr>
              <w:spacing w:line="400" w:lineRule="exact"/>
              <w:jc w:val="center"/>
              <w:rPr>
                <w:rFonts w:ascii="Times New Roman" w:hAnsi="Times New Roman" w:eastAsia="楷体" w:cs="Times New Roman"/>
                <w:bCs/>
                <w:color w:val="auto"/>
                <w:sz w:val="24"/>
                <w:szCs w:val="24"/>
              </w:rPr>
            </w:pPr>
          </w:p>
        </w:tc>
        <w:tc>
          <w:tcPr>
            <w:tcW w:w="454" w:type="pct"/>
            <w:vAlign w:val="center"/>
          </w:tcPr>
          <w:p w14:paraId="432C2A39">
            <w:pPr>
              <w:spacing w:line="400" w:lineRule="exact"/>
              <w:jc w:val="center"/>
              <w:rPr>
                <w:rFonts w:ascii="Times New Roman" w:hAnsi="Times New Roman" w:eastAsia="楷体" w:cs="Times New Roman"/>
                <w:bCs/>
                <w:color w:val="auto"/>
                <w:sz w:val="24"/>
                <w:szCs w:val="24"/>
              </w:rPr>
            </w:pPr>
          </w:p>
        </w:tc>
      </w:tr>
      <w:tr w14:paraId="0450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08BD6B43">
            <w:pPr>
              <w:spacing w:line="400" w:lineRule="exact"/>
              <w:jc w:val="center"/>
              <w:rPr>
                <w:rFonts w:hint="eastAsia" w:ascii="Times New Roman" w:hAnsi="Times New Roman" w:eastAsia="楷体" w:cs="Times New Roman"/>
                <w:bCs/>
                <w:color w:val="auto"/>
                <w:sz w:val="24"/>
                <w:szCs w:val="24"/>
                <w:lang w:eastAsia="zh-CN"/>
              </w:rPr>
            </w:pPr>
            <w:r>
              <w:rPr>
                <w:rFonts w:hint="eastAsia" w:ascii="Times New Roman" w:hAnsi="Times New Roman" w:eastAsia="楷体" w:cs="Times New Roman"/>
                <w:bCs/>
                <w:color w:val="auto"/>
                <w:sz w:val="24"/>
                <w:szCs w:val="24"/>
              </w:rPr>
              <w:t>2</w:t>
            </w:r>
            <w:r>
              <w:rPr>
                <w:rFonts w:ascii="Times New Roman" w:hAnsi="Times New Roman" w:eastAsia="楷体" w:cs="Times New Roman"/>
                <w:bCs/>
                <w:color w:val="auto"/>
                <w:sz w:val="24"/>
                <w:szCs w:val="24"/>
              </w:rPr>
              <w:t>.</w:t>
            </w:r>
            <w:r>
              <w:rPr>
                <w:rFonts w:hint="eastAsia" w:ascii="Times New Roman" w:hAnsi="Times New Roman" w:eastAsia="楷体" w:cs="Times New Roman"/>
                <w:bCs/>
                <w:color w:val="auto"/>
                <w:sz w:val="24"/>
                <w:szCs w:val="24"/>
                <w:lang w:val="en-US" w:eastAsia="zh-CN"/>
              </w:rPr>
              <w:t>2</w:t>
            </w:r>
          </w:p>
        </w:tc>
        <w:tc>
          <w:tcPr>
            <w:tcW w:w="1198" w:type="dxa"/>
            <w:vAlign w:val="center"/>
          </w:tcPr>
          <w:p w14:paraId="443BA73C">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业绩</w:t>
            </w:r>
          </w:p>
        </w:tc>
        <w:tc>
          <w:tcPr>
            <w:tcW w:w="1205" w:type="dxa"/>
            <w:vAlign w:val="center"/>
          </w:tcPr>
          <w:p w14:paraId="4FADA80A">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5</w:t>
            </w:r>
          </w:p>
        </w:tc>
        <w:tc>
          <w:tcPr>
            <w:tcW w:w="3023" w:type="dxa"/>
            <w:vAlign w:val="center"/>
          </w:tcPr>
          <w:p w14:paraId="45E51BB8">
            <w:pPr>
              <w:spacing w:line="400" w:lineRule="exact"/>
              <w:jc w:val="center"/>
              <w:rPr>
                <w:rFonts w:ascii="Times New Roman" w:hAnsi="Times New Roman" w:eastAsia="楷体" w:cs="Times New Roman"/>
                <w:bCs/>
                <w:color w:val="auto"/>
                <w:sz w:val="24"/>
                <w:szCs w:val="24"/>
              </w:rPr>
            </w:pPr>
            <w:r>
              <w:rPr>
                <w:rFonts w:hint="eastAsia" w:ascii="Times New Roman" w:hAnsi="Times New Roman" w:eastAsia="楷体" w:cs="Times New Roman"/>
                <w:bCs/>
                <w:color w:val="auto"/>
                <w:sz w:val="24"/>
                <w:szCs w:val="24"/>
              </w:rPr>
              <w:t>提供类似业绩3项得3分，每超过一项加1分，最多加至</w:t>
            </w:r>
            <w:r>
              <w:rPr>
                <w:rFonts w:ascii="Times New Roman" w:hAnsi="Times New Roman" w:eastAsia="楷体" w:cs="Times New Roman"/>
                <w:bCs/>
                <w:color w:val="auto"/>
                <w:sz w:val="24"/>
                <w:szCs w:val="24"/>
              </w:rPr>
              <w:t>5</w:t>
            </w:r>
            <w:r>
              <w:rPr>
                <w:rFonts w:hint="eastAsia" w:ascii="Times New Roman" w:hAnsi="Times New Roman" w:eastAsia="楷体" w:cs="Times New Roman"/>
                <w:bCs/>
                <w:color w:val="auto"/>
                <w:sz w:val="24"/>
                <w:szCs w:val="24"/>
              </w:rPr>
              <w:t>分。</w:t>
            </w:r>
          </w:p>
        </w:tc>
        <w:tc>
          <w:tcPr>
            <w:tcW w:w="629" w:type="pct"/>
            <w:vAlign w:val="center"/>
          </w:tcPr>
          <w:p w14:paraId="3E6CFAB9">
            <w:pPr>
              <w:spacing w:line="400" w:lineRule="exact"/>
              <w:jc w:val="center"/>
              <w:rPr>
                <w:rFonts w:ascii="Times New Roman" w:hAnsi="Times New Roman" w:eastAsia="楷体" w:cs="Times New Roman"/>
                <w:bCs/>
                <w:color w:val="auto"/>
                <w:sz w:val="24"/>
                <w:szCs w:val="24"/>
              </w:rPr>
            </w:pPr>
          </w:p>
        </w:tc>
        <w:tc>
          <w:tcPr>
            <w:tcW w:w="549" w:type="pct"/>
            <w:vAlign w:val="center"/>
          </w:tcPr>
          <w:p w14:paraId="5F122DF3">
            <w:pPr>
              <w:spacing w:line="400" w:lineRule="exact"/>
              <w:jc w:val="center"/>
              <w:rPr>
                <w:rFonts w:ascii="Times New Roman" w:hAnsi="Times New Roman" w:eastAsia="楷体" w:cs="Times New Roman"/>
                <w:bCs/>
                <w:color w:val="auto"/>
                <w:sz w:val="24"/>
                <w:szCs w:val="24"/>
              </w:rPr>
            </w:pPr>
          </w:p>
        </w:tc>
        <w:tc>
          <w:tcPr>
            <w:tcW w:w="454" w:type="pct"/>
            <w:vAlign w:val="center"/>
          </w:tcPr>
          <w:p w14:paraId="0B56935D">
            <w:pPr>
              <w:spacing w:line="400" w:lineRule="exact"/>
              <w:jc w:val="center"/>
              <w:rPr>
                <w:rFonts w:ascii="Times New Roman" w:hAnsi="Times New Roman" w:eastAsia="楷体" w:cs="Times New Roman"/>
                <w:bCs/>
                <w:color w:val="auto"/>
                <w:sz w:val="24"/>
                <w:szCs w:val="24"/>
              </w:rPr>
            </w:pPr>
          </w:p>
        </w:tc>
      </w:tr>
      <w:tr w14:paraId="0E75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Align w:val="center"/>
          </w:tcPr>
          <w:p w14:paraId="66FC8123">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3</w:t>
            </w:r>
          </w:p>
        </w:tc>
        <w:tc>
          <w:tcPr>
            <w:tcW w:w="665" w:type="pct"/>
            <w:vAlign w:val="center"/>
          </w:tcPr>
          <w:p w14:paraId="79B37CBF">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最终报价</w:t>
            </w:r>
          </w:p>
        </w:tc>
        <w:tc>
          <w:tcPr>
            <w:tcW w:w="669" w:type="pct"/>
            <w:vAlign w:val="center"/>
          </w:tcPr>
          <w:p w14:paraId="291F9B6B">
            <w:pPr>
              <w:spacing w:line="400" w:lineRule="exact"/>
              <w:jc w:val="center"/>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50</w:t>
            </w:r>
          </w:p>
        </w:tc>
        <w:tc>
          <w:tcPr>
            <w:tcW w:w="1678" w:type="pct"/>
            <w:vAlign w:val="center"/>
          </w:tcPr>
          <w:p w14:paraId="73CA6BA3">
            <w:pPr>
              <w:spacing w:line="400" w:lineRule="exact"/>
              <w:rPr>
                <w:rFonts w:ascii="Times New Roman" w:hAnsi="Times New Roman" w:eastAsia="楷体" w:cs="Times New Roman"/>
                <w:bCs/>
                <w:color w:val="auto"/>
                <w:sz w:val="24"/>
                <w:szCs w:val="24"/>
              </w:rPr>
            </w:pPr>
            <w:r>
              <w:rPr>
                <w:rFonts w:ascii="Times New Roman" w:hAnsi="Times New Roman" w:eastAsia="楷体" w:cs="Times New Roman"/>
                <w:bCs/>
                <w:color w:val="auto"/>
                <w:sz w:val="24"/>
                <w:szCs w:val="24"/>
              </w:rPr>
              <w:t>以满足竞谈文件要求的</w:t>
            </w:r>
            <w:r>
              <w:rPr>
                <w:rFonts w:hint="eastAsia" w:ascii="Times New Roman" w:hAnsi="Times New Roman" w:eastAsia="楷体" w:cs="Times New Roman"/>
                <w:bCs/>
                <w:color w:val="auto"/>
                <w:sz w:val="24"/>
                <w:szCs w:val="24"/>
              </w:rPr>
              <w:t>报价人</w:t>
            </w:r>
            <w:r>
              <w:rPr>
                <w:rFonts w:ascii="Times New Roman" w:hAnsi="Times New Roman" w:eastAsia="楷体" w:cs="Times New Roman"/>
                <w:bCs/>
                <w:color w:val="auto"/>
                <w:sz w:val="24"/>
                <w:szCs w:val="24"/>
              </w:rPr>
              <w:t>报价的最低价格为评标基准价，其价格分为满分。其他</w:t>
            </w:r>
            <w:r>
              <w:rPr>
                <w:rFonts w:hint="eastAsia" w:ascii="Times New Roman" w:hAnsi="Times New Roman" w:eastAsia="楷体" w:cs="Times New Roman"/>
                <w:bCs/>
                <w:color w:val="auto"/>
                <w:sz w:val="24"/>
                <w:szCs w:val="24"/>
              </w:rPr>
              <w:t>报价人</w:t>
            </w:r>
            <w:r>
              <w:rPr>
                <w:rFonts w:ascii="Times New Roman" w:hAnsi="Times New Roman" w:eastAsia="楷体" w:cs="Times New Roman"/>
                <w:bCs/>
                <w:color w:val="auto"/>
                <w:sz w:val="24"/>
                <w:szCs w:val="24"/>
              </w:rPr>
              <w:t>的价格分统一按照下列公式计算：报价得分=（评标基准价/报价）×50</w:t>
            </w:r>
          </w:p>
        </w:tc>
        <w:tc>
          <w:tcPr>
            <w:tcW w:w="629" w:type="pct"/>
            <w:vAlign w:val="center"/>
          </w:tcPr>
          <w:p w14:paraId="45583216">
            <w:pPr>
              <w:spacing w:line="400" w:lineRule="exact"/>
              <w:jc w:val="center"/>
              <w:rPr>
                <w:rFonts w:ascii="Times New Roman" w:hAnsi="Times New Roman" w:eastAsia="楷体" w:cs="Times New Roman"/>
                <w:bCs/>
                <w:color w:val="auto"/>
                <w:sz w:val="24"/>
                <w:szCs w:val="24"/>
              </w:rPr>
            </w:pPr>
          </w:p>
        </w:tc>
        <w:tc>
          <w:tcPr>
            <w:tcW w:w="549" w:type="pct"/>
            <w:vAlign w:val="center"/>
          </w:tcPr>
          <w:p w14:paraId="15A73640">
            <w:pPr>
              <w:spacing w:line="400" w:lineRule="exact"/>
              <w:jc w:val="center"/>
              <w:rPr>
                <w:rFonts w:ascii="Times New Roman" w:hAnsi="Times New Roman" w:eastAsia="楷体" w:cs="Times New Roman"/>
                <w:bCs/>
                <w:color w:val="auto"/>
                <w:sz w:val="24"/>
                <w:szCs w:val="24"/>
              </w:rPr>
            </w:pPr>
          </w:p>
        </w:tc>
        <w:tc>
          <w:tcPr>
            <w:tcW w:w="454" w:type="pct"/>
            <w:vAlign w:val="center"/>
          </w:tcPr>
          <w:p w14:paraId="481871B5">
            <w:pPr>
              <w:spacing w:line="400" w:lineRule="exact"/>
              <w:jc w:val="center"/>
              <w:rPr>
                <w:rFonts w:ascii="Times New Roman" w:hAnsi="Times New Roman" w:eastAsia="楷体" w:cs="Times New Roman"/>
                <w:bCs/>
                <w:color w:val="auto"/>
                <w:sz w:val="24"/>
                <w:szCs w:val="24"/>
              </w:rPr>
            </w:pPr>
          </w:p>
        </w:tc>
      </w:tr>
    </w:tbl>
    <w:p w14:paraId="2B0B6C0D">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（4）谈判小组严格按照竞争性谈判文件规定的评审程序、评审因素、评审标准和评审办法对谈判申请文件进行评审。竞争性谈判文件没有规定的程序、因素、标准和办法，不作为谈判评审依据。</w:t>
      </w:r>
    </w:p>
    <w:p w14:paraId="76CAD853">
      <w:pPr>
        <w:spacing w:line="400" w:lineRule="exact"/>
        <w:ind w:firstLine="482" w:firstLineChars="200"/>
        <w:rPr>
          <w:rFonts w:ascii="Times New Roman" w:hAnsi="Times New Roman" w:eastAsia="楷体" w:cs="Times New Roman"/>
          <w:color w:val="auto"/>
          <w:sz w:val="24"/>
          <w:szCs w:val="24"/>
        </w:rPr>
      </w:pPr>
      <w:r>
        <w:rPr>
          <w:rFonts w:ascii="Times New Roman" w:hAnsi="Times New Roman" w:eastAsia="楷体" w:cs="Times New Roman"/>
          <w:b/>
          <w:color w:val="auto"/>
          <w:sz w:val="24"/>
          <w:szCs w:val="24"/>
        </w:rPr>
        <w:t>（5）成交价以最终报价为准。</w:t>
      </w:r>
      <w:r>
        <w:rPr>
          <w:rFonts w:ascii="Times New Roman" w:hAnsi="Times New Roman" w:eastAsia="楷体" w:cs="Times New Roman"/>
          <w:color w:val="auto"/>
          <w:sz w:val="24"/>
          <w:szCs w:val="24"/>
        </w:rPr>
        <w:t>在此前提下，当以数字表示的金额与文字表示的金额有差异时，以文字表示为准；数量乘积与标出的合计金额不符时，以单价计算出合计金额为准；但确属单价小数点有明显错误时，则以合计金额为准。</w:t>
      </w:r>
    </w:p>
    <w:p w14:paraId="63F424F7">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56" w:name="_Toc102227321"/>
      <w:bookmarkStart w:id="57" w:name="_Toc12902"/>
      <w:bookmarkStart w:id="58" w:name="_Toc22212"/>
      <w:r>
        <w:rPr>
          <w:rFonts w:ascii="Times New Roman" w:hAnsi="Times New Roman" w:eastAsia="楷体" w:cs="Times New Roman"/>
          <w:b/>
          <w:bCs/>
          <w:color w:val="auto"/>
          <w:sz w:val="24"/>
          <w:szCs w:val="24"/>
        </w:rPr>
        <w:t>九、</w:t>
      </w:r>
      <w:bookmarkEnd w:id="56"/>
      <w:r>
        <w:rPr>
          <w:rFonts w:ascii="Times New Roman" w:hAnsi="Times New Roman" w:eastAsia="楷体" w:cs="Times New Roman"/>
          <w:b/>
          <w:bCs/>
          <w:color w:val="auto"/>
          <w:sz w:val="24"/>
          <w:szCs w:val="24"/>
        </w:rPr>
        <w:t>定标方式</w:t>
      </w:r>
      <w:bookmarkEnd w:id="57"/>
      <w:bookmarkEnd w:id="58"/>
    </w:p>
    <w:p w14:paraId="1B5C619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1、采购人不保证报价最低的成交，也不对未成交的谈判申请单位作任何解释和说明。</w:t>
      </w:r>
    </w:p>
    <w:p w14:paraId="585ED5D1">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2、采购人依据谈判小组提出的书面评标报告中推荐的成交候选人确定成交单位。</w:t>
      </w:r>
    </w:p>
    <w:p w14:paraId="7DC03E0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如发生投诉争议等情况时，经查实中选候选人存在违法、违规行为，不符合中选条件，且该行为在评议时是无法发现和确认的，采购人可以在其他中选候选人中按照推荐的排序确定中选人。</w:t>
      </w:r>
    </w:p>
    <w:p w14:paraId="108AAECF">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采购人将确定排名第一的中选候选人为中选人。排名第一的中选候选人放弃中选、因不可抗力不能履行合同、不按照竞争性谈判文件要求提交履约保证金，或者被查实存在影响中选结果的违法行为等情形，不符合中选条件的，采购人可以按照评审委员会提出的中选候选人名单排序依次确定其他中选候选人为中选人，也可以重新组织采购。当所有中选候选人经查实都存在违法、违规行为时，将重新组织采购。</w:t>
      </w:r>
    </w:p>
    <w:p w14:paraId="374C3BF7">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59" w:name="_Toc3752"/>
      <w:bookmarkStart w:id="60" w:name="_Toc28832"/>
      <w:r>
        <w:rPr>
          <w:rFonts w:ascii="Times New Roman" w:hAnsi="Times New Roman" w:eastAsia="楷体" w:cs="Times New Roman"/>
          <w:b/>
          <w:bCs/>
          <w:color w:val="auto"/>
          <w:sz w:val="24"/>
          <w:szCs w:val="24"/>
        </w:rPr>
        <w:t>十、成交通知</w:t>
      </w:r>
      <w:bookmarkEnd w:id="59"/>
      <w:bookmarkEnd w:id="60"/>
    </w:p>
    <w:p w14:paraId="6CDD3B62">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1、采购人向本项目的成交单位发出成交通知书。</w:t>
      </w:r>
    </w:p>
    <w:p w14:paraId="2DF00C1F">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2、成交单位应在成交通知书规定的日期内，或在采购人认可的延期内与采购人</w:t>
      </w:r>
      <w:r>
        <w:rPr>
          <w:rFonts w:hint="eastAsia" w:ascii="Times New Roman" w:hAnsi="Times New Roman" w:eastAsia="楷体" w:cs="Times New Roman"/>
          <w:color w:val="auto"/>
          <w:sz w:val="24"/>
          <w:szCs w:val="24"/>
        </w:rPr>
        <w:t>或项目单位</w:t>
      </w:r>
      <w:r>
        <w:rPr>
          <w:rFonts w:ascii="Times New Roman" w:hAnsi="Times New Roman" w:eastAsia="楷体" w:cs="Times New Roman"/>
          <w:color w:val="auto"/>
          <w:sz w:val="24"/>
          <w:szCs w:val="24"/>
        </w:rPr>
        <w:t>签订合同。</w:t>
      </w:r>
    </w:p>
    <w:p w14:paraId="09AC8DD1">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3、签订合同时，根据需要采购人</w:t>
      </w:r>
      <w:r>
        <w:rPr>
          <w:rFonts w:hint="eastAsia" w:ascii="Times New Roman" w:hAnsi="Times New Roman" w:eastAsia="楷体" w:cs="Times New Roman"/>
          <w:color w:val="auto"/>
          <w:sz w:val="24"/>
          <w:szCs w:val="24"/>
        </w:rPr>
        <w:t>或项目单位</w:t>
      </w:r>
      <w:r>
        <w:rPr>
          <w:rFonts w:ascii="Times New Roman" w:hAnsi="Times New Roman" w:eastAsia="楷体" w:cs="Times New Roman"/>
          <w:color w:val="auto"/>
          <w:sz w:val="24"/>
          <w:szCs w:val="24"/>
        </w:rPr>
        <w:t>有权提出对技术条件发生变化的局部调整或数量变更（实质性条款除外），但需经成交双方共同认定。</w:t>
      </w:r>
    </w:p>
    <w:p w14:paraId="26E07FA8">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61" w:name="_Toc32610"/>
      <w:bookmarkStart w:id="62" w:name="_Toc9360"/>
      <w:r>
        <w:rPr>
          <w:rFonts w:ascii="Times New Roman" w:hAnsi="Times New Roman" w:eastAsia="楷体" w:cs="Times New Roman"/>
          <w:b/>
          <w:bCs/>
          <w:color w:val="auto"/>
          <w:sz w:val="24"/>
          <w:szCs w:val="24"/>
        </w:rPr>
        <w:t>十一、签订合同</w:t>
      </w:r>
      <w:bookmarkEnd w:id="61"/>
      <w:bookmarkEnd w:id="62"/>
    </w:p>
    <w:p w14:paraId="679F3DF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1、成交人应按成交通知书指定时间与</w:t>
      </w:r>
      <w:r>
        <w:rPr>
          <w:rFonts w:hint="eastAsia" w:ascii="Times New Roman" w:hAnsi="Times New Roman" w:eastAsia="楷体" w:cs="Times New Roman"/>
          <w:color w:val="auto"/>
          <w:sz w:val="24"/>
          <w:szCs w:val="24"/>
        </w:rPr>
        <w:t>采购人或项目单位</w:t>
      </w:r>
      <w:r>
        <w:rPr>
          <w:rFonts w:ascii="Times New Roman" w:hAnsi="Times New Roman" w:eastAsia="楷体" w:cs="Times New Roman"/>
          <w:color w:val="auto"/>
          <w:sz w:val="24"/>
          <w:szCs w:val="24"/>
        </w:rPr>
        <w:t>签订合同。中选人无正当理由拒签合同的，采购人取消其中选资格，其竞争性谈判保证金不予退还；给采购人造成的损失超过竞争性谈判保证金数额的，中选人还应当对超过部分予以赔偿。</w:t>
      </w:r>
    </w:p>
    <w:p w14:paraId="69140967">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2、竞争性谈判文件、谈判申请文件及有效承诺文件等均为合同的组成部分。</w:t>
      </w:r>
    </w:p>
    <w:p w14:paraId="66F8B7CB">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63" w:name="_Toc27547"/>
      <w:bookmarkStart w:id="64" w:name="_Toc31089"/>
      <w:r>
        <w:rPr>
          <w:rFonts w:ascii="Times New Roman" w:hAnsi="Times New Roman" w:eastAsia="楷体" w:cs="Times New Roman"/>
          <w:b/>
          <w:bCs/>
          <w:color w:val="auto"/>
          <w:sz w:val="24"/>
          <w:szCs w:val="24"/>
        </w:rPr>
        <w:t>十二、纪律要求</w:t>
      </w:r>
      <w:bookmarkEnd w:id="63"/>
      <w:bookmarkEnd w:id="64"/>
    </w:p>
    <w:p w14:paraId="68DB69FB">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w:t>
      </w:r>
      <w:r>
        <w:rPr>
          <w:rFonts w:ascii="Times New Roman" w:hAnsi="Times New Roman" w:eastAsia="楷体" w:cs="Times New Roman"/>
          <w:b/>
          <w:color w:val="auto"/>
          <w:sz w:val="24"/>
          <w:szCs w:val="24"/>
        </w:rPr>
        <w:t>对采购人的纪律要求：</w:t>
      </w:r>
      <w:r>
        <w:rPr>
          <w:rFonts w:ascii="Times New Roman" w:hAnsi="Times New Roman" w:eastAsia="楷体" w:cs="Times New Roman"/>
          <w:color w:val="auto"/>
          <w:sz w:val="24"/>
          <w:szCs w:val="24"/>
        </w:rPr>
        <w:t>采购人不得泄漏招标投标活动中应当保密的情况和资料，不得与谈判申请单位串通损害国家利益、社会公共利益或者他人合法权益。</w:t>
      </w:r>
    </w:p>
    <w:p w14:paraId="503F2725">
      <w:pPr>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2、</w:t>
      </w:r>
      <w:r>
        <w:rPr>
          <w:rFonts w:ascii="Times New Roman" w:hAnsi="Times New Roman" w:eastAsia="楷体" w:cs="Times New Roman"/>
          <w:b/>
          <w:color w:val="auto"/>
          <w:sz w:val="24"/>
          <w:szCs w:val="24"/>
        </w:rPr>
        <w:t>对谈判申请单位的纪律要求：</w:t>
      </w:r>
      <w:r>
        <w:rPr>
          <w:rFonts w:ascii="Times New Roman" w:hAnsi="Times New Roman" w:eastAsia="楷体" w:cs="Times New Roman"/>
          <w:color w:val="auto"/>
          <w:sz w:val="24"/>
          <w:szCs w:val="24"/>
        </w:rPr>
        <w:t>谈判申请单位不得相互串通投标或者与采购人串通投标，不得向采购人或者评标委员会成员行贿谋取中标，不得以他人名义投标或者以其他方式弄虚作假骗取中标；谈判申请单位不得以任何方式干扰、影响评标工作；谈判申请单位不得采用不正当手段妨碍、排挤其它申请单位,扰乱招标市场,破坏公平竞争。</w:t>
      </w:r>
      <w:r>
        <w:rPr>
          <w:rFonts w:ascii="Times New Roman" w:hAnsi="Times New Roman" w:eastAsia="楷体" w:cs="Times New Roman"/>
          <w:b/>
          <w:color w:val="auto"/>
          <w:sz w:val="24"/>
          <w:szCs w:val="24"/>
        </w:rPr>
        <w:t>若谈判申请单位违反上述纪律要求，有可能导致其谈判申请文件被拒绝，责任自负。</w:t>
      </w:r>
    </w:p>
    <w:p w14:paraId="0FD51F25">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3、</w:t>
      </w:r>
      <w:r>
        <w:rPr>
          <w:rFonts w:ascii="Times New Roman" w:hAnsi="Times New Roman" w:eastAsia="楷体" w:cs="Times New Roman"/>
          <w:b/>
          <w:color w:val="auto"/>
          <w:sz w:val="24"/>
          <w:szCs w:val="24"/>
        </w:rPr>
        <w:t>对谈判小组成员的纪律要求：</w:t>
      </w:r>
      <w:r>
        <w:rPr>
          <w:rFonts w:ascii="Times New Roman" w:hAnsi="Times New Roman" w:eastAsia="楷体" w:cs="Times New Roman"/>
          <w:color w:val="auto"/>
          <w:sz w:val="24"/>
          <w:szCs w:val="24"/>
        </w:rPr>
        <w:t>谈判小组成员不得收受他人的财物或者其他好处，不得向他人透漏对谈判申请文件的评审和比较、成交候选人的推荐情况以及评标有关的其他情况。在评标活动中，谈判小组成员不得擅离职守，影响评标程序正常进行，不得使用谈判文件没有规定的评审因素和标准进行评标。</w:t>
      </w:r>
    </w:p>
    <w:p w14:paraId="2D7AC0AD">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w:t>
      </w:r>
      <w:r>
        <w:rPr>
          <w:rFonts w:ascii="Times New Roman" w:hAnsi="Times New Roman" w:eastAsia="楷体" w:cs="Times New Roman"/>
          <w:b/>
          <w:color w:val="auto"/>
          <w:sz w:val="24"/>
          <w:szCs w:val="24"/>
        </w:rPr>
        <w:t>对与评标活动有关的工作人员的纪律要求：</w:t>
      </w:r>
      <w:r>
        <w:rPr>
          <w:rFonts w:ascii="Times New Roman" w:hAnsi="Times New Roman" w:eastAsia="楷体" w:cs="Times New Roman"/>
          <w:color w:val="auto"/>
          <w:sz w:val="24"/>
          <w:szCs w:val="24"/>
        </w:rPr>
        <w:t>与评标活动有关的工作人员不得收受他人的财物或者其他好处，不得向他人透漏对谈判申请文件的评审和比较、成交候选人的推荐情况以及评标有关的其他情况。在评标活动中，与评标活动有关的工作人员不得擅离职守，影响评标程序正常进行。</w:t>
      </w:r>
    </w:p>
    <w:p w14:paraId="76626531">
      <w:pPr>
        <w:keepNext/>
        <w:keepLines/>
        <w:spacing w:line="400" w:lineRule="exact"/>
        <w:ind w:firstLine="482" w:firstLineChars="200"/>
        <w:outlineLvl w:val="1"/>
        <w:rPr>
          <w:rFonts w:ascii="Times New Roman" w:hAnsi="Times New Roman" w:eastAsia="楷体" w:cs="Times New Roman"/>
          <w:b/>
          <w:bCs/>
          <w:color w:val="auto"/>
          <w:sz w:val="24"/>
          <w:szCs w:val="24"/>
        </w:rPr>
      </w:pPr>
      <w:bookmarkStart w:id="65" w:name="_Toc9791"/>
      <w:bookmarkStart w:id="66" w:name="_Toc8660"/>
      <w:r>
        <w:rPr>
          <w:rFonts w:ascii="Times New Roman" w:hAnsi="Times New Roman" w:eastAsia="楷体" w:cs="Times New Roman"/>
          <w:b/>
          <w:bCs/>
          <w:color w:val="auto"/>
          <w:sz w:val="24"/>
          <w:szCs w:val="24"/>
        </w:rPr>
        <w:t>十三、竞争性谈判文件解释</w:t>
      </w:r>
      <w:bookmarkEnd w:id="65"/>
      <w:bookmarkEnd w:id="66"/>
    </w:p>
    <w:p w14:paraId="385DF52D">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本项目竞争性谈判文件最终解释权归采购人所有。</w:t>
      </w:r>
    </w:p>
    <w:p w14:paraId="4A6DB342">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br w:type="page"/>
      </w:r>
      <w:bookmarkStart w:id="67" w:name="_Toc12789072"/>
    </w:p>
    <w:p w14:paraId="525B586B">
      <w:pPr>
        <w:keepNext/>
        <w:tabs>
          <w:tab w:val="center" w:pos="4153"/>
        </w:tabs>
        <w:snapToGrid w:val="0"/>
        <w:spacing w:line="400" w:lineRule="exact"/>
        <w:ind w:firstLine="482" w:firstLineChars="200"/>
        <w:jc w:val="center"/>
        <w:outlineLvl w:val="0"/>
        <w:rPr>
          <w:rFonts w:ascii="Times New Roman" w:hAnsi="Times New Roman" w:eastAsia="楷体" w:cs="Times New Roman"/>
          <w:b/>
          <w:color w:val="auto"/>
          <w:kern w:val="0"/>
          <w:sz w:val="24"/>
          <w:szCs w:val="24"/>
        </w:rPr>
      </w:pPr>
      <w:bookmarkStart w:id="68" w:name="_Toc4051"/>
      <w:bookmarkStart w:id="69" w:name="_Toc329"/>
      <w:r>
        <w:rPr>
          <w:rFonts w:ascii="Times New Roman" w:hAnsi="Times New Roman" w:eastAsia="楷体" w:cs="Times New Roman"/>
          <w:b/>
          <w:color w:val="auto"/>
          <w:kern w:val="0"/>
          <w:sz w:val="24"/>
          <w:szCs w:val="24"/>
        </w:rPr>
        <w:t>第三章  合同标准条款和格式</w:t>
      </w:r>
      <w:bookmarkEnd w:id="68"/>
      <w:bookmarkEnd w:id="69"/>
    </w:p>
    <w:p w14:paraId="0A8C30AA">
      <w:pPr>
        <w:keepNext/>
        <w:tabs>
          <w:tab w:val="center" w:pos="4153"/>
        </w:tabs>
        <w:snapToGrid w:val="0"/>
        <w:spacing w:line="400" w:lineRule="exact"/>
        <w:jc w:val="center"/>
        <w:rPr>
          <w:rFonts w:ascii="Times New Roman" w:hAnsi="Times New Roman" w:eastAsia="楷体" w:cs="Times New Roman"/>
          <w:color w:val="auto"/>
          <w:kern w:val="0"/>
          <w:sz w:val="24"/>
          <w:szCs w:val="24"/>
        </w:rPr>
      </w:pPr>
      <w:r>
        <w:rPr>
          <w:rFonts w:hint="eastAsia" w:ascii="Times New Roman" w:hAnsi="Times New Roman" w:eastAsia="楷体" w:cs="Times New Roman"/>
          <w:color w:val="auto"/>
          <w:kern w:val="0"/>
          <w:sz w:val="24"/>
          <w:szCs w:val="24"/>
          <w:lang w:val="en-US" w:eastAsia="zh-CN"/>
        </w:rPr>
        <w:t xml:space="preserve">    (采购人提供）</w:t>
      </w:r>
      <w:r>
        <w:rPr>
          <w:rFonts w:ascii="Times New Roman" w:hAnsi="Times New Roman" w:eastAsia="楷体" w:cs="Times New Roman"/>
          <w:color w:val="auto"/>
          <w:kern w:val="0"/>
          <w:sz w:val="24"/>
          <w:szCs w:val="24"/>
        </w:rPr>
        <w:br w:type="page"/>
      </w:r>
      <w:bookmarkStart w:id="70" w:name="_Toc12287"/>
      <w:bookmarkStart w:id="71" w:name="_Toc79"/>
      <w:r>
        <w:rPr>
          <w:rFonts w:ascii="Times New Roman" w:hAnsi="Times New Roman" w:eastAsia="楷体" w:cs="Times New Roman"/>
          <w:b/>
          <w:color w:val="auto"/>
          <w:kern w:val="0"/>
          <w:sz w:val="24"/>
          <w:szCs w:val="24"/>
        </w:rPr>
        <w:t>第四章  谈判申请文件格式要求</w:t>
      </w:r>
      <w:bookmarkEnd w:id="67"/>
      <w:bookmarkEnd w:id="70"/>
      <w:bookmarkEnd w:id="71"/>
    </w:p>
    <w:p w14:paraId="2098FDDF">
      <w:pPr>
        <w:adjustRightInd w:val="0"/>
        <w:snapToGrid w:val="0"/>
        <w:spacing w:line="400" w:lineRule="exact"/>
        <w:ind w:firstLine="482" w:firstLineChars="200"/>
        <w:jc w:val="center"/>
        <w:rPr>
          <w:rFonts w:ascii="Times New Roman" w:hAnsi="Times New Roman" w:eastAsia="楷体" w:cs="Times New Roman"/>
          <w:b/>
          <w:color w:val="auto"/>
          <w:sz w:val="24"/>
          <w:szCs w:val="24"/>
        </w:rPr>
      </w:pPr>
    </w:p>
    <w:p w14:paraId="4B100901">
      <w:pPr>
        <w:adjustRightInd w:val="0"/>
        <w:snapToGrid w:val="0"/>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谈判申请文件编写说明：</w:t>
      </w:r>
    </w:p>
    <w:p w14:paraId="0A85C1DA">
      <w:pPr>
        <w:adjustRightInd w:val="0"/>
        <w:snapToGrid w:val="0"/>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1．谈判申请文件按统一格式填写，并按</w:t>
      </w:r>
      <w:r>
        <w:rPr>
          <w:rFonts w:ascii="Times New Roman" w:hAnsi="Times New Roman" w:eastAsia="楷体" w:cs="Times New Roman"/>
          <w:b/>
          <w:color w:val="auto"/>
          <w:sz w:val="24"/>
          <w:szCs w:val="24"/>
        </w:rPr>
        <w:t>第二章“谈判须知”</w:t>
      </w:r>
      <w:r>
        <w:rPr>
          <w:rFonts w:ascii="Times New Roman" w:hAnsi="Times New Roman" w:eastAsia="楷体" w:cs="Times New Roman"/>
          <w:color w:val="auto"/>
          <w:sz w:val="24"/>
          <w:szCs w:val="24"/>
        </w:rPr>
        <w:t>中的相关要求装订成册。</w:t>
      </w:r>
    </w:p>
    <w:p w14:paraId="64A6E81C">
      <w:pPr>
        <w:adjustRightInd w:val="0"/>
        <w:snapToGrid w:val="0"/>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2．谈判报价按</w:t>
      </w:r>
      <w:r>
        <w:rPr>
          <w:rFonts w:ascii="Times New Roman" w:hAnsi="Times New Roman" w:eastAsia="楷体" w:cs="Times New Roman"/>
          <w:b/>
          <w:color w:val="auto"/>
          <w:sz w:val="24"/>
          <w:szCs w:val="24"/>
        </w:rPr>
        <w:t>第二章“谈判须知”</w:t>
      </w:r>
      <w:r>
        <w:rPr>
          <w:rFonts w:ascii="Times New Roman" w:hAnsi="Times New Roman" w:eastAsia="楷体" w:cs="Times New Roman"/>
          <w:color w:val="auto"/>
          <w:sz w:val="24"/>
          <w:szCs w:val="24"/>
        </w:rPr>
        <w:t>第七项谈判报价要求及本章所列格式填报。</w:t>
      </w:r>
    </w:p>
    <w:p w14:paraId="69D0AE43">
      <w:pPr>
        <w:adjustRightInd w:val="0"/>
        <w:snapToGrid w:val="0"/>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3. 谈判申请单位应根据实际需要，自行增加有关说明、清单、表格，以清楚、明确表示投标内容及价格组成。</w:t>
      </w:r>
    </w:p>
    <w:p w14:paraId="43AADFE0">
      <w:pPr>
        <w:adjustRightInd w:val="0"/>
        <w:snapToGrid w:val="0"/>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4．不按要求格式编制的谈判申请文件可能导致谈判申请被拒绝，谈判申请单位谨慎使用该权利。</w:t>
      </w:r>
    </w:p>
    <w:p w14:paraId="2869FB54">
      <w:pPr>
        <w:adjustRightInd w:val="0"/>
        <w:snapToGrid w:val="0"/>
        <w:spacing w:line="400" w:lineRule="exact"/>
        <w:ind w:firstLine="482" w:firstLineChars="200"/>
        <w:rPr>
          <w:rFonts w:ascii="Times New Roman" w:hAnsi="Times New Roman" w:eastAsia="楷体" w:cs="Times New Roman"/>
          <w:color w:val="auto"/>
          <w:sz w:val="24"/>
          <w:szCs w:val="24"/>
        </w:rPr>
      </w:pPr>
      <w:r>
        <w:rPr>
          <w:rFonts w:ascii="Times New Roman" w:hAnsi="Times New Roman" w:eastAsia="楷体" w:cs="Times New Roman"/>
          <w:b/>
          <w:color w:val="auto"/>
          <w:sz w:val="24"/>
          <w:szCs w:val="24"/>
        </w:rPr>
        <w:t>注：注明“文件格式”的内容不可任意更改、删除，必须按照固定格式进行填写，否则将按照第二章第八项谈判评审办法中形式性评审“按谈判申请文件格式要求”规定进行处理。</w:t>
      </w:r>
    </w:p>
    <w:p w14:paraId="49EFADF4">
      <w:pPr>
        <w:spacing w:line="400" w:lineRule="exact"/>
        <w:ind w:firstLine="480" w:firstLineChars="200"/>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t>5. 谈判申请文件包括但不限以下组成部分：</w:t>
      </w:r>
    </w:p>
    <w:p w14:paraId="5610A1B5">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（1）谈判申请函；</w:t>
      </w:r>
    </w:p>
    <w:p w14:paraId="57624442">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（2）廉洁谈判保证书；</w:t>
      </w:r>
    </w:p>
    <w:p w14:paraId="1568AA11">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（3）谈判报价书；</w:t>
      </w:r>
    </w:p>
    <w:p w14:paraId="4404F06F">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（4）法定代表人身份证明书；</w:t>
      </w:r>
    </w:p>
    <w:p w14:paraId="20A34485">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（5）法定代表人授权委托书；</w:t>
      </w:r>
    </w:p>
    <w:p w14:paraId="79BEE7AD">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（6）资格申请文件；</w:t>
      </w:r>
    </w:p>
    <w:p w14:paraId="14BBC519">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（7）商务谈判申请文件；</w:t>
      </w:r>
    </w:p>
    <w:p w14:paraId="72DF76D1">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（8）技术谈判申请文件；</w:t>
      </w:r>
    </w:p>
    <w:p w14:paraId="2C23F362">
      <w:pPr>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（9）谈判申请单位认为有必要提供的其他资料。</w:t>
      </w:r>
    </w:p>
    <w:p w14:paraId="331A074A">
      <w:pPr>
        <w:adjustRightInd w:val="0"/>
        <w:snapToGrid w:val="0"/>
        <w:spacing w:line="400" w:lineRule="exact"/>
        <w:ind w:firstLine="482" w:firstLineChars="200"/>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6.装订要求：</w:t>
      </w:r>
    </w:p>
    <w:p w14:paraId="02FD8EE4">
      <w:pPr>
        <w:adjustRightInd w:val="0"/>
        <w:snapToGrid w:val="0"/>
        <w:spacing w:line="400" w:lineRule="exact"/>
        <w:ind w:firstLine="480" w:firstLineChars="200"/>
        <w:rPr>
          <w:rFonts w:ascii="Times New Roman" w:hAnsi="Times New Roman" w:eastAsia="楷体" w:cs="Times New Roman"/>
          <w:b/>
          <w:color w:val="auto"/>
          <w:sz w:val="24"/>
          <w:szCs w:val="24"/>
        </w:rPr>
      </w:pPr>
      <w:r>
        <w:rPr>
          <w:rFonts w:ascii="Times New Roman" w:hAnsi="Times New Roman" w:eastAsia="楷体" w:cs="Times New Roman"/>
          <w:color w:val="auto"/>
          <w:sz w:val="24"/>
          <w:szCs w:val="24"/>
        </w:rPr>
        <w:t>谈判申请文件用A4幅面出版，竖向左侧装订</w:t>
      </w:r>
      <w:r>
        <w:rPr>
          <w:rFonts w:ascii="Times New Roman" w:hAnsi="Times New Roman" w:eastAsia="楷体" w:cs="Times New Roman"/>
          <w:b/>
          <w:color w:val="auto"/>
          <w:sz w:val="24"/>
          <w:szCs w:val="24"/>
        </w:rPr>
        <w:t>（最终报价确认书无需装订，需单独携带至谈判现场填写）</w:t>
      </w:r>
      <w:r>
        <w:rPr>
          <w:rFonts w:ascii="Times New Roman" w:hAnsi="Times New Roman" w:eastAsia="楷体" w:cs="Times New Roman"/>
          <w:color w:val="auto"/>
          <w:sz w:val="24"/>
          <w:szCs w:val="24"/>
        </w:rPr>
        <w:t>。谈判申请文件的</w:t>
      </w:r>
      <w:r>
        <w:rPr>
          <w:rFonts w:ascii="Times New Roman" w:hAnsi="Times New Roman" w:eastAsia="楷体" w:cs="Times New Roman"/>
          <w:b/>
          <w:color w:val="auto"/>
          <w:sz w:val="24"/>
          <w:szCs w:val="24"/>
          <w:u w:val="single"/>
        </w:rPr>
        <w:t>正本应编制目录并分别塑封装订成册，采用热熔胶装方式装订</w:t>
      </w:r>
      <w:r>
        <w:rPr>
          <w:rFonts w:ascii="Times New Roman" w:hAnsi="Times New Roman" w:eastAsia="楷体" w:cs="Times New Roman"/>
          <w:b/>
          <w:color w:val="auto"/>
          <w:sz w:val="24"/>
          <w:szCs w:val="24"/>
        </w:rPr>
        <w:t>；</w:t>
      </w:r>
      <w:r>
        <w:rPr>
          <w:rFonts w:ascii="Times New Roman" w:hAnsi="Times New Roman" w:eastAsia="楷体" w:cs="Times New Roman"/>
          <w:b/>
          <w:color w:val="auto"/>
          <w:sz w:val="24"/>
          <w:szCs w:val="24"/>
          <w:u w:val="single"/>
        </w:rPr>
        <w:t>谈判申请文件装订应牢固，并逐页标注连续页码</w:t>
      </w:r>
      <w:r>
        <w:rPr>
          <w:rFonts w:ascii="Times New Roman" w:hAnsi="Times New Roman" w:eastAsia="楷体" w:cs="Times New Roman"/>
          <w:color w:val="auto"/>
          <w:sz w:val="24"/>
          <w:szCs w:val="24"/>
        </w:rPr>
        <w:t>，否则，采购人对于谈判申请文件装订松散而造成的丢失或其他后果不承担任何责任。</w:t>
      </w:r>
      <w:r>
        <w:rPr>
          <w:rFonts w:ascii="Times New Roman" w:hAnsi="Times New Roman" w:eastAsia="楷体" w:cs="Times New Roman"/>
          <w:b/>
          <w:color w:val="auto"/>
          <w:sz w:val="24"/>
          <w:szCs w:val="24"/>
          <w:u w:val="single"/>
        </w:rPr>
        <w:t>每本谈判申请文件超过100页的建议采用双面打印</w:t>
      </w:r>
      <w:r>
        <w:rPr>
          <w:rFonts w:ascii="Times New Roman" w:hAnsi="Times New Roman" w:eastAsia="楷体" w:cs="Times New Roman"/>
          <w:color w:val="auto"/>
          <w:sz w:val="24"/>
          <w:szCs w:val="24"/>
        </w:rPr>
        <w:t>。</w:t>
      </w:r>
      <w:r>
        <w:rPr>
          <w:rFonts w:ascii="Times New Roman" w:hAnsi="Times New Roman" w:eastAsia="楷体" w:cs="Times New Roman"/>
          <w:b/>
          <w:color w:val="auto"/>
          <w:sz w:val="24"/>
          <w:szCs w:val="24"/>
          <w:u w:val="single"/>
        </w:rPr>
        <w:t>不按要求编制的文件有可能导致其谈判申请文件被拒绝</w:t>
      </w:r>
      <w:r>
        <w:rPr>
          <w:rFonts w:ascii="Times New Roman" w:hAnsi="Times New Roman" w:eastAsia="楷体" w:cs="Times New Roman"/>
          <w:b/>
          <w:color w:val="auto"/>
          <w:sz w:val="24"/>
          <w:szCs w:val="24"/>
        </w:rPr>
        <w:t>。</w:t>
      </w:r>
    </w:p>
    <w:p w14:paraId="2DFE1C98">
      <w:pPr>
        <w:pStyle w:val="2"/>
        <w:rPr>
          <w:rFonts w:ascii="Times New Roman" w:hAnsi="Times New Roman" w:cs="Times New Roman"/>
          <w:color w:val="auto"/>
        </w:rPr>
      </w:pPr>
      <w:r>
        <w:rPr>
          <w:rFonts w:ascii="Times New Roman" w:hAnsi="Times New Roman" w:cs="Times New Roman"/>
          <w:color w:val="auto"/>
        </w:rPr>
        <w:br w:type="page"/>
      </w:r>
    </w:p>
    <w:p w14:paraId="729AB278">
      <w:pPr>
        <w:adjustRightInd w:val="0"/>
        <w:snapToGrid w:val="0"/>
        <w:spacing w:line="400" w:lineRule="exact"/>
        <w:ind w:firstLine="480" w:firstLineChars="200"/>
        <w:rPr>
          <w:rFonts w:ascii="Times New Roman" w:hAnsi="Times New Roman" w:eastAsia="楷体" w:cs="Times New Roman"/>
          <w:color w:val="auto"/>
          <w:sz w:val="24"/>
          <w:szCs w:val="24"/>
        </w:rPr>
      </w:pPr>
    </w:p>
    <w:p w14:paraId="66349FB9">
      <w:pPr>
        <w:autoSpaceDE w:val="0"/>
        <w:autoSpaceDN w:val="0"/>
        <w:adjustRightInd w:val="0"/>
        <w:spacing w:line="400" w:lineRule="exact"/>
        <w:ind w:firstLine="422" w:firstLineChars="200"/>
        <w:rPr>
          <w:rFonts w:ascii="Times New Roman" w:hAnsi="Times New Roman" w:eastAsia="楷体" w:cs="Times New Roman"/>
          <w:b/>
          <w:color w:val="auto"/>
          <w:kern w:val="0"/>
          <w:szCs w:val="21"/>
        </w:rPr>
      </w:pPr>
      <w:r>
        <w:rPr>
          <w:rFonts w:ascii="Times New Roman" w:hAnsi="Times New Roman" w:eastAsia="楷体" w:cs="Times New Roman"/>
          <w:b/>
          <w:color w:val="auto"/>
          <w:szCs w:val="21"/>
        </w:rPr>
        <w:t>【</w:t>
      </w:r>
      <w:r>
        <w:rPr>
          <w:rFonts w:ascii="Times New Roman" w:hAnsi="Times New Roman" w:eastAsia="楷体" w:cs="Times New Roman"/>
          <w:b/>
          <w:color w:val="auto"/>
          <w:kern w:val="0"/>
          <w:szCs w:val="21"/>
        </w:rPr>
        <w:t>封面格式</w:t>
      </w:r>
      <w:r>
        <w:rPr>
          <w:rFonts w:ascii="Times New Roman" w:hAnsi="Times New Roman" w:eastAsia="楷体" w:cs="Times New Roman"/>
          <w:b/>
          <w:color w:val="auto"/>
          <w:szCs w:val="21"/>
        </w:rPr>
        <w:t>】</w:t>
      </w:r>
      <w:r>
        <w:rPr>
          <w:rFonts w:ascii="Times New Roman" w:hAnsi="Times New Roman" w:eastAsia="楷体" w:cs="Times New Roman"/>
          <w:b/>
          <w:color w:val="auto"/>
          <w:kern w:val="0"/>
          <w:szCs w:val="21"/>
        </w:rPr>
        <w:t>：（</w:t>
      </w:r>
      <w:r>
        <w:rPr>
          <w:rFonts w:ascii="Times New Roman" w:hAnsi="Times New Roman" w:eastAsia="楷体" w:cs="Times New Roman"/>
          <w:b/>
          <w:color w:val="auto"/>
          <w:szCs w:val="21"/>
        </w:rPr>
        <w:t>“文件格式”</w:t>
      </w:r>
      <w:r>
        <w:rPr>
          <w:rFonts w:ascii="Times New Roman" w:hAnsi="Times New Roman" w:eastAsia="楷体" w:cs="Times New Roman"/>
          <w:b/>
          <w:color w:val="auto"/>
          <w:kern w:val="0"/>
          <w:szCs w:val="21"/>
        </w:rPr>
        <w:t xml:space="preserve">）                                  </w:t>
      </w:r>
    </w:p>
    <w:p w14:paraId="3E8C9F58">
      <w:pPr>
        <w:autoSpaceDE w:val="0"/>
        <w:autoSpaceDN w:val="0"/>
        <w:adjustRightInd w:val="0"/>
        <w:spacing w:line="400" w:lineRule="exact"/>
        <w:ind w:firstLine="562" w:firstLineChars="200"/>
        <w:jc w:val="right"/>
        <w:rPr>
          <w:rFonts w:ascii="Times New Roman" w:hAnsi="Times New Roman" w:eastAsia="楷体" w:cs="Times New Roman"/>
          <w:b/>
          <w:color w:val="auto"/>
          <w:kern w:val="0"/>
          <w:sz w:val="28"/>
          <w:szCs w:val="20"/>
        </w:rPr>
      </w:pPr>
      <w:r>
        <w:rPr>
          <w:rFonts w:ascii="Times New Roman" w:hAnsi="Times New Roman" w:eastAsia="楷体" w:cs="Times New Roman"/>
          <w:b/>
          <w:color w:val="auto"/>
          <w:sz w:val="28"/>
          <w:szCs w:val="20"/>
        </w:rPr>
        <w:t>正本</w:t>
      </w:r>
    </w:p>
    <w:p w14:paraId="6F1CCB41">
      <w:pPr>
        <w:autoSpaceDE w:val="0"/>
        <w:autoSpaceDN w:val="0"/>
        <w:adjustRightInd w:val="0"/>
        <w:spacing w:line="400" w:lineRule="exact"/>
        <w:ind w:firstLine="420" w:firstLineChars="200"/>
        <w:jc w:val="center"/>
        <w:rPr>
          <w:rFonts w:ascii="Times New Roman" w:hAnsi="Times New Roman" w:eastAsia="楷体" w:cs="Times New Roman"/>
          <w:color w:val="auto"/>
          <w:kern w:val="0"/>
          <w:szCs w:val="21"/>
        </w:rPr>
      </w:pPr>
    </w:p>
    <w:p w14:paraId="1303AD2B">
      <w:pPr>
        <w:autoSpaceDE w:val="0"/>
        <w:autoSpaceDN w:val="0"/>
        <w:adjustRightInd w:val="0"/>
        <w:spacing w:line="400" w:lineRule="exact"/>
        <w:ind w:firstLine="420" w:firstLineChars="200"/>
        <w:jc w:val="center"/>
        <w:rPr>
          <w:rFonts w:ascii="Times New Roman" w:hAnsi="Times New Roman" w:eastAsia="楷体" w:cs="Times New Roman"/>
          <w:color w:val="auto"/>
          <w:kern w:val="0"/>
          <w:szCs w:val="21"/>
        </w:rPr>
      </w:pPr>
    </w:p>
    <w:p w14:paraId="3F6E7FA2">
      <w:pPr>
        <w:autoSpaceDE w:val="0"/>
        <w:autoSpaceDN w:val="0"/>
        <w:adjustRightInd w:val="0"/>
        <w:spacing w:line="400" w:lineRule="exact"/>
        <w:jc w:val="center"/>
        <w:rPr>
          <w:rFonts w:hint="eastAsia" w:ascii="Times New Roman" w:hAnsi="Times New Roman" w:eastAsia="楷体" w:cs="Times New Roman"/>
          <w:b/>
          <w:color w:val="auto"/>
          <w:kern w:val="0"/>
          <w:sz w:val="28"/>
          <w:szCs w:val="20"/>
          <w:u w:val="single"/>
          <w:lang w:eastAsia="zh-CN"/>
        </w:rPr>
      </w:pPr>
      <w:r>
        <w:rPr>
          <w:rFonts w:ascii="Times New Roman" w:hAnsi="Times New Roman" w:eastAsia="楷体" w:cs="Times New Roman"/>
          <w:b/>
          <w:color w:val="auto"/>
          <w:kern w:val="0"/>
          <w:sz w:val="28"/>
          <w:szCs w:val="20"/>
          <w:u w:val="single"/>
        </w:rPr>
        <w:t>（</w:t>
      </w:r>
      <w:r>
        <w:rPr>
          <w:rFonts w:hint="eastAsia" w:ascii="Times New Roman" w:hAnsi="Times New Roman" w:eastAsia="楷体" w:cs="Times New Roman"/>
          <w:b/>
          <w:color w:val="auto"/>
          <w:kern w:val="0"/>
          <w:sz w:val="28"/>
          <w:szCs w:val="20"/>
          <w:u w:val="single"/>
          <w:lang w:eastAsia="zh-CN"/>
        </w:rPr>
        <w:t>河北协鑫新能源有限公司所辖项目电站35kV变压器检测及维修</w:t>
      </w:r>
    </w:p>
    <w:p w14:paraId="2C290AA0">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hint="eastAsia" w:ascii="Times New Roman" w:hAnsi="Times New Roman" w:eastAsia="楷体" w:cs="Times New Roman"/>
          <w:b/>
          <w:color w:val="auto"/>
          <w:kern w:val="0"/>
          <w:sz w:val="28"/>
          <w:szCs w:val="20"/>
          <w:u w:val="single"/>
          <w:lang w:eastAsia="zh-CN"/>
        </w:rPr>
        <w:t>框架</w:t>
      </w:r>
      <w:r>
        <w:rPr>
          <w:rFonts w:hint="eastAsia" w:ascii="Times New Roman" w:hAnsi="Times New Roman" w:eastAsia="楷体" w:cs="Times New Roman"/>
          <w:b/>
          <w:color w:val="auto"/>
          <w:kern w:val="0"/>
          <w:sz w:val="28"/>
          <w:szCs w:val="20"/>
          <w:u w:val="single"/>
          <w:lang w:val="en-US" w:eastAsia="zh-CN"/>
        </w:rPr>
        <w:t>采购</w:t>
      </w:r>
      <w:r>
        <w:rPr>
          <w:rFonts w:ascii="Times New Roman" w:hAnsi="Times New Roman" w:eastAsia="楷体" w:cs="Times New Roman"/>
          <w:b/>
          <w:color w:val="auto"/>
          <w:kern w:val="0"/>
          <w:sz w:val="28"/>
          <w:szCs w:val="20"/>
          <w:u w:val="single"/>
        </w:rPr>
        <w:t>）</w:t>
      </w:r>
    </w:p>
    <w:p w14:paraId="2B26DB2D">
      <w:pPr>
        <w:autoSpaceDE w:val="0"/>
        <w:autoSpaceDN w:val="0"/>
        <w:adjustRightInd w:val="0"/>
        <w:spacing w:line="400" w:lineRule="exact"/>
        <w:jc w:val="center"/>
        <w:rPr>
          <w:rFonts w:ascii="Times New Roman" w:hAnsi="Times New Roman" w:eastAsia="楷体" w:cs="Times New Roman"/>
          <w:color w:val="auto"/>
          <w:kern w:val="0"/>
          <w:szCs w:val="21"/>
        </w:rPr>
      </w:pPr>
    </w:p>
    <w:p w14:paraId="5BEDCB6B">
      <w:pPr>
        <w:autoSpaceDE w:val="0"/>
        <w:autoSpaceDN w:val="0"/>
        <w:adjustRightInd w:val="0"/>
        <w:spacing w:line="400" w:lineRule="exact"/>
        <w:jc w:val="center"/>
        <w:rPr>
          <w:rFonts w:ascii="Times New Roman" w:hAnsi="Times New Roman" w:eastAsia="楷体" w:cs="Times New Roman"/>
          <w:color w:val="auto"/>
          <w:kern w:val="0"/>
          <w:szCs w:val="21"/>
        </w:rPr>
      </w:pPr>
    </w:p>
    <w:p w14:paraId="4CC004A5">
      <w:pPr>
        <w:autoSpaceDE w:val="0"/>
        <w:autoSpaceDN w:val="0"/>
        <w:adjustRightInd w:val="0"/>
        <w:spacing w:line="400" w:lineRule="exact"/>
        <w:jc w:val="center"/>
        <w:rPr>
          <w:rFonts w:ascii="Times New Roman" w:hAnsi="Times New Roman" w:eastAsia="楷体" w:cs="Times New Roman"/>
          <w:color w:val="auto"/>
          <w:kern w:val="0"/>
          <w:szCs w:val="21"/>
        </w:rPr>
      </w:pPr>
    </w:p>
    <w:p w14:paraId="0034A421">
      <w:pPr>
        <w:autoSpaceDE w:val="0"/>
        <w:autoSpaceDN w:val="0"/>
        <w:adjustRightInd w:val="0"/>
        <w:spacing w:line="400" w:lineRule="exact"/>
        <w:jc w:val="center"/>
        <w:rPr>
          <w:rFonts w:ascii="Times New Roman" w:hAnsi="Times New Roman" w:eastAsia="楷体" w:cs="Times New Roman"/>
          <w:color w:val="auto"/>
          <w:kern w:val="0"/>
          <w:szCs w:val="21"/>
        </w:rPr>
      </w:pPr>
    </w:p>
    <w:p w14:paraId="3BD88CA9">
      <w:pPr>
        <w:autoSpaceDE w:val="0"/>
        <w:autoSpaceDN w:val="0"/>
        <w:adjustRightInd w:val="0"/>
        <w:spacing w:line="400" w:lineRule="exact"/>
        <w:jc w:val="center"/>
        <w:rPr>
          <w:rFonts w:ascii="Times New Roman" w:hAnsi="Times New Roman" w:eastAsia="楷体" w:cs="Times New Roman"/>
          <w:color w:val="auto"/>
          <w:kern w:val="0"/>
          <w:szCs w:val="21"/>
        </w:rPr>
      </w:pPr>
    </w:p>
    <w:p w14:paraId="24201B73">
      <w:pPr>
        <w:autoSpaceDE w:val="0"/>
        <w:autoSpaceDN w:val="0"/>
        <w:adjustRightInd w:val="0"/>
        <w:spacing w:line="400" w:lineRule="exact"/>
        <w:jc w:val="center"/>
        <w:rPr>
          <w:rFonts w:ascii="Times New Roman" w:hAnsi="Times New Roman" w:eastAsia="楷体" w:cs="Times New Roman"/>
          <w:color w:val="auto"/>
          <w:kern w:val="0"/>
          <w:szCs w:val="21"/>
        </w:rPr>
      </w:pPr>
    </w:p>
    <w:p w14:paraId="7C4CE6C4">
      <w:pPr>
        <w:autoSpaceDE w:val="0"/>
        <w:autoSpaceDN w:val="0"/>
        <w:adjustRightInd w:val="0"/>
        <w:spacing w:line="900" w:lineRule="exact"/>
        <w:jc w:val="center"/>
        <w:rPr>
          <w:rFonts w:ascii="Times New Roman" w:hAnsi="Times New Roman" w:eastAsia="楷体" w:cs="Times New Roman"/>
          <w:b/>
          <w:color w:val="auto"/>
          <w:kern w:val="0"/>
          <w:sz w:val="84"/>
          <w:szCs w:val="20"/>
        </w:rPr>
      </w:pPr>
      <w:r>
        <w:rPr>
          <w:rFonts w:ascii="Times New Roman" w:hAnsi="Times New Roman" w:eastAsia="楷体" w:cs="Times New Roman"/>
          <w:b/>
          <w:color w:val="auto"/>
          <w:kern w:val="0"/>
          <w:sz w:val="84"/>
          <w:szCs w:val="20"/>
        </w:rPr>
        <w:t>谈判申请文件</w:t>
      </w:r>
    </w:p>
    <w:p w14:paraId="57A55B21">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2FAAD7DC">
      <w:pPr>
        <w:autoSpaceDE w:val="0"/>
        <w:autoSpaceDN w:val="0"/>
        <w:adjustRightInd w:val="0"/>
        <w:spacing w:line="400" w:lineRule="exact"/>
        <w:jc w:val="center"/>
        <w:rPr>
          <w:rFonts w:ascii="Times New Roman" w:hAnsi="Times New Roman" w:eastAsia="楷体" w:cs="Times New Roman"/>
          <w:b/>
          <w:color w:val="auto"/>
          <w:kern w:val="0"/>
          <w:sz w:val="28"/>
          <w:szCs w:val="20"/>
          <w:u w:val="single"/>
        </w:rPr>
      </w:pPr>
      <w:r>
        <w:rPr>
          <w:rFonts w:ascii="Times New Roman" w:hAnsi="Times New Roman" w:eastAsia="楷体" w:cs="Times New Roman"/>
          <w:b/>
          <w:color w:val="auto"/>
          <w:kern w:val="0"/>
          <w:sz w:val="28"/>
          <w:szCs w:val="20"/>
        </w:rPr>
        <w:t>项目编号：</w:t>
      </w:r>
    </w:p>
    <w:p w14:paraId="3A564CFE">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3F5AE70E">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189CB63D">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1CF60E73">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7EA3D5E0">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2EAFEC63">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6307F29D">
      <w:pPr>
        <w:autoSpaceDE w:val="0"/>
        <w:autoSpaceDN w:val="0"/>
        <w:adjustRightInd w:val="0"/>
        <w:spacing w:line="400" w:lineRule="exact"/>
        <w:jc w:val="center"/>
        <w:rPr>
          <w:rFonts w:ascii="Times New Roman" w:hAnsi="Times New Roman" w:eastAsia="楷体" w:cs="Times New Roman"/>
          <w:color w:val="auto"/>
          <w:kern w:val="0"/>
          <w:sz w:val="28"/>
          <w:szCs w:val="20"/>
        </w:rPr>
      </w:pPr>
    </w:p>
    <w:p w14:paraId="493CF6C4">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rPr>
        <w:t>谈判申请单位：</w:t>
      </w:r>
      <w:r>
        <w:rPr>
          <w:rFonts w:ascii="Times New Roman" w:hAnsi="Times New Roman" w:eastAsia="楷体" w:cs="Times New Roman"/>
          <w:b/>
          <w:color w:val="auto"/>
          <w:kern w:val="0"/>
          <w:sz w:val="28"/>
          <w:szCs w:val="20"/>
          <w:u w:val="single"/>
        </w:rPr>
        <w:t xml:space="preserve">                 </w:t>
      </w:r>
      <w:r>
        <w:rPr>
          <w:rFonts w:ascii="Times New Roman" w:hAnsi="Times New Roman" w:eastAsia="楷体" w:cs="Times New Roman"/>
          <w:b/>
          <w:color w:val="auto"/>
          <w:kern w:val="0"/>
          <w:sz w:val="28"/>
          <w:szCs w:val="20"/>
        </w:rPr>
        <w:t>（盖单位章）</w:t>
      </w:r>
    </w:p>
    <w:p w14:paraId="79442AA3">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rPr>
        <w:t>法定代表人或其委托代理人：</w:t>
      </w:r>
      <w:r>
        <w:rPr>
          <w:rFonts w:ascii="Times New Roman" w:hAnsi="Times New Roman" w:eastAsia="楷体" w:cs="Times New Roman"/>
          <w:b/>
          <w:color w:val="auto"/>
          <w:kern w:val="0"/>
          <w:sz w:val="28"/>
          <w:szCs w:val="20"/>
          <w:u w:val="single"/>
        </w:rPr>
        <w:t xml:space="preserve">          </w:t>
      </w:r>
      <w:r>
        <w:rPr>
          <w:rFonts w:ascii="Times New Roman" w:hAnsi="Times New Roman" w:eastAsia="楷体" w:cs="Times New Roman"/>
          <w:b/>
          <w:color w:val="auto"/>
          <w:kern w:val="0"/>
          <w:sz w:val="28"/>
          <w:szCs w:val="20"/>
        </w:rPr>
        <w:t>（签字或盖章）</w:t>
      </w:r>
    </w:p>
    <w:p w14:paraId="33153E92">
      <w:pPr>
        <w:autoSpaceDE w:val="0"/>
        <w:autoSpaceDN w:val="0"/>
        <w:adjustRightInd w:val="0"/>
        <w:spacing w:line="400" w:lineRule="exact"/>
        <w:jc w:val="center"/>
        <w:rPr>
          <w:rFonts w:ascii="Times New Roman" w:hAnsi="Times New Roman" w:eastAsia="楷体" w:cs="Times New Roman"/>
          <w:b/>
          <w:color w:val="auto"/>
          <w:kern w:val="0"/>
          <w:sz w:val="28"/>
          <w:szCs w:val="20"/>
        </w:rPr>
      </w:pPr>
      <w:r>
        <w:rPr>
          <w:rFonts w:ascii="Times New Roman" w:hAnsi="Times New Roman" w:eastAsia="楷体" w:cs="Times New Roman"/>
          <w:b/>
          <w:color w:val="auto"/>
          <w:kern w:val="0"/>
          <w:sz w:val="28"/>
          <w:szCs w:val="20"/>
        </w:rPr>
        <w:t>日期：202</w:t>
      </w:r>
      <w:r>
        <w:rPr>
          <w:rFonts w:hint="eastAsia" w:ascii="Times New Roman" w:hAnsi="Times New Roman" w:eastAsia="楷体" w:cs="Times New Roman"/>
          <w:b/>
          <w:color w:val="auto"/>
          <w:kern w:val="0"/>
          <w:sz w:val="28"/>
          <w:szCs w:val="20"/>
          <w:lang w:val="en-US" w:eastAsia="zh-CN"/>
        </w:rPr>
        <w:t>4</w:t>
      </w:r>
      <w:r>
        <w:rPr>
          <w:rFonts w:ascii="Times New Roman" w:hAnsi="Times New Roman" w:eastAsia="楷体" w:cs="Times New Roman"/>
          <w:b/>
          <w:color w:val="auto"/>
          <w:kern w:val="0"/>
          <w:sz w:val="28"/>
          <w:szCs w:val="20"/>
        </w:rPr>
        <w:t>年  月   日</w:t>
      </w:r>
    </w:p>
    <w:p w14:paraId="6CD27B1E">
      <w:pPr>
        <w:autoSpaceDE w:val="0"/>
        <w:autoSpaceDN w:val="0"/>
        <w:adjustRightInd w:val="0"/>
        <w:spacing w:line="400" w:lineRule="exact"/>
        <w:jc w:val="center"/>
        <w:rPr>
          <w:rFonts w:ascii="Times New Roman" w:hAnsi="Times New Roman" w:eastAsia="楷体" w:cs="Times New Roman"/>
          <w:b/>
          <w:color w:val="auto"/>
          <w:kern w:val="0"/>
          <w:szCs w:val="21"/>
          <w:highlight w:val="none"/>
        </w:rPr>
      </w:pPr>
      <w:r>
        <w:rPr>
          <w:rFonts w:ascii="Times New Roman" w:hAnsi="Times New Roman" w:eastAsia="楷体" w:cs="Times New Roman"/>
          <w:b/>
          <w:color w:val="auto"/>
          <w:szCs w:val="21"/>
          <w:highlight w:val="none"/>
        </w:rPr>
        <w:t>谈判申请文件格式中的日期</w:t>
      </w:r>
      <w:r>
        <w:rPr>
          <w:rFonts w:ascii="Times New Roman" w:hAnsi="Times New Roman" w:eastAsia="楷体" w:cs="Times New Roman"/>
          <w:b/>
          <w:color w:val="auto"/>
          <w:kern w:val="0"/>
          <w:szCs w:val="21"/>
          <w:highlight w:val="none"/>
        </w:rPr>
        <w:t>仅起提示作用，谈判申请单位可根据实际情况进行修改。</w:t>
      </w:r>
      <w:bookmarkStart w:id="72" w:name="_Toc269127655"/>
      <w:bookmarkStart w:id="73" w:name="_Toc261429076"/>
      <w:bookmarkStart w:id="74" w:name="_Toc241308712"/>
      <w:bookmarkStart w:id="75" w:name="_Toc234823964"/>
    </w:p>
    <w:p w14:paraId="2323AE12">
      <w:pPr>
        <w:pStyle w:val="2"/>
        <w:rPr>
          <w:color w:val="auto"/>
        </w:rPr>
      </w:pPr>
    </w:p>
    <w:p w14:paraId="733003FF">
      <w:pPr>
        <w:rPr>
          <w:color w:val="auto"/>
        </w:rPr>
      </w:pPr>
    </w:p>
    <w:p w14:paraId="450143A0">
      <w:pPr>
        <w:pStyle w:val="2"/>
        <w:rPr>
          <w:color w:val="auto"/>
        </w:rPr>
      </w:pPr>
    </w:p>
    <w:p w14:paraId="3171BD3E">
      <w:pPr>
        <w:keepNext/>
        <w:keepLines/>
        <w:spacing w:line="400" w:lineRule="exact"/>
        <w:ind w:firstLine="482" w:firstLineChars="200"/>
        <w:jc w:val="center"/>
        <w:outlineLvl w:val="1"/>
        <w:rPr>
          <w:rFonts w:ascii="Times New Roman" w:hAnsi="Times New Roman" w:eastAsia="楷体" w:cs="Times New Roman"/>
          <w:b/>
          <w:bCs/>
          <w:color w:val="auto"/>
          <w:sz w:val="24"/>
          <w:szCs w:val="24"/>
        </w:rPr>
      </w:pPr>
      <w:bookmarkStart w:id="76" w:name="_Toc28581"/>
      <w:bookmarkStart w:id="77" w:name="_Toc587"/>
      <w:r>
        <w:rPr>
          <w:rFonts w:ascii="Times New Roman" w:hAnsi="Times New Roman" w:eastAsia="楷体" w:cs="Times New Roman"/>
          <w:b/>
          <w:bCs/>
          <w:color w:val="auto"/>
          <w:sz w:val="24"/>
          <w:szCs w:val="24"/>
        </w:rPr>
        <w:t>一、</w:t>
      </w:r>
      <w:bookmarkEnd w:id="72"/>
      <w:bookmarkEnd w:id="73"/>
      <w:bookmarkEnd w:id="74"/>
      <w:bookmarkEnd w:id="75"/>
      <w:r>
        <w:rPr>
          <w:rFonts w:ascii="Times New Roman" w:hAnsi="Times New Roman" w:eastAsia="楷体" w:cs="Times New Roman"/>
          <w:b/>
          <w:bCs/>
          <w:color w:val="auto"/>
          <w:sz w:val="24"/>
          <w:szCs w:val="24"/>
        </w:rPr>
        <w:t>谈判申请函（“文件格式”）</w:t>
      </w:r>
      <w:bookmarkEnd w:id="76"/>
      <w:bookmarkEnd w:id="77"/>
    </w:p>
    <w:p w14:paraId="6900CD78">
      <w:pPr>
        <w:spacing w:line="400" w:lineRule="exact"/>
        <w:ind w:firstLine="422" w:firstLineChars="200"/>
        <w:rPr>
          <w:rFonts w:hint="eastAsia" w:ascii="Times New Roman" w:hAnsi="Times New Roman" w:eastAsia="楷体" w:cs="Times New Roman"/>
          <w:b/>
          <w:color w:val="auto"/>
          <w:szCs w:val="21"/>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39E52684">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我方收到</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的竞争性谈判文件，经详细研究，决定参加该项目的谈判。</w:t>
      </w:r>
    </w:p>
    <w:p w14:paraId="6011F569">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1、我方愿意按照竞争性谈判文件中的一切要求，承担</w:t>
      </w:r>
      <w:r>
        <w:rPr>
          <w:rFonts w:ascii="Times New Roman" w:hAnsi="Times New Roman" w:eastAsia="楷体" w:cs="Times New Roman"/>
          <w:b/>
          <w:color w:val="auto"/>
          <w:szCs w:val="21"/>
          <w:u w:val="single"/>
        </w:rPr>
        <w:t xml:space="preserve">                </w:t>
      </w:r>
      <w:r>
        <w:rPr>
          <w:rFonts w:ascii="Times New Roman" w:hAnsi="Times New Roman" w:eastAsia="楷体" w:cs="Times New Roman"/>
          <w:color w:val="auto"/>
          <w:szCs w:val="21"/>
        </w:rPr>
        <w:t>的任务，承诺严格执行谈判申请单位的责任和义务，</w:t>
      </w:r>
      <w:r>
        <w:rPr>
          <w:rFonts w:ascii="Times New Roman" w:hAnsi="Times New Roman" w:eastAsia="楷体" w:cs="Times New Roman"/>
          <w:b/>
          <w:color w:val="auto"/>
          <w:szCs w:val="21"/>
          <w:u w:val="single"/>
        </w:rPr>
        <w:t>初次报价</w:t>
      </w:r>
      <w:r>
        <w:rPr>
          <w:rFonts w:ascii="Times New Roman" w:hAnsi="Times New Roman" w:eastAsia="楷体" w:cs="Times New Roman"/>
          <w:color w:val="auto"/>
          <w:szCs w:val="21"/>
        </w:rPr>
        <w:t>为人民币大写(包含项目工作人员差旅费、食宿费、办公用品费等)：</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，人民币小写：</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，发票为税率</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%的增值税专用发票。          </w:t>
      </w:r>
    </w:p>
    <w:p w14:paraId="7D7ADE5C">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2、我方现提交的谈判申请文件份数：谈判申请文件</w:t>
      </w:r>
      <w:r>
        <w:rPr>
          <w:rFonts w:hint="eastAsia" w:ascii="Times New Roman" w:hAnsi="Times New Roman" w:eastAsia="楷体" w:cs="Times New Roman"/>
          <w:color w:val="auto"/>
          <w:szCs w:val="21"/>
        </w:rPr>
        <w:t>纸质版正本</w:t>
      </w:r>
      <w:r>
        <w:rPr>
          <w:rFonts w:ascii="Times New Roman" w:hAnsi="Times New Roman" w:eastAsia="楷体" w:cs="Times New Roman"/>
          <w:color w:val="auto"/>
          <w:szCs w:val="21"/>
        </w:rPr>
        <w:t>1份，电子标书为纸质标书的PDF扫描件，上传至</w:t>
      </w:r>
      <w:r>
        <w:rPr>
          <w:rFonts w:hint="eastAsia" w:ascii="Times New Roman" w:hAnsi="Times New Roman" w:eastAsia="楷体" w:cs="Times New Roman"/>
          <w:color w:val="auto"/>
          <w:szCs w:val="21"/>
          <w:lang w:eastAsia="zh-CN"/>
        </w:rPr>
        <w:t>公司采购平台</w:t>
      </w:r>
      <w:r>
        <w:rPr>
          <w:rFonts w:hint="eastAsia" w:ascii="Times New Roman" w:hAnsi="Times New Roman" w:eastAsia="楷体" w:cs="Times New Roman"/>
          <w:color w:val="auto"/>
          <w:szCs w:val="21"/>
        </w:rPr>
        <w:t>系统</w:t>
      </w:r>
      <w:r>
        <w:rPr>
          <w:rFonts w:ascii="Times New Roman" w:hAnsi="Times New Roman" w:eastAsia="楷体" w:cs="Times New Roman"/>
          <w:color w:val="auto"/>
          <w:szCs w:val="21"/>
        </w:rPr>
        <w:t>http://www.hbyn.cn。纸质标书及电子标书</w:t>
      </w:r>
      <w:r>
        <w:rPr>
          <w:rFonts w:hint="eastAsia" w:ascii="Times New Roman" w:hAnsi="Times New Roman" w:eastAsia="楷体" w:cs="Times New Roman"/>
          <w:color w:val="auto"/>
          <w:szCs w:val="21"/>
        </w:rPr>
        <w:t>（若未上传到询比价系统）</w:t>
      </w:r>
      <w:r>
        <w:rPr>
          <w:rFonts w:ascii="Times New Roman" w:hAnsi="Times New Roman" w:eastAsia="楷体" w:cs="Times New Roman"/>
          <w:color w:val="auto"/>
          <w:szCs w:val="21"/>
        </w:rPr>
        <w:t>邮寄到</w:t>
      </w:r>
      <w:r>
        <w:rPr>
          <w:rFonts w:hint="eastAsia" w:ascii="Times New Roman" w:hAnsi="Times New Roman" w:eastAsia="楷体" w:cs="Times New Roman"/>
          <w:color w:val="auto"/>
          <w:szCs w:val="21"/>
        </w:rPr>
        <w:t>石家庄市桥西区自强路中交财富中心1号楼701室</w:t>
      </w:r>
      <w:r>
        <w:rPr>
          <w:rFonts w:ascii="Times New Roman" w:hAnsi="Times New Roman" w:eastAsia="楷体" w:cs="Times New Roman"/>
          <w:color w:val="auto"/>
          <w:szCs w:val="21"/>
        </w:rPr>
        <w:t>。</w:t>
      </w:r>
    </w:p>
    <w:p w14:paraId="2845AFC9">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3、若我方成交，愿意以我方的法定代表人或其委托代理人在谈判现场填报的最终报价为最后成交价，我方承诺我方填报的初次报价和最终报价包括了我方成交后为完成合同规定的全部工作需支付的一切费用和拟获得的利润，并考虑了应承担的风险，但不包括合同规定的价格调整。</w:t>
      </w:r>
    </w:p>
    <w:p w14:paraId="6B3BE5E2">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4、保证忠实地执行买卖双方所签订的合同，并承担合同规定的责任义务。愿意向贵方提供任何与该项目有关的数据、情况和技术资料。</w:t>
      </w:r>
    </w:p>
    <w:p w14:paraId="21339CF6">
      <w:pPr>
        <w:adjustRightInd w:val="0"/>
        <w:snapToGrid w:val="0"/>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5、我方已详细审阅全部竞争性谈判文件，包括采购人所发出的一切有效的书面通知、修改及补充（如有），以及全部参考资料和有关附件，完全理解并同意放弃对这方面产生误解而要求采购人解释和承担责任的权利。</w:t>
      </w:r>
    </w:p>
    <w:p w14:paraId="41547E3A">
      <w:pPr>
        <w:spacing w:line="400" w:lineRule="exact"/>
        <w:rPr>
          <w:rFonts w:ascii="Times New Roman" w:hAnsi="Times New Roman" w:cs="Times New Roman"/>
          <w:color w:val="auto"/>
        </w:rPr>
      </w:pPr>
    </w:p>
    <w:p w14:paraId="3207EEBB">
      <w:pPr>
        <w:spacing w:line="400" w:lineRule="exact"/>
        <w:rPr>
          <w:rFonts w:ascii="Times New Roman" w:hAnsi="Times New Roman" w:cs="Times New Roman"/>
          <w:color w:val="auto"/>
        </w:rPr>
      </w:pPr>
    </w:p>
    <w:p w14:paraId="3E64B83E">
      <w:pPr>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 xml:space="preserve">  谈判申请单位：</w:t>
      </w:r>
      <w:r>
        <w:rPr>
          <w:rFonts w:ascii="Times New Roman" w:hAnsi="Times New Roman" w:eastAsia="楷体" w:cs="Times New Roman"/>
          <w:color w:val="auto"/>
          <w:szCs w:val="21"/>
          <w:u w:val="single"/>
        </w:rPr>
        <w:t xml:space="preserve">                    （盖章）</w:t>
      </w:r>
    </w:p>
    <w:p w14:paraId="7288E821">
      <w:pPr>
        <w:spacing w:line="400" w:lineRule="exact"/>
        <w:ind w:firstLine="420" w:firstLineChars="200"/>
        <w:jc w:val="right"/>
        <w:rPr>
          <w:rFonts w:ascii="Times New Roman" w:hAnsi="Times New Roman" w:eastAsia="楷体" w:cs="Times New Roman"/>
          <w:color w:val="auto"/>
          <w:szCs w:val="21"/>
        </w:rPr>
      </w:pPr>
    </w:p>
    <w:p w14:paraId="7BFB3B6D">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14:paraId="5AA4B8D9">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bookmarkStart w:id="78" w:name="_Toc24331"/>
    </w:p>
    <w:p w14:paraId="34586DD9">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br w:type="page"/>
      </w:r>
    </w:p>
    <w:p w14:paraId="2A71A6DA">
      <w:pPr>
        <w:keepNext/>
        <w:keepLines/>
        <w:spacing w:line="400" w:lineRule="exact"/>
        <w:ind w:firstLine="482" w:firstLineChars="200"/>
        <w:jc w:val="center"/>
        <w:outlineLvl w:val="1"/>
        <w:rPr>
          <w:rFonts w:ascii="Times New Roman" w:hAnsi="Times New Roman" w:eastAsia="楷体" w:cs="Times New Roman"/>
          <w:b/>
          <w:bCs/>
          <w:color w:val="auto"/>
          <w:sz w:val="24"/>
          <w:szCs w:val="24"/>
        </w:rPr>
      </w:pPr>
      <w:bookmarkStart w:id="79" w:name="_Toc17909"/>
      <w:r>
        <w:rPr>
          <w:rFonts w:ascii="Times New Roman" w:hAnsi="Times New Roman" w:eastAsia="楷体" w:cs="Times New Roman"/>
          <w:b/>
          <w:bCs/>
          <w:color w:val="auto"/>
          <w:sz w:val="24"/>
          <w:szCs w:val="24"/>
        </w:rPr>
        <w:t>二、廉洁谈判保证书</w:t>
      </w:r>
      <w:r>
        <w:rPr>
          <w:rFonts w:ascii="Times New Roman" w:hAnsi="Times New Roman" w:eastAsia="楷体" w:cs="Times New Roman"/>
          <w:b/>
          <w:bCs/>
          <w:color w:val="auto"/>
          <w:szCs w:val="21"/>
        </w:rPr>
        <w:t>（“文件格式”）</w:t>
      </w:r>
      <w:bookmarkEnd w:id="78"/>
      <w:bookmarkEnd w:id="79"/>
    </w:p>
    <w:p w14:paraId="460E00A7">
      <w:pPr>
        <w:spacing w:line="400" w:lineRule="exact"/>
        <w:ind w:firstLine="422" w:firstLineChars="200"/>
        <w:rPr>
          <w:rFonts w:hint="eastAsia" w:ascii="Times New Roman" w:hAnsi="Times New Roman" w:eastAsia="楷体" w:cs="Times New Roman"/>
          <w:color w:val="auto"/>
          <w:szCs w:val="21"/>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219741B8">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为了积极配合贵单位进行的</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的谈判工作，有效遏制不公平竞争和违规违纪问题的发生，确保谈判采购工作的公平、公正、公开，我们保证认真贯彻《</w:t>
      </w:r>
      <w:r>
        <w:rPr>
          <w:rFonts w:ascii="Times New Roman" w:hAnsi="Times New Roman" w:eastAsia="楷体" w:cs="Times New Roman"/>
          <w:bCs/>
          <w:color w:val="auto"/>
          <w:szCs w:val="21"/>
        </w:rPr>
        <w:t>中华人民共和国招标投标法</w:t>
      </w:r>
      <w:r>
        <w:rPr>
          <w:rFonts w:ascii="Times New Roman" w:hAnsi="Times New Roman" w:eastAsia="楷体" w:cs="Times New Roman"/>
          <w:color w:val="auto"/>
          <w:szCs w:val="21"/>
        </w:rPr>
        <w:t>》等相关法律法规的规定以及有关廉洁要求，特向贵单位承诺如下事项：</w:t>
      </w:r>
    </w:p>
    <w:p w14:paraId="47EA9B59">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1、自觉遵守国家法律法规及有关廉政建设制度。</w:t>
      </w:r>
    </w:p>
    <w:p w14:paraId="79A0E2BC">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2、主动了解采购人招投标纪律，积极配合采购人执行招投标廉政建设的有关规定。</w:t>
      </w:r>
    </w:p>
    <w:p w14:paraId="7B349971">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3、不使用不正当手段进行竞争。</w:t>
      </w:r>
    </w:p>
    <w:p w14:paraId="2BF31D1A">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4、按照竞争性谈判文件规定的方式进行报价，不隐瞒本单位资质的真实情况，投标资质符合规定。</w:t>
      </w:r>
    </w:p>
    <w:p w14:paraId="3D720C0B">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5、不以任何方式向采购人员赠送礼品、礼金及有价证券；不宴请采购人的任何人参加高档娱乐消费、旅游、考察、参观等活动；不以任何形式报销采购人的任何人以及亲友的各种票据及费用；不进行可能影响招投标公平、公正的任何活动。</w:t>
      </w:r>
    </w:p>
    <w:p w14:paraId="74190399">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6、不向采购人涉及招标的部门及个人购置或提供通讯工具、交通工具和高档办公用品等。</w:t>
      </w:r>
    </w:p>
    <w:p w14:paraId="3C555F52">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7、不向采购人员的配偶、子女分包此次采购项目。</w:t>
      </w:r>
    </w:p>
    <w:p w14:paraId="704ABB3F">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8、不向采购人涉及采购的部门及个人支付好处费、介绍费。</w:t>
      </w:r>
    </w:p>
    <w:p w14:paraId="76B12D21">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9、一旦发现相关人员在采购过程中有索要财物等不廉洁行为，坚决予以抵制，并及时向相关部门举报。</w:t>
      </w:r>
    </w:p>
    <w:p w14:paraId="5B7E2CA3">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10、我们若违反上述承诺，愿接受取消投标资格及其他任何形式的处理。</w:t>
      </w:r>
    </w:p>
    <w:p w14:paraId="50530F21">
      <w:pPr>
        <w:spacing w:line="400" w:lineRule="exact"/>
        <w:ind w:firstLine="420" w:firstLineChars="200"/>
        <w:jc w:val="right"/>
        <w:rPr>
          <w:rFonts w:ascii="Times New Roman" w:hAnsi="Times New Roman" w:eastAsia="楷体" w:cs="Times New Roman"/>
          <w:color w:val="auto"/>
          <w:szCs w:val="21"/>
        </w:rPr>
      </w:pPr>
    </w:p>
    <w:p w14:paraId="4EAD8F12">
      <w:pPr>
        <w:spacing w:line="400" w:lineRule="exact"/>
        <w:ind w:firstLine="420" w:firstLineChars="200"/>
        <w:jc w:val="right"/>
        <w:rPr>
          <w:rFonts w:ascii="Times New Roman" w:hAnsi="Times New Roman" w:eastAsia="楷体" w:cs="Times New Roman"/>
          <w:color w:val="auto"/>
          <w:szCs w:val="21"/>
        </w:rPr>
      </w:pPr>
    </w:p>
    <w:p w14:paraId="634C467B">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w:t>
      </w:r>
    </w:p>
    <w:p w14:paraId="53642D60">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14:paraId="75FA8197">
      <w:pPr>
        <w:tabs>
          <w:tab w:val="left" w:pos="4605"/>
        </w:tabs>
        <w:adjustRightInd w:val="0"/>
        <w:snapToGrid w:val="0"/>
        <w:spacing w:line="400" w:lineRule="exact"/>
        <w:ind w:firstLine="420" w:firstLineChars="200"/>
        <w:jc w:val="right"/>
        <w:rPr>
          <w:rFonts w:ascii="Times New Roman" w:hAnsi="Times New Roman" w:eastAsia="楷体" w:cs="Times New Roman"/>
          <w:color w:val="auto"/>
          <w:sz w:val="24"/>
          <w:szCs w:val="24"/>
        </w:rPr>
        <w:sectPr>
          <w:footerReference r:id="rId3" w:type="default"/>
          <w:pgSz w:w="11907" w:h="16840"/>
          <w:pgMar w:top="1418" w:right="1418" w:bottom="1418" w:left="1701" w:header="851" w:footer="850" w:gutter="0"/>
          <w:cols w:space="720" w:num="1"/>
          <w:docGrid w:linePitch="381" w:charSpace="-5735"/>
        </w:sect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7A35CC11">
      <w:pPr>
        <w:keepNext/>
        <w:keepLines/>
        <w:spacing w:line="400" w:lineRule="exact"/>
        <w:ind w:firstLine="482" w:firstLineChars="200"/>
        <w:jc w:val="center"/>
        <w:outlineLvl w:val="1"/>
        <w:rPr>
          <w:rFonts w:ascii="Times New Roman" w:hAnsi="Times New Roman" w:eastAsia="楷体" w:cs="Times New Roman"/>
          <w:b/>
          <w:bCs/>
          <w:color w:val="auto"/>
          <w:sz w:val="24"/>
          <w:szCs w:val="24"/>
        </w:rPr>
      </w:pPr>
      <w:bookmarkStart w:id="80" w:name="_Toc25086"/>
      <w:bookmarkStart w:id="81" w:name="_Toc16657"/>
      <w:r>
        <w:rPr>
          <w:rFonts w:ascii="Times New Roman" w:hAnsi="Times New Roman" w:eastAsia="楷体" w:cs="Times New Roman"/>
          <w:b/>
          <w:bCs/>
          <w:color w:val="auto"/>
          <w:sz w:val="24"/>
          <w:szCs w:val="24"/>
        </w:rPr>
        <w:t>三、谈判报价书</w:t>
      </w:r>
      <w:r>
        <w:rPr>
          <w:rFonts w:ascii="Times New Roman" w:hAnsi="Times New Roman" w:eastAsia="楷体" w:cs="Times New Roman"/>
          <w:b/>
          <w:bCs/>
          <w:color w:val="auto"/>
          <w:szCs w:val="21"/>
        </w:rPr>
        <w:t>（“文件格式”）</w:t>
      </w:r>
      <w:bookmarkEnd w:id="80"/>
      <w:bookmarkEnd w:id="81"/>
    </w:p>
    <w:p w14:paraId="79DCA18F">
      <w:pPr>
        <w:spacing w:line="400" w:lineRule="exact"/>
        <w:ind w:firstLine="422" w:firstLineChars="200"/>
        <w:rPr>
          <w:rFonts w:hint="eastAsia" w:ascii="Times New Roman" w:hAnsi="Times New Roman" w:eastAsia="楷体" w:cs="Times New Roman"/>
          <w:color w:val="auto"/>
          <w:szCs w:val="21"/>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64C2142A">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我公司仔细审阅了</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竞争性谈判文件中的所有条款内容及采购人所发出的一切有效的书面通知、修改及补充（如有），经研究决定对一下作出承诺：</w:t>
      </w:r>
    </w:p>
    <w:p w14:paraId="2D03E796">
      <w:pPr>
        <w:spacing w:line="400" w:lineRule="exact"/>
        <w:ind w:firstLine="420" w:firstLineChars="200"/>
        <w:jc w:val="left"/>
        <w:rPr>
          <w:rFonts w:ascii="Times New Roman" w:hAnsi="Times New Roman" w:eastAsia="楷体" w:cs="Times New Roman"/>
          <w:color w:val="auto"/>
          <w:szCs w:val="21"/>
        </w:rPr>
      </w:pPr>
      <w:r>
        <w:rPr>
          <w:rFonts w:ascii="Times New Roman" w:hAnsi="Times New Roman" w:eastAsia="楷体" w:cs="Times New Roman"/>
          <w:color w:val="auto"/>
          <w:szCs w:val="21"/>
        </w:rPr>
        <w:t>（1）我公司初次报价：</w:t>
      </w:r>
      <w:r>
        <w:rPr>
          <w:rFonts w:ascii="Times New Roman" w:hAnsi="Times New Roman" w:eastAsia="楷体" w:cs="Times New Roman"/>
          <w:b/>
          <w:color w:val="auto"/>
          <w:szCs w:val="21"/>
          <w:u w:val="single"/>
        </w:rPr>
        <w:t>人民币          元（大写：                 ）发票为税率   %</w:t>
      </w:r>
      <w:r>
        <w:rPr>
          <w:rFonts w:hint="eastAsia" w:ascii="Times New Roman" w:hAnsi="Times New Roman" w:eastAsia="楷体" w:cs="Times New Roman"/>
          <w:b/>
          <w:color w:val="auto"/>
          <w:szCs w:val="21"/>
          <w:u w:val="single"/>
        </w:rPr>
        <w:t>，</w:t>
      </w:r>
      <w:r>
        <w:rPr>
          <w:rFonts w:ascii="Times New Roman" w:hAnsi="Times New Roman" w:eastAsia="楷体" w:cs="Times New Roman"/>
          <w:b/>
          <w:color w:val="auto"/>
          <w:szCs w:val="21"/>
          <w:u w:val="single"/>
        </w:rPr>
        <w:t>报价包含</w:t>
      </w:r>
      <w:r>
        <w:rPr>
          <w:rFonts w:hint="eastAsia" w:ascii="Times New Roman" w:hAnsi="Times New Roman" w:eastAsia="楷体" w:cs="Times New Roman"/>
          <w:b/>
          <w:color w:val="auto"/>
          <w:szCs w:val="21"/>
          <w:u w:val="single"/>
          <w:lang w:val="en-US" w:eastAsia="zh-CN"/>
        </w:rPr>
        <w:t>施工、</w:t>
      </w:r>
      <w:r>
        <w:rPr>
          <w:rFonts w:hint="eastAsia" w:ascii="Times New Roman" w:hAnsi="Times New Roman" w:eastAsia="楷体" w:cs="Times New Roman"/>
          <w:b/>
          <w:color w:val="auto"/>
          <w:szCs w:val="21"/>
          <w:u w:val="single"/>
          <w:lang w:eastAsia="zh-CN"/>
        </w:rPr>
        <w:t>物资原价</w:t>
      </w:r>
      <w:r>
        <w:rPr>
          <w:rFonts w:hint="eastAsia" w:ascii="Times New Roman" w:hAnsi="Times New Roman" w:eastAsia="楷体" w:cs="Times New Roman"/>
          <w:b/>
          <w:color w:val="auto"/>
          <w:szCs w:val="21"/>
          <w:u w:val="single"/>
        </w:rPr>
        <w:t>、运杂费（含装卸费及包装绑扎费）、运输保险费、税费</w:t>
      </w:r>
      <w:r>
        <w:rPr>
          <w:rFonts w:ascii="Times New Roman" w:hAnsi="Times New Roman" w:eastAsia="楷体" w:cs="Times New Roman"/>
          <w:b/>
          <w:color w:val="auto"/>
          <w:szCs w:val="21"/>
          <w:u w:val="single"/>
        </w:rPr>
        <w:t>等</w:t>
      </w:r>
      <w:r>
        <w:rPr>
          <w:rFonts w:ascii="Times New Roman" w:hAnsi="Times New Roman" w:eastAsia="楷体" w:cs="Times New Roman"/>
          <w:color w:val="auto"/>
          <w:szCs w:val="21"/>
        </w:rPr>
        <w:t>，详见报价表。</w:t>
      </w:r>
    </w:p>
    <w:p w14:paraId="2EDF1069">
      <w:pPr>
        <w:spacing w:line="400" w:lineRule="exact"/>
        <w:ind w:firstLine="422" w:firstLineChars="200"/>
        <w:jc w:val="center"/>
        <w:rPr>
          <w:rFonts w:ascii="Times New Roman" w:hAnsi="Times New Roman" w:eastAsia="楷体" w:cs="Times New Roman"/>
          <w:b/>
          <w:color w:val="auto"/>
          <w:szCs w:val="21"/>
          <w:highlight w:val="none"/>
        </w:rPr>
      </w:pPr>
      <w:r>
        <w:rPr>
          <w:rFonts w:ascii="Times New Roman" w:hAnsi="Times New Roman" w:eastAsia="楷体" w:cs="Times New Roman"/>
          <w:b/>
          <w:color w:val="auto"/>
          <w:szCs w:val="21"/>
          <w:highlight w:val="none"/>
        </w:rPr>
        <w:t>报价表</w:t>
      </w:r>
    </w:p>
    <w:p w14:paraId="73CC01EF">
      <w:pPr>
        <w:numPr>
          <w:ilvl w:val="255"/>
          <w:numId w:val="0"/>
        </w:numPr>
        <w:rPr>
          <w:b/>
          <w:bCs/>
          <w:color w:val="auto"/>
          <w:highlight w:val="none"/>
        </w:rPr>
      </w:pPr>
    </w:p>
    <w:tbl>
      <w:tblPr>
        <w:tblStyle w:val="84"/>
        <w:tblW w:w="10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2454"/>
        <w:gridCol w:w="1932"/>
        <w:gridCol w:w="698"/>
        <w:gridCol w:w="610"/>
        <w:gridCol w:w="2076"/>
        <w:gridCol w:w="1260"/>
        <w:gridCol w:w="716"/>
      </w:tblGrid>
      <w:tr w14:paraId="4C04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9E3DE88">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54" w:type="dxa"/>
            <w:tcBorders>
              <w:top w:val="single" w:color="000000" w:sz="4" w:space="0"/>
              <w:left w:val="nil"/>
              <w:bottom w:val="single" w:color="000000" w:sz="4" w:space="0"/>
              <w:right w:val="single" w:color="000000" w:sz="4" w:space="0"/>
            </w:tcBorders>
            <w:noWrap w:val="0"/>
            <w:vAlign w:val="center"/>
          </w:tcPr>
          <w:p w14:paraId="506CBCC6">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维修内容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1B2B712">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规格型号参数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B8E3EA0">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p>
          <w:p w14:paraId="518308CC">
            <w:pPr>
              <w:pStyle w:val="2"/>
              <w:pageBreakBefore w:val="0"/>
              <w:kinsoku/>
              <w:wordWrap/>
              <w:overflowPunct/>
              <w:topLinePunct w:val="0"/>
              <w:autoSpaceDE/>
              <w:autoSpaceDN/>
              <w:bidi w:val="0"/>
              <w:adjustRightInd/>
              <w:snapToGrid/>
              <w:spacing w:before="0" w:after="0" w:line="240" w:lineRule="exact"/>
              <w:jc w:val="center"/>
              <w:outlineLvl w:val="1"/>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11C0A5DC">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p>
          <w:p w14:paraId="606660BA">
            <w:pPr>
              <w:pStyle w:val="2"/>
              <w:pageBreakBefore w:val="0"/>
              <w:kinsoku/>
              <w:wordWrap/>
              <w:overflowPunct/>
              <w:topLinePunct w:val="0"/>
              <w:autoSpaceDE/>
              <w:autoSpaceDN/>
              <w:bidi w:val="0"/>
              <w:adjustRightInd/>
              <w:snapToGrid/>
              <w:spacing w:before="0" w:after="0" w:line="240" w:lineRule="exact"/>
              <w:jc w:val="center"/>
              <w:outlineLvl w:val="1"/>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71D3D63A">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检修、维修单价（不包含维修件回收）（元）</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D8F6BFB">
            <w:pPr>
              <w:pStyle w:val="2"/>
              <w:pageBreakBefore w:val="0"/>
              <w:kinsoku/>
              <w:wordWrap/>
              <w:overflowPunct/>
              <w:topLinePunct w:val="0"/>
              <w:autoSpaceDE/>
              <w:autoSpaceDN/>
              <w:bidi w:val="0"/>
              <w:adjustRightInd/>
              <w:snapToGrid/>
              <w:spacing w:before="0" w:after="0" w:line="240" w:lineRule="exact"/>
              <w:ind w:firstLine="1687" w:firstLineChars="700"/>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收维修件回收单价（元）</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3CF7410D">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269A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restart"/>
            <w:tcBorders>
              <w:left w:val="single" w:color="000000" w:sz="4" w:space="0"/>
              <w:right w:val="single" w:color="000000" w:sz="4" w:space="0"/>
            </w:tcBorders>
            <w:noWrap/>
            <w:vAlign w:val="center"/>
          </w:tcPr>
          <w:p w14:paraId="68422155">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w:t>
            </w:r>
          </w:p>
        </w:tc>
        <w:tc>
          <w:tcPr>
            <w:tcW w:w="2454" w:type="dxa"/>
            <w:vMerge w:val="restart"/>
            <w:tcBorders>
              <w:left w:val="nil"/>
              <w:right w:val="single" w:color="000000" w:sz="4" w:space="0"/>
            </w:tcBorders>
            <w:noWrap w:val="0"/>
            <w:vAlign w:val="center"/>
          </w:tcPr>
          <w:p w14:paraId="28A6FBF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变压器解体、吊芯检查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1AB0">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restart"/>
            <w:tcBorders>
              <w:left w:val="nil"/>
              <w:right w:val="single" w:color="000000" w:sz="4" w:space="0"/>
            </w:tcBorders>
            <w:noWrap/>
            <w:vAlign w:val="center"/>
          </w:tcPr>
          <w:p w14:paraId="0231F1F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left w:val="single" w:color="000000" w:sz="4" w:space="0"/>
              <w:right w:val="single" w:color="000000" w:sz="4" w:space="0"/>
            </w:tcBorders>
            <w:noWrap/>
            <w:vAlign w:val="center"/>
          </w:tcPr>
          <w:p w14:paraId="58A141A1">
            <w:pP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41F54C7A">
            <w:pPr>
              <w:rPr>
                <w:rFonts w:hint="eastAsia" w:ascii="宋体" w:hAnsi="宋体" w:eastAsia="宋体" w:cs="宋体"/>
                <w:i w:val="0"/>
                <w:iCs w:val="0"/>
                <w:color w:val="auto"/>
                <w:sz w:val="22"/>
                <w:szCs w:val="22"/>
                <w:u w:val="none"/>
              </w:rPr>
            </w:pPr>
          </w:p>
        </w:tc>
        <w:tc>
          <w:tcPr>
            <w:tcW w:w="1260" w:type="dxa"/>
            <w:vMerge w:val="restart"/>
            <w:tcBorders>
              <w:left w:val="single" w:color="000000" w:sz="4" w:space="0"/>
              <w:right w:val="nil"/>
            </w:tcBorders>
            <w:noWrap/>
            <w:vAlign w:val="center"/>
          </w:tcPr>
          <w:p w14:paraId="07247210">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716" w:type="dxa"/>
            <w:vMerge w:val="restart"/>
            <w:tcBorders>
              <w:left w:val="single" w:color="000000" w:sz="4" w:space="0"/>
              <w:right w:val="single" w:color="000000" w:sz="4" w:space="0"/>
            </w:tcBorders>
            <w:noWrap/>
            <w:vAlign w:val="center"/>
          </w:tcPr>
          <w:p w14:paraId="2AE17878">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none"/>
                <w:u w:val="none"/>
              </w:rPr>
              <w:t>检修、维修</w:t>
            </w:r>
            <w:r>
              <w:rPr>
                <w:rFonts w:hint="eastAsia" w:ascii="宋体" w:hAnsi="宋体" w:eastAsia="宋体" w:cs="宋体"/>
                <w:i w:val="0"/>
                <w:iCs w:val="0"/>
                <w:color w:val="auto"/>
                <w:sz w:val="22"/>
                <w:szCs w:val="22"/>
                <w:highlight w:val="none"/>
                <w:u w:val="none"/>
                <w:lang w:val="en-US" w:eastAsia="zh-CN"/>
              </w:rPr>
              <w:t>费用包含</w:t>
            </w:r>
            <w:r>
              <w:rPr>
                <w:rFonts w:hint="eastAsia" w:ascii="宋体" w:hAnsi="宋体" w:eastAsia="宋体" w:cs="宋体"/>
                <w:i w:val="0"/>
                <w:iCs w:val="0"/>
                <w:color w:val="auto"/>
                <w:sz w:val="22"/>
                <w:szCs w:val="22"/>
                <w:highlight w:val="none"/>
                <w:u w:val="none"/>
              </w:rPr>
              <w:t>拆卸</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往返</w:t>
            </w:r>
            <w:r>
              <w:rPr>
                <w:rFonts w:hint="eastAsia" w:ascii="宋体" w:hAnsi="宋体" w:eastAsia="宋体" w:cs="宋体"/>
                <w:i w:val="0"/>
                <w:iCs w:val="0"/>
                <w:color w:val="auto"/>
                <w:sz w:val="22"/>
                <w:szCs w:val="22"/>
                <w:highlight w:val="none"/>
                <w:u w:val="none"/>
              </w:rPr>
              <w:t>运输费</w:t>
            </w:r>
            <w:r>
              <w:rPr>
                <w:rFonts w:hint="eastAsia" w:ascii="宋体" w:hAnsi="宋体" w:eastAsia="宋体" w:cs="宋体"/>
                <w:i w:val="0"/>
                <w:iCs w:val="0"/>
                <w:color w:val="auto"/>
                <w:sz w:val="22"/>
                <w:szCs w:val="22"/>
                <w:highlight w:val="none"/>
                <w:u w:val="none"/>
                <w:lang w:val="en-US" w:eastAsia="zh-CN"/>
              </w:rPr>
              <w:t>等</w:t>
            </w:r>
            <w:r>
              <w:rPr>
                <w:rFonts w:hint="eastAsia" w:ascii="宋体" w:hAnsi="宋体" w:eastAsia="宋体" w:cs="宋体"/>
                <w:i w:val="0"/>
                <w:iCs w:val="0"/>
                <w:color w:val="auto"/>
                <w:sz w:val="22"/>
                <w:szCs w:val="22"/>
                <w:highlight w:val="none"/>
                <w:u w:val="none"/>
              </w:rPr>
              <w:t>，涉及更换件</w:t>
            </w:r>
            <w:r>
              <w:rPr>
                <w:rFonts w:hint="eastAsia" w:ascii="宋体" w:hAnsi="宋体" w:eastAsia="宋体" w:cs="宋体"/>
                <w:i w:val="0"/>
                <w:iCs w:val="0"/>
                <w:color w:val="auto"/>
                <w:sz w:val="22"/>
                <w:szCs w:val="22"/>
                <w:highlight w:val="none"/>
                <w:u w:val="none"/>
                <w:lang w:val="en-US" w:eastAsia="zh-CN"/>
              </w:rPr>
              <w:t>单独备注</w:t>
            </w:r>
            <w:r>
              <w:rPr>
                <w:rFonts w:hint="eastAsia" w:ascii="宋体" w:hAnsi="宋体" w:eastAsia="宋体" w:cs="宋体"/>
                <w:i w:val="0"/>
                <w:iCs w:val="0"/>
                <w:color w:val="auto"/>
                <w:sz w:val="22"/>
                <w:szCs w:val="22"/>
                <w:highlight w:val="none"/>
                <w:u w:val="none"/>
              </w:rPr>
              <w:t>回收价格</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采购方根据回收报价及市场行情决定是否由报价单位回收</w:t>
            </w:r>
          </w:p>
        </w:tc>
      </w:tr>
      <w:tr w14:paraId="74C7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0F46AA1D">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D922DF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B7F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nil"/>
              <w:right w:val="single" w:color="000000" w:sz="4" w:space="0"/>
            </w:tcBorders>
            <w:noWrap/>
            <w:vAlign w:val="center"/>
          </w:tcPr>
          <w:p w14:paraId="576EB29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33CD25A6">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10E4605D">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1AFDA4A4">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4AB8253A">
            <w:pPr>
              <w:rPr>
                <w:rFonts w:hint="eastAsia" w:ascii="宋体" w:hAnsi="宋体" w:eastAsia="宋体" w:cs="宋体"/>
                <w:i w:val="0"/>
                <w:iCs w:val="0"/>
                <w:color w:val="auto"/>
                <w:sz w:val="22"/>
                <w:szCs w:val="22"/>
                <w:u w:val="none"/>
              </w:rPr>
            </w:pPr>
          </w:p>
        </w:tc>
      </w:tr>
      <w:tr w14:paraId="68A9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404F5FA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9C14C8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A09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nil"/>
              <w:right w:val="single" w:color="000000" w:sz="4" w:space="0"/>
            </w:tcBorders>
            <w:noWrap/>
            <w:vAlign w:val="center"/>
          </w:tcPr>
          <w:p w14:paraId="35CB3DF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1AE86B5C">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6D20149">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3E39DA37">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4440C43D">
            <w:pPr>
              <w:rPr>
                <w:rFonts w:hint="eastAsia" w:ascii="宋体" w:hAnsi="宋体" w:eastAsia="宋体" w:cs="宋体"/>
                <w:i w:val="0"/>
                <w:iCs w:val="0"/>
                <w:color w:val="auto"/>
                <w:sz w:val="22"/>
                <w:szCs w:val="22"/>
                <w:u w:val="none"/>
              </w:rPr>
            </w:pPr>
          </w:p>
        </w:tc>
      </w:tr>
      <w:tr w14:paraId="0FA9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0AC0C869">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2</w:t>
            </w:r>
          </w:p>
        </w:tc>
        <w:tc>
          <w:tcPr>
            <w:tcW w:w="2454" w:type="dxa"/>
            <w:vMerge w:val="restart"/>
            <w:tcBorders>
              <w:top w:val="single" w:color="000000" w:sz="4" w:space="0"/>
              <w:left w:val="nil"/>
              <w:right w:val="single" w:color="000000" w:sz="4" w:space="0"/>
            </w:tcBorders>
            <w:noWrap w:val="0"/>
            <w:vAlign w:val="center"/>
          </w:tcPr>
          <w:p w14:paraId="2911FC4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变压器高压侧套管拆装、更换</w:t>
            </w:r>
          </w:p>
        </w:tc>
        <w:tc>
          <w:tcPr>
            <w:tcW w:w="1932" w:type="dxa"/>
            <w:tcBorders>
              <w:top w:val="single" w:color="000000" w:sz="4" w:space="0"/>
              <w:left w:val="single" w:color="000000" w:sz="4" w:space="0"/>
              <w:right w:val="single" w:color="000000" w:sz="4" w:space="0"/>
            </w:tcBorders>
            <w:shd w:val="clear" w:color="auto" w:fill="auto"/>
            <w:noWrap/>
            <w:vAlign w:val="center"/>
          </w:tcPr>
          <w:p w14:paraId="021DFDF5">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restart"/>
            <w:tcBorders>
              <w:top w:val="single" w:color="000000" w:sz="4" w:space="0"/>
              <w:left w:val="single" w:color="000000" w:sz="4" w:space="0"/>
              <w:right w:val="single" w:color="000000" w:sz="4" w:space="0"/>
            </w:tcBorders>
            <w:noWrap/>
            <w:vAlign w:val="center"/>
          </w:tcPr>
          <w:p w14:paraId="2BDD577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相</w:t>
            </w:r>
          </w:p>
        </w:tc>
        <w:tc>
          <w:tcPr>
            <w:tcW w:w="610" w:type="dxa"/>
            <w:vMerge w:val="restart"/>
            <w:tcBorders>
              <w:top w:val="single" w:color="000000" w:sz="4" w:space="0"/>
              <w:left w:val="single" w:color="000000" w:sz="4" w:space="0"/>
              <w:right w:val="single" w:color="000000" w:sz="4" w:space="0"/>
            </w:tcBorders>
            <w:noWrap/>
            <w:vAlign w:val="center"/>
          </w:tcPr>
          <w:p w14:paraId="76C3B58D">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651F8483">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1D42AA4D">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7B693C97">
            <w:pPr>
              <w:rPr>
                <w:rFonts w:hint="eastAsia" w:ascii="宋体" w:hAnsi="宋体" w:eastAsia="宋体" w:cs="宋体"/>
                <w:i w:val="0"/>
                <w:iCs w:val="0"/>
                <w:color w:val="auto"/>
                <w:sz w:val="22"/>
                <w:szCs w:val="22"/>
                <w:u w:val="none"/>
              </w:rPr>
            </w:pPr>
          </w:p>
        </w:tc>
      </w:tr>
      <w:tr w14:paraId="0264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7C34B696">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B31F3F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5DFA">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single" w:color="000000" w:sz="4" w:space="0"/>
              <w:right w:val="single" w:color="000000" w:sz="4" w:space="0"/>
            </w:tcBorders>
            <w:noWrap/>
            <w:vAlign w:val="center"/>
          </w:tcPr>
          <w:p w14:paraId="77CB5DE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4284613C">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4AB89577">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D96E46D">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1C8F50EA">
            <w:pPr>
              <w:rPr>
                <w:rFonts w:hint="eastAsia" w:ascii="宋体" w:hAnsi="宋体" w:eastAsia="宋体" w:cs="宋体"/>
                <w:i w:val="0"/>
                <w:iCs w:val="0"/>
                <w:color w:val="auto"/>
                <w:sz w:val="22"/>
                <w:szCs w:val="22"/>
                <w:u w:val="none"/>
              </w:rPr>
            </w:pPr>
          </w:p>
        </w:tc>
      </w:tr>
      <w:tr w14:paraId="3B55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640E1E7D">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5AA52B6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4030">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single" w:color="000000" w:sz="4" w:space="0"/>
              <w:right w:val="single" w:color="000000" w:sz="4" w:space="0"/>
            </w:tcBorders>
            <w:noWrap/>
            <w:vAlign w:val="center"/>
          </w:tcPr>
          <w:p w14:paraId="51F9294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1639015A">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6DFE2A3C">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6EACB15D">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518CFA24">
            <w:pPr>
              <w:rPr>
                <w:rFonts w:hint="eastAsia" w:ascii="宋体" w:hAnsi="宋体" w:eastAsia="宋体" w:cs="宋体"/>
                <w:i w:val="0"/>
                <w:iCs w:val="0"/>
                <w:color w:val="auto"/>
                <w:sz w:val="22"/>
                <w:szCs w:val="22"/>
                <w:u w:val="none"/>
              </w:rPr>
            </w:pPr>
          </w:p>
        </w:tc>
      </w:tr>
      <w:tr w14:paraId="4913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17B0DEE8">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w:t>
            </w:r>
          </w:p>
        </w:tc>
        <w:tc>
          <w:tcPr>
            <w:tcW w:w="2454" w:type="dxa"/>
            <w:vMerge w:val="restart"/>
            <w:tcBorders>
              <w:top w:val="single" w:color="000000" w:sz="4" w:space="0"/>
              <w:left w:val="nil"/>
              <w:right w:val="single" w:color="000000" w:sz="4" w:space="0"/>
            </w:tcBorders>
            <w:noWrap w:val="0"/>
            <w:vAlign w:val="center"/>
          </w:tcPr>
          <w:p w14:paraId="2C11D35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变压器低压侧套管拆装、更换</w:t>
            </w:r>
          </w:p>
        </w:tc>
        <w:tc>
          <w:tcPr>
            <w:tcW w:w="1932" w:type="dxa"/>
            <w:tcBorders>
              <w:top w:val="single" w:color="000000" w:sz="4" w:space="0"/>
              <w:left w:val="single" w:color="000000" w:sz="4" w:space="0"/>
              <w:right w:val="single" w:color="000000" w:sz="4" w:space="0"/>
            </w:tcBorders>
            <w:shd w:val="clear" w:color="auto" w:fill="auto"/>
            <w:noWrap/>
            <w:vAlign w:val="center"/>
          </w:tcPr>
          <w:p w14:paraId="0B736E4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restart"/>
            <w:tcBorders>
              <w:top w:val="single" w:color="000000" w:sz="4" w:space="0"/>
              <w:left w:val="single" w:color="000000" w:sz="4" w:space="0"/>
              <w:right w:val="single" w:color="000000" w:sz="4" w:space="0"/>
            </w:tcBorders>
            <w:noWrap/>
            <w:vAlign w:val="center"/>
          </w:tcPr>
          <w:p w14:paraId="48D36F5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相</w:t>
            </w:r>
          </w:p>
        </w:tc>
        <w:tc>
          <w:tcPr>
            <w:tcW w:w="610" w:type="dxa"/>
            <w:vMerge w:val="restart"/>
            <w:tcBorders>
              <w:top w:val="single" w:color="000000" w:sz="4" w:space="0"/>
              <w:left w:val="single" w:color="000000" w:sz="4" w:space="0"/>
              <w:right w:val="single" w:color="000000" w:sz="4" w:space="0"/>
            </w:tcBorders>
            <w:noWrap/>
            <w:vAlign w:val="center"/>
          </w:tcPr>
          <w:p w14:paraId="7854EE31">
            <w:pP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196165C3">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0EF03595">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09134100">
            <w:pPr>
              <w:rPr>
                <w:rFonts w:hint="eastAsia" w:ascii="宋体" w:hAnsi="宋体" w:eastAsia="宋体" w:cs="宋体"/>
                <w:i w:val="0"/>
                <w:iCs w:val="0"/>
                <w:color w:val="auto"/>
                <w:sz w:val="22"/>
                <w:szCs w:val="22"/>
                <w:u w:val="none"/>
              </w:rPr>
            </w:pPr>
          </w:p>
        </w:tc>
      </w:tr>
      <w:tr w14:paraId="69A4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5C6DD2E5">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29EA01A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BC70">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single" w:color="000000" w:sz="4" w:space="0"/>
              <w:right w:val="single" w:color="000000" w:sz="4" w:space="0"/>
            </w:tcBorders>
            <w:noWrap/>
            <w:vAlign w:val="center"/>
          </w:tcPr>
          <w:p w14:paraId="5B8770A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105D9A8">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7B62DF73">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FC15DEF">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27A8C293">
            <w:pPr>
              <w:rPr>
                <w:rFonts w:hint="eastAsia" w:ascii="宋体" w:hAnsi="宋体" w:eastAsia="宋体" w:cs="宋体"/>
                <w:i w:val="0"/>
                <w:iCs w:val="0"/>
                <w:color w:val="auto"/>
                <w:sz w:val="22"/>
                <w:szCs w:val="22"/>
                <w:u w:val="none"/>
              </w:rPr>
            </w:pPr>
          </w:p>
        </w:tc>
      </w:tr>
      <w:tr w14:paraId="42A4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2771AC2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1EBFEB2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B69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single" w:color="000000" w:sz="4" w:space="0"/>
              <w:right w:val="single" w:color="000000" w:sz="4" w:space="0"/>
            </w:tcBorders>
            <w:noWrap/>
            <w:vAlign w:val="center"/>
          </w:tcPr>
          <w:p w14:paraId="1830D98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72F65C36">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67C45E7D">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6668F86A">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6BEA6EC5">
            <w:pPr>
              <w:rPr>
                <w:rFonts w:hint="eastAsia" w:ascii="宋体" w:hAnsi="宋体" w:eastAsia="宋体" w:cs="宋体"/>
                <w:i w:val="0"/>
                <w:iCs w:val="0"/>
                <w:color w:val="auto"/>
                <w:sz w:val="22"/>
                <w:szCs w:val="22"/>
                <w:u w:val="none"/>
              </w:rPr>
            </w:pPr>
          </w:p>
        </w:tc>
      </w:tr>
      <w:tr w14:paraId="4C69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2EE44C3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w:t>
            </w:r>
          </w:p>
        </w:tc>
        <w:tc>
          <w:tcPr>
            <w:tcW w:w="2454" w:type="dxa"/>
            <w:tcBorders>
              <w:top w:val="single" w:color="000000" w:sz="4" w:space="0"/>
              <w:left w:val="nil"/>
              <w:bottom w:val="single" w:color="000000" w:sz="4" w:space="0"/>
              <w:right w:val="single" w:color="000000" w:sz="4" w:space="0"/>
            </w:tcBorders>
            <w:noWrap w:val="0"/>
            <w:vAlign w:val="center"/>
          </w:tcPr>
          <w:p w14:paraId="0E239A8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变压器高、低压绕组（铜材）拆装、更换</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0050F64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铜材</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183F7E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6FC8E6F6">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25E17E7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7933C8A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5AC6A6C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1E9C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53" w:type="dxa"/>
            <w:tcBorders>
              <w:top w:val="single" w:color="000000" w:sz="4" w:space="0"/>
              <w:left w:val="single" w:color="000000" w:sz="4" w:space="0"/>
              <w:right w:val="single" w:color="000000" w:sz="4" w:space="0"/>
            </w:tcBorders>
            <w:noWrap/>
            <w:vAlign w:val="center"/>
          </w:tcPr>
          <w:p w14:paraId="20B415E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5</w:t>
            </w:r>
          </w:p>
        </w:tc>
        <w:tc>
          <w:tcPr>
            <w:tcW w:w="2454" w:type="dxa"/>
            <w:tcBorders>
              <w:top w:val="single" w:color="000000" w:sz="4" w:space="0"/>
              <w:left w:val="nil"/>
              <w:right w:val="single" w:color="000000" w:sz="4" w:space="0"/>
            </w:tcBorders>
            <w:noWrap w:val="0"/>
            <w:vAlign w:val="center"/>
          </w:tcPr>
          <w:p w14:paraId="0C0333B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变压器瓦斯继电器拆装、更换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8BC48">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35KV（实际瓦斯继电器型号）</w:t>
            </w:r>
          </w:p>
        </w:tc>
        <w:tc>
          <w:tcPr>
            <w:tcW w:w="698" w:type="dxa"/>
            <w:tcBorders>
              <w:top w:val="single" w:color="000000" w:sz="4" w:space="0"/>
              <w:left w:val="single" w:color="000000" w:sz="4" w:space="0"/>
              <w:right w:val="single" w:color="000000" w:sz="4" w:space="0"/>
            </w:tcBorders>
            <w:noWrap/>
            <w:vAlign w:val="center"/>
          </w:tcPr>
          <w:p w14:paraId="2E66DB8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tcBorders>
              <w:top w:val="single" w:color="000000" w:sz="4" w:space="0"/>
              <w:left w:val="single" w:color="000000" w:sz="4" w:space="0"/>
              <w:right w:val="single" w:color="000000" w:sz="4" w:space="0"/>
            </w:tcBorders>
            <w:noWrap/>
            <w:vAlign w:val="center"/>
          </w:tcPr>
          <w:p w14:paraId="5003A52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278B2D1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DBB972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531A589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350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53" w:type="dxa"/>
            <w:tcBorders>
              <w:top w:val="single" w:color="000000" w:sz="4" w:space="0"/>
              <w:left w:val="single" w:color="000000" w:sz="4" w:space="0"/>
              <w:right w:val="single" w:color="000000" w:sz="4" w:space="0"/>
            </w:tcBorders>
            <w:noWrap/>
            <w:vAlign w:val="center"/>
          </w:tcPr>
          <w:p w14:paraId="1AB8D282">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6</w:t>
            </w:r>
          </w:p>
        </w:tc>
        <w:tc>
          <w:tcPr>
            <w:tcW w:w="2454" w:type="dxa"/>
            <w:tcBorders>
              <w:top w:val="single" w:color="000000" w:sz="4" w:space="0"/>
              <w:left w:val="nil"/>
              <w:right w:val="single" w:color="000000" w:sz="4" w:space="0"/>
            </w:tcBorders>
            <w:noWrap w:val="0"/>
            <w:vAlign w:val="center"/>
          </w:tcPr>
          <w:p w14:paraId="1763148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变压器压力表拆装、更换</w:t>
            </w:r>
          </w:p>
        </w:tc>
        <w:tc>
          <w:tcPr>
            <w:tcW w:w="1932" w:type="dxa"/>
            <w:tcBorders>
              <w:top w:val="single" w:color="000000" w:sz="4" w:space="0"/>
              <w:left w:val="single" w:color="000000" w:sz="4" w:space="0"/>
              <w:right w:val="single" w:color="000000" w:sz="4" w:space="0"/>
            </w:tcBorders>
            <w:shd w:val="clear" w:color="auto" w:fill="auto"/>
            <w:noWrap w:val="0"/>
            <w:vAlign w:val="center"/>
          </w:tcPr>
          <w:p w14:paraId="3081B7E7">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35KV（实际压力表型号）</w:t>
            </w:r>
          </w:p>
        </w:tc>
        <w:tc>
          <w:tcPr>
            <w:tcW w:w="698" w:type="dxa"/>
            <w:tcBorders>
              <w:top w:val="single" w:color="000000" w:sz="4" w:space="0"/>
              <w:left w:val="single" w:color="000000" w:sz="4" w:space="0"/>
              <w:right w:val="single" w:color="000000" w:sz="4" w:space="0"/>
            </w:tcBorders>
            <w:noWrap/>
            <w:vAlign w:val="center"/>
          </w:tcPr>
          <w:p w14:paraId="6DA3C6D6">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tcBorders>
              <w:top w:val="single" w:color="000000" w:sz="4" w:space="0"/>
              <w:left w:val="single" w:color="000000" w:sz="4" w:space="0"/>
              <w:right w:val="single" w:color="000000" w:sz="4" w:space="0"/>
            </w:tcBorders>
            <w:noWrap/>
            <w:vAlign w:val="center"/>
          </w:tcPr>
          <w:p w14:paraId="0870E5E1">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5A850F2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21771B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C696C7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D80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53" w:type="dxa"/>
            <w:tcBorders>
              <w:top w:val="single" w:color="000000" w:sz="4" w:space="0"/>
              <w:left w:val="single" w:color="000000" w:sz="4" w:space="0"/>
              <w:right w:val="single" w:color="000000" w:sz="4" w:space="0"/>
            </w:tcBorders>
            <w:noWrap/>
            <w:vAlign w:val="center"/>
          </w:tcPr>
          <w:p w14:paraId="3589503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7</w:t>
            </w:r>
          </w:p>
        </w:tc>
        <w:tc>
          <w:tcPr>
            <w:tcW w:w="2454" w:type="dxa"/>
            <w:tcBorders>
              <w:top w:val="single" w:color="000000" w:sz="4" w:space="0"/>
              <w:left w:val="nil"/>
              <w:right w:val="single" w:color="000000" w:sz="4" w:space="0"/>
            </w:tcBorders>
            <w:noWrap w:val="0"/>
            <w:vAlign w:val="center"/>
          </w:tcPr>
          <w:p w14:paraId="02881BB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变压器温度表拆装、更换</w:t>
            </w:r>
          </w:p>
        </w:tc>
        <w:tc>
          <w:tcPr>
            <w:tcW w:w="1932" w:type="dxa"/>
            <w:tcBorders>
              <w:top w:val="single" w:color="000000" w:sz="4" w:space="0"/>
              <w:left w:val="single" w:color="000000" w:sz="4" w:space="0"/>
              <w:right w:val="single" w:color="000000" w:sz="4" w:space="0"/>
            </w:tcBorders>
            <w:shd w:val="clear" w:color="auto" w:fill="auto"/>
            <w:noWrap/>
            <w:vAlign w:val="center"/>
          </w:tcPr>
          <w:p w14:paraId="6FDF1EE8">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35KV（实际压力表型号）</w:t>
            </w:r>
          </w:p>
        </w:tc>
        <w:tc>
          <w:tcPr>
            <w:tcW w:w="698" w:type="dxa"/>
            <w:tcBorders>
              <w:top w:val="single" w:color="000000" w:sz="4" w:space="0"/>
              <w:left w:val="single" w:color="000000" w:sz="4" w:space="0"/>
              <w:right w:val="single" w:color="000000" w:sz="4" w:space="0"/>
            </w:tcBorders>
            <w:noWrap/>
            <w:vAlign w:val="center"/>
          </w:tcPr>
          <w:p w14:paraId="274F04CB">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tcBorders>
              <w:top w:val="single" w:color="000000" w:sz="4" w:space="0"/>
              <w:left w:val="single" w:color="000000" w:sz="4" w:space="0"/>
              <w:right w:val="single" w:color="000000" w:sz="4" w:space="0"/>
            </w:tcBorders>
            <w:noWrap/>
            <w:vAlign w:val="center"/>
          </w:tcPr>
          <w:p w14:paraId="02E1F3E5">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41BD69D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2B87086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070DEF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DEA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15E410D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8</w:t>
            </w:r>
          </w:p>
        </w:tc>
        <w:tc>
          <w:tcPr>
            <w:tcW w:w="2454" w:type="dxa"/>
            <w:vMerge w:val="restart"/>
            <w:tcBorders>
              <w:top w:val="single" w:color="000000" w:sz="4" w:space="0"/>
              <w:left w:val="nil"/>
              <w:right w:val="single" w:color="000000" w:sz="4" w:space="0"/>
            </w:tcBorders>
            <w:noWrap w:val="0"/>
            <w:vAlign w:val="center"/>
          </w:tcPr>
          <w:p w14:paraId="4F7FB08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组合式箱变无载分接开关及操动机构更换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A0A7B8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35KV（容量：1000kVA，实际原有分接开关型号）</w:t>
            </w:r>
          </w:p>
        </w:tc>
        <w:tc>
          <w:tcPr>
            <w:tcW w:w="698" w:type="dxa"/>
            <w:vMerge w:val="restart"/>
            <w:tcBorders>
              <w:top w:val="single" w:color="000000" w:sz="4" w:space="0"/>
              <w:left w:val="single" w:color="000000" w:sz="4" w:space="0"/>
              <w:right w:val="single" w:color="000000" w:sz="4" w:space="0"/>
            </w:tcBorders>
            <w:noWrap/>
            <w:vAlign w:val="center"/>
          </w:tcPr>
          <w:p w14:paraId="5B73A8B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323BB43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7CEDA2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0DF29E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455368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EC3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02366C9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04BFCF3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B70AF5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35KV（容量：1250kVA，实际原有分接开关型号）</w:t>
            </w:r>
          </w:p>
        </w:tc>
        <w:tc>
          <w:tcPr>
            <w:tcW w:w="698" w:type="dxa"/>
            <w:vMerge w:val="continue"/>
            <w:tcBorders>
              <w:left w:val="single" w:color="000000" w:sz="4" w:space="0"/>
              <w:right w:val="single" w:color="000000" w:sz="4" w:space="0"/>
            </w:tcBorders>
            <w:noWrap/>
            <w:vAlign w:val="center"/>
          </w:tcPr>
          <w:p w14:paraId="62243AA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6DE4A1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0430FC5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6FBA44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9EBF4D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708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59FA6FF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07D2F95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58CDBE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35KV（容量：1600kVA，实际原有分接开关型号）</w:t>
            </w:r>
          </w:p>
        </w:tc>
        <w:tc>
          <w:tcPr>
            <w:tcW w:w="698" w:type="dxa"/>
            <w:vMerge w:val="continue"/>
            <w:tcBorders>
              <w:left w:val="single" w:color="000000" w:sz="4" w:space="0"/>
              <w:bottom w:val="single" w:color="000000" w:sz="4" w:space="0"/>
              <w:right w:val="single" w:color="000000" w:sz="4" w:space="0"/>
            </w:tcBorders>
            <w:noWrap/>
            <w:vAlign w:val="center"/>
          </w:tcPr>
          <w:p w14:paraId="5A29BD5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1D6A65F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64E073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EA7B8E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BCFBA5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9A7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6A80BD94">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9</w:t>
            </w:r>
          </w:p>
        </w:tc>
        <w:tc>
          <w:tcPr>
            <w:tcW w:w="2454" w:type="dxa"/>
            <w:vMerge w:val="restart"/>
            <w:tcBorders>
              <w:top w:val="single" w:color="000000" w:sz="4" w:space="0"/>
              <w:left w:val="nil"/>
              <w:right w:val="single" w:color="000000" w:sz="4" w:space="0"/>
            </w:tcBorders>
            <w:noWrap w:val="0"/>
            <w:vAlign w:val="center"/>
          </w:tcPr>
          <w:p w14:paraId="190324D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组合式箱变高压负荷开关拆装、更换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93FB8B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35KV（容量：1000kVA，实际原有高压负荷开关型号）</w:t>
            </w:r>
          </w:p>
        </w:tc>
        <w:tc>
          <w:tcPr>
            <w:tcW w:w="698" w:type="dxa"/>
            <w:vMerge w:val="restart"/>
            <w:tcBorders>
              <w:top w:val="single" w:color="000000" w:sz="4" w:space="0"/>
              <w:left w:val="single" w:color="000000" w:sz="4" w:space="0"/>
              <w:right w:val="single" w:color="000000" w:sz="4" w:space="0"/>
            </w:tcBorders>
            <w:noWrap/>
            <w:vAlign w:val="center"/>
          </w:tcPr>
          <w:p w14:paraId="0B8A1BE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7C65C815">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C2F74F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AB461C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9E869C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DBE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025C97C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456F169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F82408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35KV（容量：1250kVA，实际原有高压负荷开关型号）</w:t>
            </w:r>
          </w:p>
        </w:tc>
        <w:tc>
          <w:tcPr>
            <w:tcW w:w="698" w:type="dxa"/>
            <w:vMerge w:val="continue"/>
            <w:tcBorders>
              <w:left w:val="single" w:color="000000" w:sz="4" w:space="0"/>
              <w:right w:val="single" w:color="000000" w:sz="4" w:space="0"/>
            </w:tcBorders>
            <w:noWrap/>
            <w:vAlign w:val="center"/>
          </w:tcPr>
          <w:p w14:paraId="3B2385B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54F4883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3411C55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5D54A0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477A76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FD0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0BF4A13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457275E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163B069">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35KV（容量：1600kVA，实际原有高压负荷开关型号）</w:t>
            </w:r>
          </w:p>
        </w:tc>
        <w:tc>
          <w:tcPr>
            <w:tcW w:w="698" w:type="dxa"/>
            <w:vMerge w:val="continue"/>
            <w:tcBorders>
              <w:left w:val="single" w:color="000000" w:sz="4" w:space="0"/>
              <w:bottom w:val="single" w:color="000000" w:sz="4" w:space="0"/>
              <w:right w:val="single" w:color="000000" w:sz="4" w:space="0"/>
            </w:tcBorders>
            <w:noWrap/>
            <w:vAlign w:val="center"/>
          </w:tcPr>
          <w:p w14:paraId="2DE5767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02F6F2E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73504B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697D412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CAC1BB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409B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78D41C8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10</w:t>
            </w:r>
          </w:p>
        </w:tc>
        <w:tc>
          <w:tcPr>
            <w:tcW w:w="2454" w:type="dxa"/>
            <w:vMerge w:val="restart"/>
            <w:tcBorders>
              <w:top w:val="single" w:color="000000" w:sz="4" w:space="0"/>
              <w:left w:val="nil"/>
              <w:right w:val="single" w:color="000000" w:sz="4" w:space="0"/>
            </w:tcBorders>
            <w:noWrap w:val="0"/>
            <w:vAlign w:val="center"/>
          </w:tcPr>
          <w:p w14:paraId="47D6206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组合式箱变高压熔断器拆装、更换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2BD196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w:t>
            </w:r>
            <w:r>
              <w:rPr>
                <w:rFonts w:hint="eastAsia" w:ascii="Times New Roman" w:hAnsi="Times New Roman" w:eastAsia="楷体" w:cs="Times New Roman"/>
                <w:color w:val="auto"/>
                <w:sz w:val="24"/>
                <w:szCs w:val="24"/>
                <w:highlight w:val="none"/>
                <w:lang w:val="en-US" w:eastAsia="zh-CN"/>
              </w:rPr>
              <w:t>高压熔断器</w:t>
            </w:r>
            <w:r>
              <w:rPr>
                <w:rFonts w:hint="eastAsia" w:ascii="楷体" w:hAnsi="楷体" w:eastAsia="楷体" w:cs="楷体"/>
                <w:i w:val="0"/>
                <w:iCs w:val="0"/>
                <w:color w:val="auto"/>
                <w:kern w:val="0"/>
                <w:sz w:val="21"/>
                <w:szCs w:val="21"/>
                <w:u w:val="none"/>
                <w:lang w:val="en-US" w:eastAsia="zh-CN" w:bidi="ar"/>
              </w:rPr>
              <w:t>型号）</w:t>
            </w:r>
          </w:p>
        </w:tc>
        <w:tc>
          <w:tcPr>
            <w:tcW w:w="698" w:type="dxa"/>
            <w:vMerge w:val="restart"/>
            <w:tcBorders>
              <w:top w:val="single" w:color="000000" w:sz="4" w:space="0"/>
              <w:left w:val="single" w:color="000000" w:sz="4" w:space="0"/>
              <w:right w:val="single" w:color="000000" w:sz="4" w:space="0"/>
            </w:tcBorders>
            <w:noWrap/>
            <w:vAlign w:val="center"/>
          </w:tcPr>
          <w:p w14:paraId="1EAD24B2">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相</w:t>
            </w:r>
          </w:p>
        </w:tc>
        <w:tc>
          <w:tcPr>
            <w:tcW w:w="610" w:type="dxa"/>
            <w:vMerge w:val="restart"/>
            <w:tcBorders>
              <w:top w:val="single" w:color="000000" w:sz="4" w:space="0"/>
              <w:left w:val="single" w:color="000000" w:sz="4" w:space="0"/>
              <w:right w:val="single" w:color="000000" w:sz="4" w:space="0"/>
            </w:tcBorders>
            <w:noWrap/>
            <w:vAlign w:val="center"/>
          </w:tcPr>
          <w:p w14:paraId="0CA0E761">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69A382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324646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69F00D2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D00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45A3D69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4A8DD76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ADBE86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w:t>
            </w:r>
            <w:r>
              <w:rPr>
                <w:rFonts w:hint="eastAsia" w:ascii="Times New Roman" w:hAnsi="Times New Roman" w:eastAsia="楷体" w:cs="Times New Roman"/>
                <w:color w:val="auto"/>
                <w:sz w:val="24"/>
                <w:szCs w:val="24"/>
                <w:highlight w:val="none"/>
                <w:lang w:val="en-US" w:eastAsia="zh-CN"/>
              </w:rPr>
              <w:t>高压熔断器</w:t>
            </w:r>
            <w:r>
              <w:rPr>
                <w:rFonts w:hint="eastAsia" w:ascii="楷体" w:hAnsi="楷体" w:eastAsia="楷体" w:cs="楷体"/>
                <w:i w:val="0"/>
                <w:iCs w:val="0"/>
                <w:color w:val="auto"/>
                <w:kern w:val="0"/>
                <w:sz w:val="21"/>
                <w:szCs w:val="21"/>
                <w:u w:val="none"/>
                <w:lang w:val="en-US" w:eastAsia="zh-CN" w:bidi="ar"/>
              </w:rPr>
              <w:t>型号）</w:t>
            </w:r>
          </w:p>
        </w:tc>
        <w:tc>
          <w:tcPr>
            <w:tcW w:w="698" w:type="dxa"/>
            <w:vMerge w:val="continue"/>
            <w:tcBorders>
              <w:left w:val="single" w:color="000000" w:sz="4" w:space="0"/>
              <w:right w:val="single" w:color="000000" w:sz="4" w:space="0"/>
            </w:tcBorders>
            <w:noWrap/>
            <w:vAlign w:val="center"/>
          </w:tcPr>
          <w:p w14:paraId="2B55060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B2B990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1B46B8B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5894BD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074ED4F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58B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1F42057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61BB09A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3476C2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w:t>
            </w:r>
            <w:r>
              <w:rPr>
                <w:rFonts w:hint="eastAsia" w:ascii="Times New Roman" w:hAnsi="Times New Roman" w:eastAsia="楷体" w:cs="Times New Roman"/>
                <w:color w:val="auto"/>
                <w:sz w:val="24"/>
                <w:szCs w:val="24"/>
                <w:highlight w:val="none"/>
                <w:lang w:val="en-US" w:eastAsia="zh-CN"/>
              </w:rPr>
              <w:t>高压熔断器</w:t>
            </w:r>
            <w:r>
              <w:rPr>
                <w:rFonts w:hint="eastAsia" w:ascii="楷体" w:hAnsi="楷体" w:eastAsia="楷体" w:cs="楷体"/>
                <w:i w:val="0"/>
                <w:iCs w:val="0"/>
                <w:color w:val="auto"/>
                <w:kern w:val="0"/>
                <w:sz w:val="21"/>
                <w:szCs w:val="21"/>
                <w:u w:val="none"/>
                <w:lang w:val="en-US" w:eastAsia="zh-CN" w:bidi="ar"/>
              </w:rPr>
              <w:t>型号）</w:t>
            </w:r>
          </w:p>
        </w:tc>
        <w:tc>
          <w:tcPr>
            <w:tcW w:w="698" w:type="dxa"/>
            <w:vMerge w:val="continue"/>
            <w:tcBorders>
              <w:left w:val="single" w:color="000000" w:sz="4" w:space="0"/>
              <w:bottom w:val="single" w:color="000000" w:sz="4" w:space="0"/>
              <w:right w:val="single" w:color="000000" w:sz="4" w:space="0"/>
            </w:tcBorders>
            <w:noWrap/>
            <w:vAlign w:val="center"/>
          </w:tcPr>
          <w:p w14:paraId="1F9C807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7C3BDCF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1F31F5C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77E77C7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7BDF8EF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020B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0DA513D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11</w:t>
            </w:r>
          </w:p>
        </w:tc>
        <w:tc>
          <w:tcPr>
            <w:tcW w:w="2454" w:type="dxa"/>
            <w:tcBorders>
              <w:top w:val="single" w:color="000000" w:sz="4" w:space="0"/>
              <w:left w:val="nil"/>
              <w:bottom w:val="single" w:color="000000" w:sz="4" w:space="0"/>
              <w:right w:val="single" w:color="000000" w:sz="4" w:space="0"/>
            </w:tcBorders>
            <w:noWrap w:val="0"/>
            <w:vAlign w:val="center"/>
          </w:tcPr>
          <w:p w14:paraId="31D2BBE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箱沿密封胶条</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FABCFB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2CA36A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57A75F1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2B5B9B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91952C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323D398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C27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7F7980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12</w:t>
            </w:r>
          </w:p>
        </w:tc>
        <w:tc>
          <w:tcPr>
            <w:tcW w:w="2454" w:type="dxa"/>
            <w:tcBorders>
              <w:top w:val="single" w:color="000000" w:sz="4" w:space="0"/>
              <w:left w:val="nil"/>
              <w:bottom w:val="single" w:color="000000" w:sz="4" w:space="0"/>
              <w:right w:val="single" w:color="000000" w:sz="4" w:space="0"/>
            </w:tcBorders>
            <w:noWrap w:val="0"/>
            <w:vAlign w:val="center"/>
          </w:tcPr>
          <w:p w14:paraId="0EE8684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变压器注油（25#油）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471FAA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2771DBC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2CCCB00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FE1B2F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63C55D5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1E498DB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022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0F8EC6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13</w:t>
            </w:r>
          </w:p>
        </w:tc>
        <w:tc>
          <w:tcPr>
            <w:tcW w:w="2454" w:type="dxa"/>
            <w:tcBorders>
              <w:top w:val="single" w:color="000000" w:sz="4" w:space="0"/>
              <w:left w:val="nil"/>
              <w:bottom w:val="single" w:color="000000" w:sz="4" w:space="0"/>
              <w:right w:val="single" w:color="000000" w:sz="4" w:space="0"/>
            </w:tcBorders>
            <w:noWrap w:val="0"/>
            <w:vAlign w:val="center"/>
          </w:tcPr>
          <w:p w14:paraId="4FBAB96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变压器注油（45#油）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273866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B291C1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20379E6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CF1AFA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FB4ABA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0DEB1FC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B20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2832318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14</w:t>
            </w:r>
          </w:p>
        </w:tc>
        <w:tc>
          <w:tcPr>
            <w:tcW w:w="2454" w:type="dxa"/>
            <w:tcBorders>
              <w:top w:val="single" w:color="000000" w:sz="4" w:space="0"/>
              <w:left w:val="nil"/>
              <w:bottom w:val="single" w:color="000000" w:sz="4" w:space="0"/>
              <w:right w:val="single" w:color="000000" w:sz="4" w:space="0"/>
            </w:tcBorders>
            <w:noWrap w:val="0"/>
            <w:vAlign w:val="center"/>
          </w:tcPr>
          <w:p w14:paraId="1D3ACD8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变压器滤油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9FCBD1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25#、45#克拉玛依变压器绝缘油（按照每KG报价）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892840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5A03A06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0164444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2B6E5F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6289670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4C44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40D6CBC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15</w:t>
            </w:r>
          </w:p>
        </w:tc>
        <w:tc>
          <w:tcPr>
            <w:tcW w:w="2454" w:type="dxa"/>
            <w:tcBorders>
              <w:top w:val="single" w:color="000000" w:sz="4" w:space="0"/>
              <w:left w:val="nil"/>
              <w:bottom w:val="single" w:color="000000" w:sz="4" w:space="0"/>
              <w:right w:val="single" w:color="000000" w:sz="4" w:space="0"/>
            </w:tcBorders>
            <w:noWrap w:val="0"/>
            <w:vAlign w:val="center"/>
          </w:tcPr>
          <w:p w14:paraId="632F21F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变压器器身内壁有效处理</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CDC1B0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35KV</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B480A8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次</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1E5EB60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0C2D5E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20813F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right w:val="single" w:color="000000" w:sz="4" w:space="0"/>
            </w:tcBorders>
            <w:noWrap/>
            <w:vAlign w:val="center"/>
          </w:tcPr>
          <w:p w14:paraId="3A7FBCC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036A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D2AC5A5">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16</w:t>
            </w:r>
          </w:p>
        </w:tc>
        <w:tc>
          <w:tcPr>
            <w:tcW w:w="2454" w:type="dxa"/>
            <w:tcBorders>
              <w:top w:val="single" w:color="000000" w:sz="4" w:space="0"/>
              <w:left w:val="nil"/>
              <w:bottom w:val="single" w:color="000000" w:sz="4" w:space="0"/>
              <w:right w:val="single" w:color="000000" w:sz="4" w:space="0"/>
            </w:tcBorders>
            <w:noWrap w:val="0"/>
            <w:vAlign w:val="center"/>
          </w:tcPr>
          <w:p w14:paraId="693FDCC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变压器维修后试验费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22C21AC">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箱变高压侧交流绝缘耐压、绝缘介损、变比、直阻、绝缘、油耐压、色谱、微水等，提供有效试验报告</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09D6194">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套</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16ED19D4">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8ACEE5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29F755E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right w:val="single" w:color="000000" w:sz="4" w:space="0"/>
            </w:tcBorders>
            <w:noWrap/>
            <w:vAlign w:val="center"/>
          </w:tcPr>
          <w:p w14:paraId="7ADF814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0E5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0761F6D">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17</w:t>
            </w:r>
          </w:p>
        </w:tc>
        <w:tc>
          <w:tcPr>
            <w:tcW w:w="2454" w:type="dxa"/>
            <w:tcBorders>
              <w:top w:val="single" w:color="000000" w:sz="4" w:space="0"/>
              <w:left w:val="nil"/>
              <w:bottom w:val="single" w:color="000000" w:sz="4" w:space="0"/>
              <w:right w:val="single" w:color="000000" w:sz="4" w:space="0"/>
            </w:tcBorders>
            <w:noWrap w:val="0"/>
            <w:vAlign w:val="center"/>
          </w:tcPr>
          <w:p w14:paraId="355C33A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变压器附件密封胶垫检查、处理</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2EC677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5E35BD0">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次</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701F699B">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F8C0FE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7DEC2D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bottom w:val="single" w:color="000000" w:sz="4" w:space="0"/>
              <w:right w:val="single" w:color="000000" w:sz="4" w:space="0"/>
            </w:tcBorders>
            <w:noWrap/>
            <w:vAlign w:val="center"/>
          </w:tcPr>
          <w:p w14:paraId="20C287C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00C7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0499" w:type="dxa"/>
            <w:gridSpan w:val="8"/>
            <w:tcBorders>
              <w:top w:val="single" w:color="000000" w:sz="4" w:space="0"/>
              <w:left w:val="single" w:color="000000" w:sz="4" w:space="0"/>
              <w:bottom w:val="single" w:color="000000" w:sz="4" w:space="0"/>
              <w:right w:val="single" w:color="000000" w:sz="4" w:space="0"/>
            </w:tcBorders>
            <w:noWrap/>
            <w:vAlign w:val="center"/>
          </w:tcPr>
          <w:p w14:paraId="21CB8D4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yellow"/>
                <w:lang w:val="en-US" w:eastAsia="zh-CN"/>
              </w:rPr>
            </w:pPr>
            <w:r>
              <w:rPr>
                <w:rFonts w:hint="eastAsia" w:ascii="宋体" w:hAnsi="宋体" w:eastAsia="宋体" w:cs="宋体"/>
                <w:b/>
                <w:bCs/>
                <w:color w:val="auto"/>
                <w:kern w:val="0"/>
                <w:sz w:val="24"/>
                <w:szCs w:val="24"/>
                <w:highlight w:val="none"/>
                <w:lang w:val="en-US" w:eastAsia="zh-CN" w:bidi="ar"/>
              </w:rPr>
              <w:t>检修、维修单价（不包含维修件回收）</w:t>
            </w:r>
            <w:r>
              <w:rPr>
                <w:rFonts w:hint="eastAsia" w:ascii="Times New Roman" w:hAnsi="Times New Roman" w:eastAsia="楷体" w:cs="Times New Roman"/>
                <w:b/>
                <w:bCs/>
                <w:color w:val="auto"/>
                <w:sz w:val="24"/>
                <w:szCs w:val="24"/>
                <w:highlight w:val="none"/>
                <w:lang w:val="en-US" w:eastAsia="zh-CN"/>
              </w:rPr>
              <w:t>合计（元）：        元； 大写：</w:t>
            </w:r>
          </w:p>
        </w:tc>
      </w:tr>
    </w:tbl>
    <w:p w14:paraId="45855CAC">
      <w:pPr>
        <w:pStyle w:val="2"/>
        <w:spacing w:before="0" w:after="0" w:line="240" w:lineRule="auto"/>
        <w:rPr>
          <w:color w:val="0000FF"/>
        </w:rPr>
      </w:pPr>
    </w:p>
    <w:p w14:paraId="05692F04">
      <w:pPr>
        <w:numPr>
          <w:ilvl w:val="0"/>
          <w:numId w:val="19"/>
        </w:numPr>
        <w:spacing w:line="400" w:lineRule="exact"/>
        <w:ind w:firstLine="422" w:firstLineChars="200"/>
        <w:rPr>
          <w:rFonts w:hint="eastAsia" w:ascii="楷体" w:hAnsi="楷体" w:eastAsia="楷体"/>
          <w:b/>
          <w:bCs/>
          <w:color w:val="auto"/>
          <w:sz w:val="21"/>
          <w:szCs w:val="21"/>
          <w:highlight w:val="none"/>
        </w:rPr>
      </w:pPr>
      <w:r>
        <w:rPr>
          <w:rFonts w:hint="eastAsia" w:ascii="楷体" w:hAnsi="楷体" w:eastAsia="楷体"/>
          <w:b/>
          <w:bCs/>
          <w:color w:val="auto"/>
          <w:sz w:val="21"/>
          <w:szCs w:val="21"/>
          <w:highlight w:val="none"/>
        </w:rPr>
        <w:t>付款要求：</w:t>
      </w:r>
      <w:r>
        <w:rPr>
          <w:rFonts w:hint="eastAsia" w:ascii="楷体" w:hAnsi="楷体" w:eastAsia="楷体"/>
          <w:b/>
          <w:bCs/>
          <w:color w:val="auto"/>
          <w:sz w:val="21"/>
          <w:szCs w:val="21"/>
          <w:highlight w:val="none"/>
          <w:lang w:val="en-US" w:eastAsia="zh-CN"/>
        </w:rPr>
        <w:t>合同签订后，单次服务订单完成</w:t>
      </w:r>
      <w:r>
        <w:rPr>
          <w:rFonts w:hint="eastAsia" w:ascii="楷体" w:hAnsi="楷体" w:eastAsia="楷体"/>
          <w:b/>
          <w:bCs/>
          <w:color w:val="auto"/>
          <w:sz w:val="21"/>
          <w:szCs w:val="21"/>
          <w:highlight w:val="none"/>
        </w:rPr>
        <w:t>验收合格</w:t>
      </w:r>
      <w:r>
        <w:rPr>
          <w:rFonts w:hint="eastAsia" w:ascii="楷体" w:hAnsi="楷体" w:eastAsia="楷体"/>
          <w:b/>
          <w:bCs/>
          <w:color w:val="auto"/>
          <w:sz w:val="21"/>
          <w:szCs w:val="21"/>
          <w:highlight w:val="none"/>
          <w:lang w:val="en-US" w:eastAsia="zh-CN"/>
        </w:rPr>
        <w:t>且提供全额订单增值税专用发票</w:t>
      </w:r>
      <w:r>
        <w:rPr>
          <w:rFonts w:hint="eastAsia" w:ascii="楷体" w:hAnsi="楷体" w:eastAsia="楷体"/>
          <w:b/>
          <w:bCs/>
          <w:color w:val="auto"/>
          <w:sz w:val="21"/>
          <w:szCs w:val="21"/>
          <w:highlight w:val="none"/>
        </w:rPr>
        <w:t>后，支付</w:t>
      </w:r>
      <w:r>
        <w:rPr>
          <w:rFonts w:hint="eastAsia" w:ascii="楷体" w:hAnsi="楷体" w:eastAsia="楷体"/>
          <w:b/>
          <w:bCs/>
          <w:color w:val="auto"/>
          <w:sz w:val="21"/>
          <w:szCs w:val="21"/>
          <w:highlight w:val="none"/>
          <w:lang w:val="en-US" w:eastAsia="zh-CN"/>
        </w:rPr>
        <w:t>订单</w:t>
      </w:r>
      <w:r>
        <w:rPr>
          <w:rFonts w:hint="eastAsia" w:ascii="楷体" w:hAnsi="楷体" w:eastAsia="楷体"/>
          <w:b/>
          <w:bCs/>
          <w:color w:val="auto"/>
          <w:sz w:val="21"/>
          <w:szCs w:val="21"/>
          <w:highlight w:val="none"/>
        </w:rPr>
        <w:t>总额的95%，预留5%质保金</w:t>
      </w:r>
      <w:r>
        <w:rPr>
          <w:rFonts w:hint="eastAsia" w:ascii="楷体" w:hAnsi="楷体" w:eastAsia="楷体"/>
          <w:b/>
          <w:bCs/>
          <w:color w:val="auto"/>
          <w:sz w:val="21"/>
          <w:szCs w:val="21"/>
          <w:highlight w:val="none"/>
          <w:lang w:eastAsia="zh-CN"/>
        </w:rPr>
        <w:t>，</w:t>
      </w:r>
      <w:r>
        <w:rPr>
          <w:rFonts w:hint="eastAsia" w:ascii="楷体" w:hAnsi="楷体" w:eastAsia="楷体"/>
          <w:b/>
          <w:bCs/>
          <w:color w:val="auto"/>
          <w:sz w:val="21"/>
          <w:szCs w:val="21"/>
          <w:highlight w:val="none"/>
        </w:rPr>
        <w:t>质保一年。</w:t>
      </w:r>
    </w:p>
    <w:p w14:paraId="22E21E4E">
      <w:pPr>
        <w:numPr>
          <w:ilvl w:val="0"/>
          <w:numId w:val="19"/>
        </w:numPr>
        <w:spacing w:line="400" w:lineRule="exact"/>
        <w:ind w:firstLine="422" w:firstLineChars="200"/>
        <w:rPr>
          <w:rFonts w:hint="eastAsia" w:ascii="楷体" w:hAnsi="楷体" w:eastAsia="楷体"/>
          <w:b/>
          <w:bCs/>
          <w:color w:val="auto"/>
          <w:sz w:val="21"/>
          <w:szCs w:val="21"/>
        </w:rPr>
      </w:pPr>
      <w:r>
        <w:rPr>
          <w:rFonts w:hint="eastAsia" w:ascii="楷体" w:hAnsi="楷体" w:eastAsia="楷体"/>
          <w:b/>
          <w:bCs/>
          <w:color w:val="auto"/>
          <w:sz w:val="21"/>
          <w:szCs w:val="21"/>
        </w:rPr>
        <w:t>发票要求：税率</w:t>
      </w:r>
      <w:r>
        <w:rPr>
          <w:rFonts w:hint="eastAsia" w:ascii="楷体" w:hAnsi="楷体" w:eastAsia="楷体"/>
          <w:b/>
          <w:bCs/>
          <w:color w:val="auto"/>
          <w:sz w:val="21"/>
          <w:szCs w:val="21"/>
          <w:lang w:val="en-US" w:eastAsia="zh-CN"/>
        </w:rPr>
        <w:t>13</w:t>
      </w:r>
      <w:r>
        <w:rPr>
          <w:rFonts w:hint="eastAsia" w:ascii="楷体" w:hAnsi="楷体" w:eastAsia="楷体"/>
          <w:b/>
          <w:bCs/>
          <w:color w:val="auto"/>
          <w:sz w:val="21"/>
          <w:szCs w:val="21"/>
        </w:rPr>
        <w:t>%的增值税专用发票</w:t>
      </w:r>
    </w:p>
    <w:p w14:paraId="5BC40CF0">
      <w:pPr>
        <w:numPr>
          <w:ilvl w:val="0"/>
          <w:numId w:val="19"/>
        </w:numPr>
        <w:spacing w:line="400" w:lineRule="exact"/>
        <w:ind w:firstLine="422" w:firstLineChars="200"/>
        <w:rPr>
          <w:rFonts w:hint="eastAsia" w:ascii="楷体" w:hAnsi="楷体" w:eastAsia="楷体"/>
          <w:b/>
          <w:bCs/>
          <w:color w:val="auto"/>
          <w:sz w:val="21"/>
          <w:szCs w:val="21"/>
        </w:rPr>
      </w:pPr>
      <w:r>
        <w:rPr>
          <w:rFonts w:hint="eastAsia" w:ascii="楷体" w:hAnsi="楷体" w:eastAsia="楷体"/>
          <w:b/>
          <w:bCs/>
          <w:color w:val="auto"/>
          <w:sz w:val="21"/>
          <w:szCs w:val="21"/>
        </w:rPr>
        <w:t>报价有效期：60天</w:t>
      </w:r>
    </w:p>
    <w:p w14:paraId="4B553221">
      <w:pPr>
        <w:numPr>
          <w:ilvl w:val="0"/>
          <w:numId w:val="19"/>
        </w:numPr>
        <w:spacing w:line="400" w:lineRule="exact"/>
        <w:ind w:firstLine="422" w:firstLineChars="200"/>
        <w:rPr>
          <w:rFonts w:hint="eastAsia" w:ascii="楷体" w:hAnsi="楷体" w:eastAsia="楷体"/>
          <w:b/>
          <w:bCs/>
          <w:color w:val="auto"/>
          <w:sz w:val="21"/>
          <w:szCs w:val="21"/>
        </w:rPr>
      </w:pPr>
      <w:r>
        <w:rPr>
          <w:rFonts w:hint="eastAsia" w:ascii="楷体" w:hAnsi="楷体" w:eastAsia="楷体"/>
          <w:b/>
          <w:bCs/>
          <w:color w:val="auto"/>
          <w:sz w:val="21"/>
          <w:szCs w:val="21"/>
        </w:rPr>
        <w:t>若我方报价被采购人接受，我方承诺本项目成交价以最终报价为准。</w:t>
      </w:r>
    </w:p>
    <w:p w14:paraId="58FD9BA1">
      <w:pPr>
        <w:tabs>
          <w:tab w:val="left" w:pos="4605"/>
        </w:tabs>
        <w:adjustRightInd w:val="0"/>
        <w:snapToGrid w:val="0"/>
        <w:spacing w:line="400" w:lineRule="exact"/>
        <w:jc w:val="both"/>
        <w:rPr>
          <w:rFonts w:hint="eastAsia" w:ascii="Times New Roman" w:hAnsi="Times New Roman" w:eastAsia="楷体" w:cs="Times New Roman"/>
          <w:color w:val="auto"/>
          <w:szCs w:val="21"/>
          <w:lang w:eastAsia="zh-CN"/>
        </w:rPr>
      </w:pPr>
    </w:p>
    <w:p w14:paraId="7DA367D7">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rPr>
      </w:pPr>
    </w:p>
    <w:p w14:paraId="67BB92F8">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 </w:t>
      </w:r>
    </w:p>
    <w:p w14:paraId="3E32DC42">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14:paraId="257A411D">
      <w:pPr>
        <w:tabs>
          <w:tab w:val="left" w:pos="4605"/>
        </w:tabs>
        <w:adjustRightInd w:val="0"/>
        <w:snapToGrid w:val="0"/>
        <w:spacing w:line="400" w:lineRule="exact"/>
        <w:ind w:firstLine="420" w:firstLineChars="200"/>
        <w:jc w:val="right"/>
        <w:rPr>
          <w:rFonts w:ascii="Times New Roman" w:hAnsi="Times New Roman" w:eastAsia="楷体" w:cs="Times New Roman"/>
          <w:color w:val="auto"/>
          <w:sz w:val="24"/>
          <w:szCs w:val="24"/>
        </w:rPr>
        <w:sectPr>
          <w:footerReference r:id="rId4" w:type="default"/>
          <w:pgSz w:w="11907" w:h="16840"/>
          <w:pgMar w:top="1418" w:right="1418" w:bottom="1418" w:left="1701" w:header="851" w:footer="850" w:gutter="0"/>
          <w:cols w:space="720" w:num="1"/>
          <w:docGrid w:linePitch="381" w:charSpace="-5735"/>
        </w:sect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7D8CDF85">
      <w:pPr>
        <w:spacing w:line="400" w:lineRule="exact"/>
        <w:jc w:val="center"/>
        <w:outlineLvl w:val="1"/>
        <w:rPr>
          <w:rFonts w:ascii="Times New Roman" w:hAnsi="Times New Roman" w:eastAsia="楷体" w:cs="Times New Roman"/>
          <w:b/>
          <w:color w:val="auto"/>
          <w:sz w:val="24"/>
          <w:szCs w:val="24"/>
        </w:rPr>
      </w:pPr>
      <w:bookmarkStart w:id="82" w:name="_Toc19750"/>
      <w:bookmarkStart w:id="83" w:name="_Toc88645077"/>
      <w:r>
        <w:rPr>
          <w:rFonts w:hint="eastAsia" w:ascii="宋体" w:hAnsi="宋体" w:eastAsia="宋体" w:cs="宋体"/>
          <w:b/>
          <w:color w:val="auto"/>
          <w:sz w:val="24"/>
          <w:szCs w:val="24"/>
        </w:rPr>
        <w:t>◆</w:t>
      </w:r>
      <w:r>
        <w:rPr>
          <w:rFonts w:ascii="Times New Roman" w:hAnsi="Times New Roman" w:eastAsia="楷体" w:cs="Times New Roman"/>
          <w:b/>
          <w:color w:val="auto"/>
          <w:sz w:val="24"/>
          <w:szCs w:val="24"/>
        </w:rPr>
        <w:t>附件：最终报价确认书</w:t>
      </w:r>
      <w:r>
        <w:rPr>
          <w:rFonts w:ascii="Times New Roman" w:hAnsi="Times New Roman" w:eastAsia="楷体" w:cs="Times New Roman"/>
          <w:color w:val="auto"/>
          <w:kern w:val="0"/>
          <w:szCs w:val="21"/>
        </w:rPr>
        <w:t>（</w:t>
      </w:r>
      <w:r>
        <w:rPr>
          <w:rFonts w:ascii="Times New Roman" w:hAnsi="Times New Roman" w:eastAsia="楷体" w:cs="Times New Roman"/>
          <w:color w:val="auto"/>
          <w:szCs w:val="21"/>
        </w:rPr>
        <w:t>“文件格式”</w:t>
      </w:r>
      <w:r>
        <w:rPr>
          <w:rFonts w:ascii="Times New Roman" w:hAnsi="Times New Roman" w:eastAsia="楷体" w:cs="Times New Roman"/>
          <w:color w:val="auto"/>
          <w:kern w:val="0"/>
          <w:szCs w:val="21"/>
        </w:rPr>
        <w:t>）</w:t>
      </w:r>
      <w:bookmarkEnd w:id="82"/>
      <w:bookmarkEnd w:id="83"/>
    </w:p>
    <w:p w14:paraId="324B5E8F">
      <w:pPr>
        <w:spacing w:line="400" w:lineRule="exact"/>
        <w:ind w:firstLine="422" w:firstLineChars="200"/>
        <w:jc w:val="center"/>
        <w:rPr>
          <w:rFonts w:ascii="Times New Roman" w:hAnsi="Times New Roman" w:eastAsia="楷体" w:cs="Times New Roman"/>
          <w:b/>
          <w:color w:val="auto"/>
          <w:szCs w:val="21"/>
        </w:rPr>
      </w:pPr>
    </w:p>
    <w:p w14:paraId="3FB39954">
      <w:pPr>
        <w:spacing w:line="400" w:lineRule="exact"/>
        <w:ind w:firstLine="422" w:firstLineChars="200"/>
        <w:rPr>
          <w:rFonts w:hint="eastAsia" w:ascii="Times New Roman" w:hAnsi="Times New Roman" w:eastAsia="楷体" w:cs="Times New Roman"/>
          <w:color w:val="auto"/>
          <w:szCs w:val="21"/>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19F94945">
      <w:pPr>
        <w:spacing w:line="400" w:lineRule="exact"/>
        <w:ind w:firstLine="420"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我公司仔细审阅了</w:t>
      </w:r>
      <w:r>
        <w:rPr>
          <w:rFonts w:ascii="Times New Roman" w:hAnsi="Times New Roman" w:eastAsia="楷体" w:cs="Times New Roman"/>
          <w:b/>
          <w:color w:val="auto"/>
          <w:szCs w:val="21"/>
          <w:u w:val="single"/>
        </w:rPr>
        <w:t xml:space="preserve">      （项目名称）             </w:t>
      </w:r>
      <w:r>
        <w:rPr>
          <w:rFonts w:ascii="Times New Roman" w:hAnsi="Times New Roman" w:eastAsia="楷体" w:cs="Times New Roman"/>
          <w:color w:val="auto"/>
          <w:szCs w:val="21"/>
        </w:rPr>
        <w:t>竞争性谈判文件中的所有条款内容及采购人所发出的一切有效的书面通知、修改及补充（如有），经双方协商谈判，对以下谈判结果进行确认：</w:t>
      </w:r>
    </w:p>
    <w:p w14:paraId="48B02FCF">
      <w:pPr>
        <w:numPr>
          <w:ilvl w:val="0"/>
          <w:numId w:val="20"/>
        </w:numPr>
        <w:adjustRightInd w:val="0"/>
        <w:snapToGrid w:val="0"/>
        <w:spacing w:line="400" w:lineRule="exact"/>
        <w:ind w:firstLine="420" w:firstLineChars="200"/>
        <w:rPr>
          <w:color w:val="auto"/>
          <w:highlight w:val="none"/>
        </w:rPr>
      </w:pPr>
      <w:r>
        <w:rPr>
          <w:rFonts w:ascii="Times New Roman" w:hAnsi="Times New Roman" w:eastAsia="楷体" w:cs="Times New Roman"/>
          <w:color w:val="auto"/>
          <w:szCs w:val="21"/>
        </w:rPr>
        <w:t>我公司最终报价：：</w:t>
      </w:r>
      <w:r>
        <w:rPr>
          <w:rFonts w:ascii="Times New Roman" w:hAnsi="Times New Roman" w:eastAsia="楷体" w:cs="Times New Roman"/>
          <w:b/>
          <w:color w:val="auto"/>
          <w:szCs w:val="21"/>
          <w:u w:val="single"/>
        </w:rPr>
        <w:t>人民币          元（大写：                ）</w:t>
      </w:r>
      <w:r>
        <w:rPr>
          <w:rFonts w:ascii="Times New Roman" w:hAnsi="Times New Roman" w:eastAsia="楷体" w:cs="Times New Roman"/>
          <w:color w:val="auto"/>
          <w:szCs w:val="21"/>
          <w:u w:val="single"/>
        </w:rPr>
        <w:t>，</w:t>
      </w:r>
      <w:r>
        <w:rPr>
          <w:rFonts w:ascii="Times New Roman" w:hAnsi="Times New Roman" w:eastAsia="楷体" w:cs="Times New Roman"/>
          <w:b/>
          <w:color w:val="auto"/>
          <w:szCs w:val="21"/>
          <w:u w:val="single"/>
        </w:rPr>
        <w:t>发票为税率   %的增值税专用发票。报价包含</w:t>
      </w:r>
      <w:r>
        <w:rPr>
          <w:rFonts w:hint="eastAsia" w:ascii="Times New Roman" w:hAnsi="Times New Roman" w:eastAsia="楷体" w:cs="Times New Roman"/>
          <w:b/>
          <w:color w:val="auto"/>
          <w:szCs w:val="21"/>
          <w:u w:val="single"/>
          <w:lang w:val="en-US" w:eastAsia="zh-CN"/>
        </w:rPr>
        <w:t>施工、</w:t>
      </w:r>
      <w:r>
        <w:rPr>
          <w:rFonts w:hint="eastAsia" w:ascii="Times New Roman" w:hAnsi="Times New Roman" w:eastAsia="楷体" w:cs="Times New Roman"/>
          <w:b/>
          <w:color w:val="auto"/>
          <w:szCs w:val="21"/>
          <w:u w:val="single"/>
          <w:lang w:eastAsia="zh-CN"/>
        </w:rPr>
        <w:t>物资原价</w:t>
      </w:r>
      <w:r>
        <w:rPr>
          <w:rFonts w:hint="eastAsia" w:ascii="Times New Roman" w:hAnsi="Times New Roman" w:eastAsia="楷体" w:cs="Times New Roman"/>
          <w:b/>
          <w:color w:val="auto"/>
          <w:szCs w:val="21"/>
          <w:u w:val="single"/>
        </w:rPr>
        <w:t>、运杂费（含装卸费及包装绑扎费）、运输保险费、税费</w:t>
      </w:r>
      <w:r>
        <w:rPr>
          <w:rFonts w:ascii="Times New Roman" w:hAnsi="Times New Roman" w:eastAsia="楷体" w:cs="Times New Roman"/>
          <w:b/>
          <w:color w:val="auto"/>
          <w:szCs w:val="21"/>
          <w:u w:val="single"/>
        </w:rPr>
        <w:t>等</w:t>
      </w:r>
      <w:r>
        <w:rPr>
          <w:rFonts w:ascii="Times New Roman" w:hAnsi="Times New Roman" w:eastAsia="楷体" w:cs="Times New Roman"/>
          <w:bCs/>
          <w:color w:val="auto"/>
          <w:szCs w:val="21"/>
        </w:rPr>
        <w:t>，</w:t>
      </w:r>
      <w:r>
        <w:rPr>
          <w:rFonts w:ascii="Times New Roman" w:hAnsi="Times New Roman" w:eastAsia="楷体" w:cs="Times New Roman"/>
          <w:color w:val="auto"/>
          <w:szCs w:val="21"/>
        </w:rPr>
        <w:t>详见报价表。</w:t>
      </w:r>
    </w:p>
    <w:p w14:paraId="5782A579">
      <w:pPr>
        <w:spacing w:line="400" w:lineRule="exact"/>
        <w:ind w:firstLine="422" w:firstLineChars="200"/>
        <w:jc w:val="center"/>
        <w:rPr>
          <w:rFonts w:ascii="Times New Roman" w:hAnsi="Times New Roman" w:eastAsia="楷体" w:cs="Times New Roman"/>
          <w:color w:val="auto"/>
          <w:szCs w:val="21"/>
          <w:highlight w:val="none"/>
        </w:rPr>
      </w:pPr>
      <w:r>
        <w:rPr>
          <w:rFonts w:ascii="Times New Roman" w:hAnsi="Times New Roman" w:eastAsia="楷体" w:cs="Times New Roman"/>
          <w:b/>
          <w:color w:val="auto"/>
          <w:szCs w:val="21"/>
          <w:highlight w:val="none"/>
        </w:rPr>
        <w:t>最终报价表</w:t>
      </w:r>
    </w:p>
    <w:p w14:paraId="07FB380D">
      <w:pPr>
        <w:rPr>
          <w:rFonts w:ascii="Times New Roman" w:hAnsi="Times New Roman" w:eastAsia="楷体" w:cs="Times New Roman"/>
          <w:color w:val="0000FF"/>
          <w:szCs w:val="21"/>
          <w:highlight w:val="none"/>
        </w:rPr>
      </w:pPr>
    </w:p>
    <w:p w14:paraId="1E27F3C0">
      <w:pPr>
        <w:rPr>
          <w:color w:val="0000FF"/>
          <w:highlight w:val="none"/>
        </w:rPr>
      </w:pPr>
    </w:p>
    <w:tbl>
      <w:tblPr>
        <w:tblStyle w:val="84"/>
        <w:tblW w:w="10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
        <w:gridCol w:w="2454"/>
        <w:gridCol w:w="1932"/>
        <w:gridCol w:w="698"/>
        <w:gridCol w:w="610"/>
        <w:gridCol w:w="2076"/>
        <w:gridCol w:w="1260"/>
        <w:gridCol w:w="716"/>
      </w:tblGrid>
      <w:tr w14:paraId="3A7D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64318B83">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序号</w:t>
            </w:r>
          </w:p>
        </w:tc>
        <w:tc>
          <w:tcPr>
            <w:tcW w:w="2454" w:type="dxa"/>
            <w:tcBorders>
              <w:top w:val="single" w:color="000000" w:sz="4" w:space="0"/>
              <w:left w:val="nil"/>
              <w:bottom w:val="single" w:color="000000" w:sz="4" w:space="0"/>
              <w:right w:val="single" w:color="000000" w:sz="4" w:space="0"/>
            </w:tcBorders>
            <w:noWrap w:val="0"/>
            <w:vAlign w:val="center"/>
          </w:tcPr>
          <w:p w14:paraId="3FFAD5A5">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维修内容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9966749">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规格型号参数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43AF8D1">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p>
          <w:p w14:paraId="154F32F7">
            <w:pPr>
              <w:pStyle w:val="2"/>
              <w:pageBreakBefore w:val="0"/>
              <w:kinsoku/>
              <w:wordWrap/>
              <w:overflowPunct/>
              <w:topLinePunct w:val="0"/>
              <w:autoSpaceDE/>
              <w:autoSpaceDN/>
              <w:bidi w:val="0"/>
              <w:adjustRightInd/>
              <w:snapToGrid/>
              <w:spacing w:before="0" w:after="0" w:line="240" w:lineRule="exact"/>
              <w:jc w:val="center"/>
              <w:outlineLvl w:val="1"/>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单位</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14:paraId="36608E8F">
            <w:pPr>
              <w:pStyle w:val="2"/>
              <w:pageBreakBefore w:val="0"/>
              <w:kinsoku/>
              <w:wordWrap/>
              <w:overflowPunct/>
              <w:topLinePunct w:val="0"/>
              <w:autoSpaceDE/>
              <w:autoSpaceDN/>
              <w:bidi w:val="0"/>
              <w:adjustRightInd/>
              <w:snapToGrid/>
              <w:spacing w:before="0" w:after="0" w:line="240" w:lineRule="exact"/>
              <w:jc w:val="center"/>
              <w:outlineLvl w:val="1"/>
              <w:rPr>
                <w:rFonts w:hint="eastAsia" w:ascii="宋体" w:hAnsi="宋体" w:eastAsia="宋体" w:cs="宋体"/>
                <w:b/>
                <w:bCs/>
                <w:color w:val="auto"/>
                <w:kern w:val="0"/>
                <w:sz w:val="24"/>
                <w:szCs w:val="24"/>
                <w:highlight w:val="none"/>
                <w:lang w:val="en-US" w:eastAsia="zh-CN" w:bidi="ar"/>
              </w:rPr>
            </w:pPr>
          </w:p>
          <w:p w14:paraId="257B1F4F">
            <w:pPr>
              <w:pStyle w:val="2"/>
              <w:pageBreakBefore w:val="0"/>
              <w:kinsoku/>
              <w:wordWrap/>
              <w:overflowPunct/>
              <w:topLinePunct w:val="0"/>
              <w:autoSpaceDE/>
              <w:autoSpaceDN/>
              <w:bidi w:val="0"/>
              <w:adjustRightInd/>
              <w:snapToGrid/>
              <w:spacing w:before="0" w:after="0" w:line="240" w:lineRule="exact"/>
              <w:jc w:val="center"/>
              <w:outlineLvl w:val="1"/>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787FF28A">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检修、维修单价（不包含维修件回收）（元）</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FF096F9">
            <w:pPr>
              <w:pStyle w:val="2"/>
              <w:pageBreakBefore w:val="0"/>
              <w:kinsoku/>
              <w:wordWrap/>
              <w:overflowPunct/>
              <w:topLinePunct w:val="0"/>
              <w:autoSpaceDE/>
              <w:autoSpaceDN/>
              <w:bidi w:val="0"/>
              <w:adjustRightInd/>
              <w:snapToGrid/>
              <w:spacing w:before="0" w:after="0" w:line="240" w:lineRule="exact"/>
              <w:ind w:firstLine="1687" w:firstLineChars="700"/>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收维修件回收单价（元）</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2FDD5924">
            <w:pPr>
              <w:pStyle w:val="2"/>
              <w:pageBreakBefore w:val="0"/>
              <w:kinsoku/>
              <w:wordWrap/>
              <w:overflowPunct/>
              <w:topLinePunct w:val="0"/>
              <w:autoSpaceDE/>
              <w:autoSpaceDN/>
              <w:bidi w:val="0"/>
              <w:adjustRightInd/>
              <w:snapToGrid/>
              <w:spacing w:before="0" w:after="0" w:line="240" w:lineRule="exact"/>
              <w:outlineLvl w:val="1"/>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797D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restart"/>
            <w:tcBorders>
              <w:left w:val="single" w:color="000000" w:sz="4" w:space="0"/>
              <w:right w:val="single" w:color="000000" w:sz="4" w:space="0"/>
            </w:tcBorders>
            <w:noWrap/>
            <w:vAlign w:val="center"/>
          </w:tcPr>
          <w:p w14:paraId="667B2095">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1</w:t>
            </w:r>
          </w:p>
        </w:tc>
        <w:tc>
          <w:tcPr>
            <w:tcW w:w="2454" w:type="dxa"/>
            <w:vMerge w:val="restart"/>
            <w:tcBorders>
              <w:left w:val="nil"/>
              <w:right w:val="single" w:color="000000" w:sz="4" w:space="0"/>
            </w:tcBorders>
            <w:noWrap w:val="0"/>
            <w:vAlign w:val="center"/>
          </w:tcPr>
          <w:p w14:paraId="5915109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变压器解体、吊芯检查</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5EE4">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restart"/>
            <w:tcBorders>
              <w:left w:val="nil"/>
              <w:right w:val="single" w:color="000000" w:sz="4" w:space="0"/>
            </w:tcBorders>
            <w:noWrap/>
            <w:vAlign w:val="center"/>
          </w:tcPr>
          <w:p w14:paraId="73B686AC">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left w:val="single" w:color="000000" w:sz="4" w:space="0"/>
              <w:right w:val="single" w:color="000000" w:sz="4" w:space="0"/>
            </w:tcBorders>
            <w:noWrap/>
            <w:vAlign w:val="center"/>
          </w:tcPr>
          <w:p w14:paraId="18885F73">
            <w:pP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0B90169F">
            <w:pPr>
              <w:rPr>
                <w:rFonts w:hint="eastAsia" w:ascii="宋体" w:hAnsi="宋体" w:eastAsia="宋体" w:cs="宋体"/>
                <w:i w:val="0"/>
                <w:iCs w:val="0"/>
                <w:color w:val="auto"/>
                <w:sz w:val="22"/>
                <w:szCs w:val="22"/>
                <w:u w:val="none"/>
              </w:rPr>
            </w:pPr>
          </w:p>
        </w:tc>
        <w:tc>
          <w:tcPr>
            <w:tcW w:w="1260" w:type="dxa"/>
            <w:vMerge w:val="restart"/>
            <w:tcBorders>
              <w:left w:val="single" w:color="000000" w:sz="4" w:space="0"/>
              <w:right w:val="nil"/>
            </w:tcBorders>
            <w:noWrap/>
            <w:vAlign w:val="center"/>
          </w:tcPr>
          <w:p w14:paraId="635DAF59">
            <w:pPr>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c>
          <w:tcPr>
            <w:tcW w:w="716" w:type="dxa"/>
            <w:vMerge w:val="restart"/>
            <w:tcBorders>
              <w:left w:val="single" w:color="000000" w:sz="4" w:space="0"/>
              <w:right w:val="single" w:color="000000" w:sz="4" w:space="0"/>
            </w:tcBorders>
            <w:noWrap/>
            <w:vAlign w:val="center"/>
          </w:tcPr>
          <w:p w14:paraId="21472DC7">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highlight w:val="none"/>
                <w:u w:val="none"/>
              </w:rPr>
              <w:t>检修、维修</w:t>
            </w:r>
            <w:r>
              <w:rPr>
                <w:rFonts w:hint="eastAsia" w:ascii="宋体" w:hAnsi="宋体" w:eastAsia="宋体" w:cs="宋体"/>
                <w:i w:val="0"/>
                <w:iCs w:val="0"/>
                <w:color w:val="auto"/>
                <w:sz w:val="22"/>
                <w:szCs w:val="22"/>
                <w:highlight w:val="none"/>
                <w:u w:val="none"/>
                <w:lang w:val="en-US" w:eastAsia="zh-CN"/>
              </w:rPr>
              <w:t>费用包含</w:t>
            </w:r>
            <w:r>
              <w:rPr>
                <w:rFonts w:hint="eastAsia" w:ascii="宋体" w:hAnsi="宋体" w:eastAsia="宋体" w:cs="宋体"/>
                <w:i w:val="0"/>
                <w:iCs w:val="0"/>
                <w:color w:val="auto"/>
                <w:sz w:val="22"/>
                <w:szCs w:val="22"/>
                <w:highlight w:val="none"/>
                <w:u w:val="none"/>
              </w:rPr>
              <w:t>拆卸</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往返</w:t>
            </w:r>
            <w:r>
              <w:rPr>
                <w:rFonts w:hint="eastAsia" w:ascii="宋体" w:hAnsi="宋体" w:eastAsia="宋体" w:cs="宋体"/>
                <w:i w:val="0"/>
                <w:iCs w:val="0"/>
                <w:color w:val="auto"/>
                <w:sz w:val="22"/>
                <w:szCs w:val="22"/>
                <w:highlight w:val="none"/>
                <w:u w:val="none"/>
              </w:rPr>
              <w:t>运输费</w:t>
            </w:r>
            <w:r>
              <w:rPr>
                <w:rFonts w:hint="eastAsia" w:ascii="宋体" w:hAnsi="宋体" w:eastAsia="宋体" w:cs="宋体"/>
                <w:i w:val="0"/>
                <w:iCs w:val="0"/>
                <w:color w:val="auto"/>
                <w:sz w:val="22"/>
                <w:szCs w:val="22"/>
                <w:highlight w:val="none"/>
                <w:u w:val="none"/>
                <w:lang w:val="en-US" w:eastAsia="zh-CN"/>
              </w:rPr>
              <w:t>等</w:t>
            </w:r>
            <w:r>
              <w:rPr>
                <w:rFonts w:hint="eastAsia" w:ascii="宋体" w:hAnsi="宋体" w:eastAsia="宋体" w:cs="宋体"/>
                <w:i w:val="0"/>
                <w:iCs w:val="0"/>
                <w:color w:val="auto"/>
                <w:sz w:val="22"/>
                <w:szCs w:val="22"/>
                <w:highlight w:val="none"/>
                <w:u w:val="none"/>
              </w:rPr>
              <w:t>，涉及更换件</w:t>
            </w:r>
            <w:r>
              <w:rPr>
                <w:rFonts w:hint="eastAsia" w:ascii="宋体" w:hAnsi="宋体" w:eastAsia="宋体" w:cs="宋体"/>
                <w:i w:val="0"/>
                <w:iCs w:val="0"/>
                <w:color w:val="auto"/>
                <w:sz w:val="22"/>
                <w:szCs w:val="22"/>
                <w:highlight w:val="none"/>
                <w:u w:val="none"/>
                <w:lang w:val="en-US" w:eastAsia="zh-CN"/>
              </w:rPr>
              <w:t>单独备注</w:t>
            </w:r>
            <w:r>
              <w:rPr>
                <w:rFonts w:hint="eastAsia" w:ascii="宋体" w:hAnsi="宋体" w:eastAsia="宋体" w:cs="宋体"/>
                <w:i w:val="0"/>
                <w:iCs w:val="0"/>
                <w:color w:val="auto"/>
                <w:sz w:val="22"/>
                <w:szCs w:val="22"/>
                <w:highlight w:val="none"/>
                <w:u w:val="none"/>
              </w:rPr>
              <w:t>回收价格</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采购方根据回收报价及市场行情决定是否由报价单位回收</w:t>
            </w:r>
          </w:p>
        </w:tc>
      </w:tr>
      <w:tr w14:paraId="6604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32AA936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0230082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9727">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nil"/>
              <w:right w:val="single" w:color="000000" w:sz="4" w:space="0"/>
            </w:tcBorders>
            <w:noWrap/>
            <w:vAlign w:val="center"/>
          </w:tcPr>
          <w:p w14:paraId="3AFB3B8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64194E84">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6A4CCC72">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5A460258">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4D59F94A">
            <w:pPr>
              <w:rPr>
                <w:rFonts w:hint="eastAsia" w:ascii="宋体" w:hAnsi="宋体" w:eastAsia="宋体" w:cs="宋体"/>
                <w:i w:val="0"/>
                <w:iCs w:val="0"/>
                <w:color w:val="auto"/>
                <w:sz w:val="22"/>
                <w:szCs w:val="22"/>
                <w:u w:val="none"/>
              </w:rPr>
            </w:pPr>
          </w:p>
        </w:tc>
      </w:tr>
      <w:tr w14:paraId="53F0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55C01CFF">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693F6F3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CA14">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nil"/>
              <w:right w:val="single" w:color="000000" w:sz="4" w:space="0"/>
            </w:tcBorders>
            <w:noWrap/>
            <w:vAlign w:val="center"/>
          </w:tcPr>
          <w:p w14:paraId="56C17A2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56C0539B">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3F5958BD">
            <w:pPr>
              <w:rPr>
                <w:rFonts w:hint="eastAsia" w:ascii="宋体" w:hAnsi="宋体" w:eastAsia="宋体" w:cs="宋体"/>
                <w:i w:val="0"/>
                <w:iCs w:val="0"/>
                <w:color w:val="auto"/>
                <w:sz w:val="22"/>
                <w:szCs w:val="22"/>
                <w:u w:val="none"/>
              </w:rPr>
            </w:pPr>
          </w:p>
        </w:tc>
        <w:tc>
          <w:tcPr>
            <w:tcW w:w="1260" w:type="dxa"/>
            <w:vMerge w:val="continue"/>
            <w:tcBorders>
              <w:left w:val="single" w:color="000000" w:sz="4" w:space="0"/>
              <w:right w:val="nil"/>
            </w:tcBorders>
            <w:noWrap/>
            <w:vAlign w:val="center"/>
          </w:tcPr>
          <w:p w14:paraId="2DCFB2FD">
            <w:pPr>
              <w:jc w:val="center"/>
              <w:rPr>
                <w:rFonts w:hint="eastAsia" w:ascii="宋体" w:hAnsi="宋体" w:eastAsia="宋体" w:cs="宋体"/>
                <w:i w:val="0"/>
                <w:iCs w:val="0"/>
                <w:color w:val="auto"/>
                <w:sz w:val="22"/>
                <w:szCs w:val="22"/>
                <w:u w:val="none"/>
                <w:lang w:val="en-US" w:eastAsia="zh-CN"/>
              </w:rPr>
            </w:pPr>
          </w:p>
        </w:tc>
        <w:tc>
          <w:tcPr>
            <w:tcW w:w="716" w:type="dxa"/>
            <w:vMerge w:val="continue"/>
            <w:tcBorders>
              <w:left w:val="single" w:color="000000" w:sz="4" w:space="0"/>
              <w:right w:val="single" w:color="000000" w:sz="4" w:space="0"/>
            </w:tcBorders>
            <w:noWrap/>
            <w:vAlign w:val="center"/>
          </w:tcPr>
          <w:p w14:paraId="25EA1458">
            <w:pPr>
              <w:rPr>
                <w:rFonts w:hint="eastAsia" w:ascii="宋体" w:hAnsi="宋体" w:eastAsia="宋体" w:cs="宋体"/>
                <w:i w:val="0"/>
                <w:iCs w:val="0"/>
                <w:color w:val="auto"/>
                <w:sz w:val="22"/>
                <w:szCs w:val="22"/>
                <w:u w:val="none"/>
              </w:rPr>
            </w:pPr>
          </w:p>
        </w:tc>
      </w:tr>
      <w:tr w14:paraId="6133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09AAC1B6">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2</w:t>
            </w:r>
          </w:p>
        </w:tc>
        <w:tc>
          <w:tcPr>
            <w:tcW w:w="2454" w:type="dxa"/>
            <w:vMerge w:val="restart"/>
            <w:tcBorders>
              <w:top w:val="single" w:color="000000" w:sz="4" w:space="0"/>
              <w:left w:val="nil"/>
              <w:right w:val="single" w:color="000000" w:sz="4" w:space="0"/>
            </w:tcBorders>
            <w:noWrap w:val="0"/>
            <w:vAlign w:val="center"/>
          </w:tcPr>
          <w:p w14:paraId="2B35014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变压器高压侧套管拆装、更换</w:t>
            </w:r>
          </w:p>
        </w:tc>
        <w:tc>
          <w:tcPr>
            <w:tcW w:w="1932" w:type="dxa"/>
            <w:tcBorders>
              <w:top w:val="single" w:color="000000" w:sz="4" w:space="0"/>
              <w:left w:val="single" w:color="000000" w:sz="4" w:space="0"/>
              <w:right w:val="single" w:color="000000" w:sz="4" w:space="0"/>
            </w:tcBorders>
            <w:shd w:val="clear" w:color="auto" w:fill="auto"/>
            <w:noWrap/>
            <w:vAlign w:val="center"/>
          </w:tcPr>
          <w:p w14:paraId="7AACA8A1">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restart"/>
            <w:tcBorders>
              <w:top w:val="single" w:color="000000" w:sz="4" w:space="0"/>
              <w:left w:val="single" w:color="000000" w:sz="4" w:space="0"/>
              <w:right w:val="single" w:color="000000" w:sz="4" w:space="0"/>
            </w:tcBorders>
            <w:noWrap/>
            <w:vAlign w:val="center"/>
          </w:tcPr>
          <w:p w14:paraId="25879BA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相</w:t>
            </w:r>
          </w:p>
        </w:tc>
        <w:tc>
          <w:tcPr>
            <w:tcW w:w="610" w:type="dxa"/>
            <w:vMerge w:val="restart"/>
            <w:tcBorders>
              <w:top w:val="single" w:color="000000" w:sz="4" w:space="0"/>
              <w:left w:val="single" w:color="000000" w:sz="4" w:space="0"/>
              <w:right w:val="single" w:color="000000" w:sz="4" w:space="0"/>
            </w:tcBorders>
            <w:noWrap/>
            <w:vAlign w:val="center"/>
          </w:tcPr>
          <w:p w14:paraId="05526A2A">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highlight w:val="none"/>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66AEDC42">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1B0A663">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649ACBC3">
            <w:pPr>
              <w:rPr>
                <w:rFonts w:hint="eastAsia" w:ascii="宋体" w:hAnsi="宋体" w:eastAsia="宋体" w:cs="宋体"/>
                <w:i w:val="0"/>
                <w:iCs w:val="0"/>
                <w:color w:val="auto"/>
                <w:sz w:val="22"/>
                <w:szCs w:val="22"/>
                <w:u w:val="none"/>
              </w:rPr>
            </w:pPr>
          </w:p>
        </w:tc>
      </w:tr>
      <w:tr w14:paraId="3420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6A230F3C">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0B17ED6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88C3">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single" w:color="000000" w:sz="4" w:space="0"/>
              <w:right w:val="single" w:color="000000" w:sz="4" w:space="0"/>
            </w:tcBorders>
            <w:noWrap/>
            <w:vAlign w:val="center"/>
          </w:tcPr>
          <w:p w14:paraId="2C4E860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1F66E0C3">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176AC6B0">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A5D3EBD">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360B37A1">
            <w:pPr>
              <w:rPr>
                <w:rFonts w:hint="eastAsia" w:ascii="宋体" w:hAnsi="宋体" w:eastAsia="宋体" w:cs="宋体"/>
                <w:i w:val="0"/>
                <w:iCs w:val="0"/>
                <w:color w:val="auto"/>
                <w:sz w:val="22"/>
                <w:szCs w:val="22"/>
                <w:u w:val="none"/>
              </w:rPr>
            </w:pPr>
          </w:p>
        </w:tc>
      </w:tr>
      <w:tr w14:paraId="397EE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1D03C440">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744749D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15FB">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single" w:color="000000" w:sz="4" w:space="0"/>
              <w:right w:val="single" w:color="000000" w:sz="4" w:space="0"/>
            </w:tcBorders>
            <w:noWrap/>
            <w:vAlign w:val="center"/>
          </w:tcPr>
          <w:p w14:paraId="24EF843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5A24282D">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1E64190D">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192D9699">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24A922E1">
            <w:pPr>
              <w:rPr>
                <w:rFonts w:hint="eastAsia" w:ascii="宋体" w:hAnsi="宋体" w:eastAsia="宋体" w:cs="宋体"/>
                <w:i w:val="0"/>
                <w:iCs w:val="0"/>
                <w:color w:val="auto"/>
                <w:sz w:val="22"/>
                <w:szCs w:val="22"/>
                <w:u w:val="none"/>
              </w:rPr>
            </w:pPr>
          </w:p>
        </w:tc>
      </w:tr>
      <w:tr w14:paraId="0449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650299B5">
            <w:pPr>
              <w:keepNext w:val="0"/>
              <w:keepLines w:val="0"/>
              <w:widowControl/>
              <w:suppressLineNumbers w:val="0"/>
              <w:jc w:val="center"/>
              <w:textAlignment w:val="center"/>
              <w:rPr>
                <w:rFonts w:hint="default"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w:t>
            </w:r>
          </w:p>
        </w:tc>
        <w:tc>
          <w:tcPr>
            <w:tcW w:w="2454" w:type="dxa"/>
            <w:vMerge w:val="restart"/>
            <w:tcBorders>
              <w:top w:val="single" w:color="000000" w:sz="4" w:space="0"/>
              <w:left w:val="nil"/>
              <w:right w:val="single" w:color="000000" w:sz="4" w:space="0"/>
            </w:tcBorders>
            <w:noWrap w:val="0"/>
            <w:vAlign w:val="center"/>
          </w:tcPr>
          <w:p w14:paraId="68AF440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变压器低压侧套管拆装、更换</w:t>
            </w:r>
          </w:p>
        </w:tc>
        <w:tc>
          <w:tcPr>
            <w:tcW w:w="1932" w:type="dxa"/>
            <w:tcBorders>
              <w:top w:val="single" w:color="000000" w:sz="4" w:space="0"/>
              <w:left w:val="single" w:color="000000" w:sz="4" w:space="0"/>
              <w:right w:val="single" w:color="000000" w:sz="4" w:space="0"/>
            </w:tcBorders>
            <w:shd w:val="clear" w:color="auto" w:fill="auto"/>
            <w:noWrap/>
            <w:vAlign w:val="center"/>
          </w:tcPr>
          <w:p w14:paraId="46536472">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35KV（容量：1000kVA）</w:t>
            </w:r>
          </w:p>
        </w:tc>
        <w:tc>
          <w:tcPr>
            <w:tcW w:w="698" w:type="dxa"/>
            <w:vMerge w:val="restart"/>
            <w:tcBorders>
              <w:top w:val="single" w:color="000000" w:sz="4" w:space="0"/>
              <w:left w:val="single" w:color="000000" w:sz="4" w:space="0"/>
              <w:right w:val="single" w:color="000000" w:sz="4" w:space="0"/>
            </w:tcBorders>
            <w:noWrap/>
            <w:vAlign w:val="center"/>
          </w:tcPr>
          <w:p w14:paraId="1AE8D46B">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相</w:t>
            </w:r>
          </w:p>
        </w:tc>
        <w:tc>
          <w:tcPr>
            <w:tcW w:w="610" w:type="dxa"/>
            <w:vMerge w:val="restart"/>
            <w:tcBorders>
              <w:top w:val="single" w:color="000000" w:sz="4" w:space="0"/>
              <w:left w:val="single" w:color="000000" w:sz="4" w:space="0"/>
              <w:right w:val="single" w:color="000000" w:sz="4" w:space="0"/>
            </w:tcBorders>
            <w:noWrap/>
            <w:vAlign w:val="center"/>
          </w:tcPr>
          <w:p w14:paraId="2CC17335">
            <w:pP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38709D58">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4197CDBB">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6A197B7D">
            <w:pPr>
              <w:rPr>
                <w:rFonts w:hint="eastAsia" w:ascii="宋体" w:hAnsi="宋体" w:eastAsia="宋体" w:cs="宋体"/>
                <w:i w:val="0"/>
                <w:iCs w:val="0"/>
                <w:color w:val="auto"/>
                <w:sz w:val="22"/>
                <w:szCs w:val="22"/>
                <w:u w:val="none"/>
              </w:rPr>
            </w:pPr>
          </w:p>
        </w:tc>
      </w:tr>
      <w:tr w14:paraId="5732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20C23B8C">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49A81DB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1F26">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w:t>
            </w:r>
          </w:p>
        </w:tc>
        <w:tc>
          <w:tcPr>
            <w:tcW w:w="698" w:type="dxa"/>
            <w:vMerge w:val="continue"/>
            <w:tcBorders>
              <w:left w:val="single" w:color="000000" w:sz="4" w:space="0"/>
              <w:right w:val="single" w:color="000000" w:sz="4" w:space="0"/>
            </w:tcBorders>
            <w:noWrap/>
            <w:vAlign w:val="center"/>
          </w:tcPr>
          <w:p w14:paraId="7A3FD98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66754A26">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4F776BA9">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37B3BFB2">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61B54E69">
            <w:pPr>
              <w:rPr>
                <w:rFonts w:hint="eastAsia" w:ascii="宋体" w:hAnsi="宋体" w:eastAsia="宋体" w:cs="宋体"/>
                <w:i w:val="0"/>
                <w:iCs w:val="0"/>
                <w:color w:val="auto"/>
                <w:sz w:val="22"/>
                <w:szCs w:val="22"/>
                <w:u w:val="none"/>
              </w:rPr>
            </w:pPr>
          </w:p>
        </w:tc>
      </w:tr>
      <w:tr w14:paraId="0E8A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 w:hRule="atLeast"/>
          <w:jc w:val="center"/>
        </w:trPr>
        <w:tc>
          <w:tcPr>
            <w:tcW w:w="753" w:type="dxa"/>
            <w:vMerge w:val="continue"/>
            <w:tcBorders>
              <w:left w:val="single" w:color="000000" w:sz="4" w:space="0"/>
              <w:right w:val="single" w:color="000000" w:sz="4" w:space="0"/>
            </w:tcBorders>
            <w:noWrap/>
            <w:vAlign w:val="center"/>
          </w:tcPr>
          <w:p w14:paraId="4AF3DE3B">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p>
        </w:tc>
        <w:tc>
          <w:tcPr>
            <w:tcW w:w="2454" w:type="dxa"/>
            <w:vMerge w:val="continue"/>
            <w:tcBorders>
              <w:left w:val="nil"/>
              <w:right w:val="single" w:color="000000" w:sz="4" w:space="0"/>
            </w:tcBorders>
            <w:noWrap w:val="0"/>
            <w:vAlign w:val="center"/>
          </w:tcPr>
          <w:p w14:paraId="068EBC7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C8CC">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w:t>
            </w:r>
          </w:p>
        </w:tc>
        <w:tc>
          <w:tcPr>
            <w:tcW w:w="698" w:type="dxa"/>
            <w:vMerge w:val="continue"/>
            <w:tcBorders>
              <w:left w:val="single" w:color="000000" w:sz="4" w:space="0"/>
              <w:right w:val="single" w:color="000000" w:sz="4" w:space="0"/>
            </w:tcBorders>
            <w:noWrap/>
            <w:vAlign w:val="center"/>
          </w:tcPr>
          <w:p w14:paraId="3C6CB7D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1E822654">
            <w:pPr>
              <w:rPr>
                <w:rFonts w:hint="eastAsia" w:ascii="宋体" w:hAnsi="宋体" w:eastAsia="宋体" w:cs="宋体"/>
                <w:i w:val="0"/>
                <w:iCs w:val="0"/>
                <w:color w:val="auto"/>
                <w:sz w:val="22"/>
                <w:szCs w:val="22"/>
                <w:u w:val="none"/>
                <w:lang w:val="en-US" w:eastAsia="zh-CN"/>
              </w:rPr>
            </w:pPr>
          </w:p>
        </w:tc>
        <w:tc>
          <w:tcPr>
            <w:tcW w:w="2076" w:type="dxa"/>
            <w:tcBorders>
              <w:top w:val="single" w:color="000000" w:sz="4" w:space="0"/>
              <w:left w:val="single" w:color="000000" w:sz="4" w:space="0"/>
              <w:right w:val="single" w:color="000000" w:sz="4" w:space="0"/>
            </w:tcBorders>
            <w:noWrap/>
            <w:vAlign w:val="center"/>
          </w:tcPr>
          <w:p w14:paraId="28669482">
            <w:pPr>
              <w:rPr>
                <w:rFonts w:hint="eastAsia" w:ascii="宋体" w:hAnsi="宋体" w:eastAsia="宋体" w:cs="宋体"/>
                <w:i w:val="0"/>
                <w:iCs w:val="0"/>
                <w:color w:val="auto"/>
                <w:sz w:val="22"/>
                <w:szCs w:val="22"/>
                <w:u w:val="none"/>
              </w:rPr>
            </w:pPr>
          </w:p>
        </w:tc>
        <w:tc>
          <w:tcPr>
            <w:tcW w:w="1260" w:type="dxa"/>
            <w:tcBorders>
              <w:top w:val="single" w:color="000000" w:sz="4" w:space="0"/>
              <w:left w:val="single" w:color="000000" w:sz="4" w:space="0"/>
              <w:right w:val="nil"/>
            </w:tcBorders>
            <w:noWrap/>
            <w:vAlign w:val="center"/>
          </w:tcPr>
          <w:p w14:paraId="6E57F4B1">
            <w:pPr>
              <w:rPr>
                <w:rFonts w:hint="eastAsia" w:ascii="宋体" w:hAnsi="宋体" w:eastAsia="宋体" w:cs="宋体"/>
                <w:i w:val="0"/>
                <w:iCs w:val="0"/>
                <w:color w:val="auto"/>
                <w:sz w:val="22"/>
                <w:szCs w:val="22"/>
                <w:u w:val="none"/>
              </w:rPr>
            </w:pPr>
          </w:p>
        </w:tc>
        <w:tc>
          <w:tcPr>
            <w:tcW w:w="716" w:type="dxa"/>
            <w:vMerge w:val="continue"/>
            <w:tcBorders>
              <w:left w:val="single" w:color="000000" w:sz="4" w:space="0"/>
              <w:right w:val="single" w:color="000000" w:sz="4" w:space="0"/>
            </w:tcBorders>
            <w:noWrap/>
            <w:vAlign w:val="center"/>
          </w:tcPr>
          <w:p w14:paraId="4AB4E640">
            <w:pPr>
              <w:rPr>
                <w:rFonts w:hint="eastAsia" w:ascii="宋体" w:hAnsi="宋体" w:eastAsia="宋体" w:cs="宋体"/>
                <w:i w:val="0"/>
                <w:iCs w:val="0"/>
                <w:color w:val="auto"/>
                <w:sz w:val="22"/>
                <w:szCs w:val="22"/>
                <w:u w:val="none"/>
              </w:rPr>
            </w:pPr>
          </w:p>
        </w:tc>
      </w:tr>
      <w:tr w14:paraId="44DE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25B1A20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w:t>
            </w:r>
          </w:p>
        </w:tc>
        <w:tc>
          <w:tcPr>
            <w:tcW w:w="2454" w:type="dxa"/>
            <w:tcBorders>
              <w:top w:val="single" w:color="000000" w:sz="4" w:space="0"/>
              <w:left w:val="nil"/>
              <w:bottom w:val="single" w:color="000000" w:sz="4" w:space="0"/>
              <w:right w:val="single" w:color="000000" w:sz="4" w:space="0"/>
            </w:tcBorders>
            <w:noWrap w:val="0"/>
            <w:vAlign w:val="center"/>
          </w:tcPr>
          <w:p w14:paraId="1FD956E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变压器高、低压绕组（铜材）拆装、更换</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622EC58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铜材</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5B231D5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4FED171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13DAC7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6EBB1D4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CD9FF6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D83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53" w:type="dxa"/>
            <w:tcBorders>
              <w:top w:val="single" w:color="000000" w:sz="4" w:space="0"/>
              <w:left w:val="single" w:color="000000" w:sz="4" w:space="0"/>
              <w:right w:val="single" w:color="000000" w:sz="4" w:space="0"/>
            </w:tcBorders>
            <w:noWrap/>
            <w:vAlign w:val="center"/>
          </w:tcPr>
          <w:p w14:paraId="5FC8C69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5</w:t>
            </w:r>
          </w:p>
        </w:tc>
        <w:tc>
          <w:tcPr>
            <w:tcW w:w="2454" w:type="dxa"/>
            <w:tcBorders>
              <w:top w:val="single" w:color="000000" w:sz="4" w:space="0"/>
              <w:left w:val="nil"/>
              <w:right w:val="single" w:color="000000" w:sz="4" w:space="0"/>
            </w:tcBorders>
            <w:noWrap w:val="0"/>
            <w:vAlign w:val="center"/>
          </w:tcPr>
          <w:p w14:paraId="30EE30D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变压器瓦斯继电器拆装、更换</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721D2">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35KV（实际瓦斯继电器型号）</w:t>
            </w:r>
          </w:p>
        </w:tc>
        <w:tc>
          <w:tcPr>
            <w:tcW w:w="698" w:type="dxa"/>
            <w:tcBorders>
              <w:top w:val="single" w:color="000000" w:sz="4" w:space="0"/>
              <w:left w:val="single" w:color="000000" w:sz="4" w:space="0"/>
              <w:right w:val="single" w:color="000000" w:sz="4" w:space="0"/>
            </w:tcBorders>
            <w:noWrap/>
            <w:vAlign w:val="center"/>
          </w:tcPr>
          <w:p w14:paraId="23AB0E1C">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tcBorders>
              <w:top w:val="single" w:color="000000" w:sz="4" w:space="0"/>
              <w:left w:val="single" w:color="000000" w:sz="4" w:space="0"/>
              <w:right w:val="single" w:color="000000" w:sz="4" w:space="0"/>
            </w:tcBorders>
            <w:noWrap/>
            <w:vAlign w:val="center"/>
          </w:tcPr>
          <w:p w14:paraId="03C13B02">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098F1A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6171A6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1359851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4AC9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4069729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6</w:t>
            </w:r>
          </w:p>
        </w:tc>
        <w:tc>
          <w:tcPr>
            <w:tcW w:w="2454" w:type="dxa"/>
            <w:vMerge w:val="restart"/>
            <w:tcBorders>
              <w:top w:val="single" w:color="000000" w:sz="4" w:space="0"/>
              <w:left w:val="nil"/>
              <w:right w:val="single" w:color="000000" w:sz="4" w:space="0"/>
            </w:tcBorders>
            <w:noWrap w:val="0"/>
            <w:vAlign w:val="center"/>
          </w:tcPr>
          <w:p w14:paraId="6E53048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变压器压力表拆装、更换</w:t>
            </w:r>
          </w:p>
        </w:tc>
        <w:tc>
          <w:tcPr>
            <w:tcW w:w="1932" w:type="dxa"/>
            <w:tcBorders>
              <w:top w:val="single" w:color="000000" w:sz="4" w:space="0"/>
              <w:left w:val="single" w:color="000000" w:sz="4" w:space="0"/>
              <w:right w:val="single" w:color="000000" w:sz="4" w:space="0"/>
            </w:tcBorders>
            <w:shd w:val="clear" w:color="auto" w:fill="auto"/>
            <w:noWrap w:val="0"/>
            <w:vAlign w:val="center"/>
          </w:tcPr>
          <w:p w14:paraId="09CC4EF2">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35KV（实际压力表型号）</w:t>
            </w:r>
          </w:p>
        </w:tc>
        <w:tc>
          <w:tcPr>
            <w:tcW w:w="698" w:type="dxa"/>
            <w:vMerge w:val="restart"/>
            <w:tcBorders>
              <w:top w:val="single" w:color="000000" w:sz="4" w:space="0"/>
              <w:left w:val="single" w:color="000000" w:sz="4" w:space="0"/>
              <w:right w:val="single" w:color="000000" w:sz="4" w:space="0"/>
            </w:tcBorders>
            <w:noWrap/>
            <w:vAlign w:val="center"/>
          </w:tcPr>
          <w:p w14:paraId="58B98DCA">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03AAE579">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3C56F0C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E95967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5D3F30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779A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4749B91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7</w:t>
            </w:r>
          </w:p>
        </w:tc>
        <w:tc>
          <w:tcPr>
            <w:tcW w:w="2454" w:type="dxa"/>
            <w:vMerge w:val="restart"/>
            <w:tcBorders>
              <w:top w:val="single" w:color="000000" w:sz="4" w:space="0"/>
              <w:left w:val="nil"/>
              <w:right w:val="single" w:color="000000" w:sz="4" w:space="0"/>
            </w:tcBorders>
            <w:noWrap w:val="0"/>
            <w:vAlign w:val="center"/>
          </w:tcPr>
          <w:p w14:paraId="36002BE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变压器温度表拆装、更换</w:t>
            </w:r>
          </w:p>
        </w:tc>
        <w:tc>
          <w:tcPr>
            <w:tcW w:w="1932" w:type="dxa"/>
            <w:tcBorders>
              <w:top w:val="single" w:color="000000" w:sz="4" w:space="0"/>
              <w:left w:val="single" w:color="000000" w:sz="4" w:space="0"/>
              <w:right w:val="single" w:color="000000" w:sz="4" w:space="0"/>
            </w:tcBorders>
            <w:shd w:val="clear" w:color="auto" w:fill="auto"/>
            <w:noWrap/>
            <w:vAlign w:val="center"/>
          </w:tcPr>
          <w:p w14:paraId="15E02A35">
            <w:pPr>
              <w:keepNext w:val="0"/>
              <w:keepLines w:val="0"/>
              <w:widowControl/>
              <w:suppressLineNumbers w:val="0"/>
              <w:jc w:val="center"/>
              <w:textAlignment w:val="center"/>
              <w:rPr>
                <w:rFonts w:hint="eastAsia" w:ascii="Times New Roman" w:hAnsi="Times New Roman" w:eastAsia="楷体" w:cs="Times New Roman"/>
                <w:color w:val="auto"/>
                <w:kern w:val="2"/>
                <w:sz w:val="24"/>
                <w:szCs w:val="24"/>
                <w:highlight w:val="none"/>
                <w:lang w:val="en-US" w:eastAsia="zh-CN" w:bidi="ar-SA"/>
              </w:rPr>
            </w:pPr>
            <w:r>
              <w:rPr>
                <w:rFonts w:hint="eastAsia" w:ascii="楷体" w:hAnsi="楷体" w:eastAsia="楷体" w:cs="楷体"/>
                <w:i w:val="0"/>
                <w:iCs w:val="0"/>
                <w:color w:val="auto"/>
                <w:kern w:val="0"/>
                <w:sz w:val="21"/>
                <w:szCs w:val="21"/>
                <w:u w:val="none"/>
                <w:lang w:val="en-US" w:eastAsia="zh-CN" w:bidi="ar"/>
              </w:rPr>
              <w:t>35KV（实际压力表型号）</w:t>
            </w:r>
          </w:p>
        </w:tc>
        <w:tc>
          <w:tcPr>
            <w:tcW w:w="698" w:type="dxa"/>
            <w:vMerge w:val="restart"/>
            <w:tcBorders>
              <w:top w:val="single" w:color="000000" w:sz="4" w:space="0"/>
              <w:left w:val="single" w:color="000000" w:sz="4" w:space="0"/>
              <w:right w:val="single" w:color="000000" w:sz="4" w:space="0"/>
            </w:tcBorders>
            <w:noWrap/>
            <w:vAlign w:val="center"/>
          </w:tcPr>
          <w:p w14:paraId="491E7FB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3525FBD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right w:val="single" w:color="000000" w:sz="4" w:space="0"/>
            </w:tcBorders>
            <w:noWrap/>
            <w:vAlign w:val="center"/>
          </w:tcPr>
          <w:p w14:paraId="4372F6B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49BC1D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19D6332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50D4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4C045A4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8</w:t>
            </w:r>
          </w:p>
        </w:tc>
        <w:tc>
          <w:tcPr>
            <w:tcW w:w="2454" w:type="dxa"/>
            <w:vMerge w:val="restart"/>
            <w:tcBorders>
              <w:top w:val="single" w:color="000000" w:sz="4" w:space="0"/>
              <w:left w:val="nil"/>
              <w:right w:val="single" w:color="000000" w:sz="4" w:space="0"/>
            </w:tcBorders>
            <w:noWrap w:val="0"/>
            <w:vAlign w:val="center"/>
          </w:tcPr>
          <w:p w14:paraId="2BACFE1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组合式箱变无载分接开关及操动机构更换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CDFFFA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35KV（容量：1000kVA，实际原有分接开关型号）</w:t>
            </w:r>
          </w:p>
        </w:tc>
        <w:tc>
          <w:tcPr>
            <w:tcW w:w="698" w:type="dxa"/>
            <w:vMerge w:val="restart"/>
            <w:tcBorders>
              <w:top w:val="single" w:color="000000" w:sz="4" w:space="0"/>
              <w:left w:val="single" w:color="000000" w:sz="4" w:space="0"/>
              <w:right w:val="single" w:color="000000" w:sz="4" w:space="0"/>
            </w:tcBorders>
            <w:noWrap/>
            <w:vAlign w:val="center"/>
          </w:tcPr>
          <w:p w14:paraId="6096E3C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634F4A7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36AD68A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7E98108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7820171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1BC2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4F9E077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7DBD598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867E9E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35KV（容量：1250kVA，实际原有分接开关型号）</w:t>
            </w:r>
          </w:p>
        </w:tc>
        <w:tc>
          <w:tcPr>
            <w:tcW w:w="698" w:type="dxa"/>
            <w:vMerge w:val="continue"/>
            <w:tcBorders>
              <w:left w:val="single" w:color="000000" w:sz="4" w:space="0"/>
              <w:right w:val="single" w:color="000000" w:sz="4" w:space="0"/>
            </w:tcBorders>
            <w:noWrap/>
            <w:vAlign w:val="center"/>
          </w:tcPr>
          <w:p w14:paraId="281A529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34DE282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F16FCC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2D3DD0F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00C2435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7B8A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7B48EA5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4AFD222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3970740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35KV（容量：1600kVA，实际原有分接开关型号）</w:t>
            </w:r>
          </w:p>
        </w:tc>
        <w:tc>
          <w:tcPr>
            <w:tcW w:w="698" w:type="dxa"/>
            <w:vMerge w:val="continue"/>
            <w:tcBorders>
              <w:left w:val="single" w:color="000000" w:sz="4" w:space="0"/>
              <w:bottom w:val="single" w:color="000000" w:sz="4" w:space="0"/>
              <w:right w:val="single" w:color="000000" w:sz="4" w:space="0"/>
            </w:tcBorders>
            <w:noWrap/>
            <w:vAlign w:val="center"/>
          </w:tcPr>
          <w:p w14:paraId="1D079FA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4D327FF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8056DC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D6EEFA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0B5DC82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0F3B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6B2B2FD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9</w:t>
            </w:r>
          </w:p>
        </w:tc>
        <w:tc>
          <w:tcPr>
            <w:tcW w:w="2454" w:type="dxa"/>
            <w:vMerge w:val="restart"/>
            <w:tcBorders>
              <w:top w:val="single" w:color="000000" w:sz="4" w:space="0"/>
              <w:left w:val="nil"/>
              <w:right w:val="single" w:color="000000" w:sz="4" w:space="0"/>
            </w:tcBorders>
            <w:noWrap w:val="0"/>
            <w:vAlign w:val="center"/>
          </w:tcPr>
          <w:p w14:paraId="73182B6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组合式箱变高压负荷开关拆装、更换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324E81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35KV（容量：1000kVA，实际原有高压负荷开关型号）</w:t>
            </w:r>
          </w:p>
        </w:tc>
        <w:tc>
          <w:tcPr>
            <w:tcW w:w="698" w:type="dxa"/>
            <w:vMerge w:val="restart"/>
            <w:tcBorders>
              <w:top w:val="single" w:color="000000" w:sz="4" w:space="0"/>
              <w:left w:val="single" w:color="000000" w:sz="4" w:space="0"/>
              <w:right w:val="single" w:color="000000" w:sz="4" w:space="0"/>
            </w:tcBorders>
            <w:noWrap/>
            <w:vAlign w:val="center"/>
          </w:tcPr>
          <w:p w14:paraId="39751211">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vMerge w:val="restart"/>
            <w:tcBorders>
              <w:top w:val="single" w:color="000000" w:sz="4" w:space="0"/>
              <w:left w:val="single" w:color="000000" w:sz="4" w:space="0"/>
              <w:right w:val="single" w:color="000000" w:sz="4" w:space="0"/>
            </w:tcBorders>
            <w:noWrap/>
            <w:vAlign w:val="center"/>
          </w:tcPr>
          <w:p w14:paraId="10A33B9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9F5724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A1AC71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7E5DF7D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212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75EB796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13359BF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89EDE03">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35KV（容量：1250kVA，实际原有高压负荷开关型号）</w:t>
            </w:r>
          </w:p>
        </w:tc>
        <w:tc>
          <w:tcPr>
            <w:tcW w:w="698" w:type="dxa"/>
            <w:vMerge w:val="continue"/>
            <w:tcBorders>
              <w:left w:val="single" w:color="000000" w:sz="4" w:space="0"/>
              <w:right w:val="single" w:color="000000" w:sz="4" w:space="0"/>
            </w:tcBorders>
            <w:noWrap/>
            <w:vAlign w:val="center"/>
          </w:tcPr>
          <w:p w14:paraId="5546A6E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6E04CCA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32650E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E0977F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5D8F646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F84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29D10D3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01DF557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E393B0E">
            <w:pPr>
              <w:keepNext w:val="0"/>
              <w:keepLines w:val="0"/>
              <w:widowControl/>
              <w:suppressLineNumbers w:val="0"/>
              <w:jc w:val="center"/>
              <w:textAlignment w:val="center"/>
              <w:rPr>
                <w:rFonts w:hint="eastAsia" w:ascii="楷体" w:hAnsi="楷体" w:eastAsia="楷体" w:cs="楷体"/>
                <w:i w:val="0"/>
                <w:iCs w:val="0"/>
                <w:color w:val="auto"/>
                <w:kern w:val="0"/>
                <w:sz w:val="21"/>
                <w:szCs w:val="21"/>
                <w:u w:val="none"/>
                <w:lang w:val="en-US" w:eastAsia="zh-CN" w:bidi="ar"/>
              </w:rPr>
            </w:pPr>
            <w:r>
              <w:rPr>
                <w:rFonts w:hint="eastAsia" w:ascii="楷体" w:hAnsi="楷体" w:eastAsia="楷体" w:cs="楷体"/>
                <w:i w:val="0"/>
                <w:iCs w:val="0"/>
                <w:color w:val="auto"/>
                <w:kern w:val="0"/>
                <w:sz w:val="21"/>
                <w:szCs w:val="21"/>
                <w:u w:val="none"/>
                <w:lang w:val="en-US" w:eastAsia="zh-CN" w:bidi="ar"/>
              </w:rPr>
              <w:t>35KV（容量：1600kVA，实际原有高压负荷开关型号）</w:t>
            </w:r>
          </w:p>
        </w:tc>
        <w:tc>
          <w:tcPr>
            <w:tcW w:w="698" w:type="dxa"/>
            <w:vMerge w:val="continue"/>
            <w:tcBorders>
              <w:left w:val="single" w:color="000000" w:sz="4" w:space="0"/>
              <w:bottom w:val="single" w:color="000000" w:sz="4" w:space="0"/>
              <w:right w:val="single" w:color="000000" w:sz="4" w:space="0"/>
            </w:tcBorders>
            <w:noWrap/>
            <w:vAlign w:val="center"/>
          </w:tcPr>
          <w:p w14:paraId="13B2F50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71A2315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2984C65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AB070A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3011DF5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D2C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restart"/>
            <w:tcBorders>
              <w:top w:val="single" w:color="000000" w:sz="4" w:space="0"/>
              <w:left w:val="single" w:color="000000" w:sz="4" w:space="0"/>
              <w:right w:val="single" w:color="000000" w:sz="4" w:space="0"/>
            </w:tcBorders>
            <w:noWrap/>
            <w:vAlign w:val="center"/>
          </w:tcPr>
          <w:p w14:paraId="2CD37DF9">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10</w:t>
            </w:r>
          </w:p>
        </w:tc>
        <w:tc>
          <w:tcPr>
            <w:tcW w:w="2454" w:type="dxa"/>
            <w:vMerge w:val="restart"/>
            <w:tcBorders>
              <w:top w:val="single" w:color="000000" w:sz="4" w:space="0"/>
              <w:left w:val="nil"/>
              <w:right w:val="single" w:color="000000" w:sz="4" w:space="0"/>
            </w:tcBorders>
            <w:noWrap w:val="0"/>
            <w:vAlign w:val="center"/>
          </w:tcPr>
          <w:p w14:paraId="4C36A55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组合式箱变高压熔断器拆装、更换</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50AC7E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35KV（容量：1000kVA，实际原有</w:t>
            </w:r>
            <w:r>
              <w:rPr>
                <w:rFonts w:hint="eastAsia" w:ascii="Times New Roman" w:hAnsi="Times New Roman" w:eastAsia="楷体" w:cs="Times New Roman"/>
                <w:color w:val="auto"/>
                <w:sz w:val="24"/>
                <w:szCs w:val="24"/>
                <w:highlight w:val="none"/>
                <w:lang w:val="en-US" w:eastAsia="zh-CN"/>
              </w:rPr>
              <w:t>高压熔断器</w:t>
            </w:r>
            <w:r>
              <w:rPr>
                <w:rFonts w:hint="eastAsia" w:ascii="楷体" w:hAnsi="楷体" w:eastAsia="楷体" w:cs="楷体"/>
                <w:i w:val="0"/>
                <w:iCs w:val="0"/>
                <w:color w:val="auto"/>
                <w:kern w:val="0"/>
                <w:sz w:val="21"/>
                <w:szCs w:val="21"/>
                <w:u w:val="none"/>
                <w:lang w:val="en-US" w:eastAsia="zh-CN" w:bidi="ar"/>
              </w:rPr>
              <w:t>型号）</w:t>
            </w:r>
          </w:p>
        </w:tc>
        <w:tc>
          <w:tcPr>
            <w:tcW w:w="698" w:type="dxa"/>
            <w:vMerge w:val="restart"/>
            <w:tcBorders>
              <w:top w:val="single" w:color="000000" w:sz="4" w:space="0"/>
              <w:left w:val="single" w:color="000000" w:sz="4" w:space="0"/>
              <w:right w:val="single" w:color="000000" w:sz="4" w:space="0"/>
            </w:tcBorders>
            <w:noWrap/>
            <w:vAlign w:val="center"/>
          </w:tcPr>
          <w:p w14:paraId="0E8D9A99">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相</w:t>
            </w:r>
          </w:p>
        </w:tc>
        <w:tc>
          <w:tcPr>
            <w:tcW w:w="610" w:type="dxa"/>
            <w:vMerge w:val="restart"/>
            <w:tcBorders>
              <w:top w:val="single" w:color="000000" w:sz="4" w:space="0"/>
              <w:left w:val="single" w:color="000000" w:sz="4" w:space="0"/>
              <w:right w:val="single" w:color="000000" w:sz="4" w:space="0"/>
            </w:tcBorders>
            <w:noWrap/>
            <w:vAlign w:val="center"/>
          </w:tcPr>
          <w:p w14:paraId="63C8145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55342BF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8E2CC0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C4D032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54D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right w:val="single" w:color="000000" w:sz="4" w:space="0"/>
            </w:tcBorders>
            <w:noWrap/>
            <w:vAlign w:val="center"/>
          </w:tcPr>
          <w:p w14:paraId="7081F9F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right w:val="single" w:color="000000" w:sz="4" w:space="0"/>
            </w:tcBorders>
            <w:noWrap w:val="0"/>
            <w:vAlign w:val="center"/>
          </w:tcPr>
          <w:p w14:paraId="676AFBF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74D892F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35KV（容量：1250kVA，实际原有</w:t>
            </w:r>
            <w:r>
              <w:rPr>
                <w:rFonts w:hint="eastAsia" w:ascii="Times New Roman" w:hAnsi="Times New Roman" w:eastAsia="楷体" w:cs="Times New Roman"/>
                <w:color w:val="auto"/>
                <w:sz w:val="24"/>
                <w:szCs w:val="24"/>
                <w:highlight w:val="none"/>
                <w:lang w:val="en-US" w:eastAsia="zh-CN"/>
              </w:rPr>
              <w:t>高压熔断器</w:t>
            </w:r>
            <w:r>
              <w:rPr>
                <w:rFonts w:hint="eastAsia" w:ascii="楷体" w:hAnsi="楷体" w:eastAsia="楷体" w:cs="楷体"/>
                <w:i w:val="0"/>
                <w:iCs w:val="0"/>
                <w:color w:val="auto"/>
                <w:kern w:val="0"/>
                <w:sz w:val="21"/>
                <w:szCs w:val="21"/>
                <w:u w:val="none"/>
                <w:lang w:val="en-US" w:eastAsia="zh-CN" w:bidi="ar"/>
              </w:rPr>
              <w:t>型号）</w:t>
            </w:r>
          </w:p>
        </w:tc>
        <w:tc>
          <w:tcPr>
            <w:tcW w:w="698" w:type="dxa"/>
            <w:vMerge w:val="continue"/>
            <w:tcBorders>
              <w:left w:val="single" w:color="000000" w:sz="4" w:space="0"/>
              <w:right w:val="single" w:color="000000" w:sz="4" w:space="0"/>
            </w:tcBorders>
            <w:noWrap/>
            <w:vAlign w:val="center"/>
          </w:tcPr>
          <w:p w14:paraId="2FBA16A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right w:val="single" w:color="000000" w:sz="4" w:space="0"/>
            </w:tcBorders>
            <w:noWrap/>
            <w:vAlign w:val="center"/>
          </w:tcPr>
          <w:p w14:paraId="2175E66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85AD6D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E769BD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5464778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67D7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vMerge w:val="continue"/>
            <w:tcBorders>
              <w:left w:val="single" w:color="000000" w:sz="4" w:space="0"/>
              <w:bottom w:val="single" w:color="000000" w:sz="4" w:space="0"/>
              <w:right w:val="single" w:color="000000" w:sz="4" w:space="0"/>
            </w:tcBorders>
            <w:noWrap/>
            <w:vAlign w:val="center"/>
          </w:tcPr>
          <w:p w14:paraId="6F6DEBF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454" w:type="dxa"/>
            <w:vMerge w:val="continue"/>
            <w:tcBorders>
              <w:left w:val="nil"/>
              <w:bottom w:val="single" w:color="000000" w:sz="4" w:space="0"/>
              <w:right w:val="single" w:color="000000" w:sz="4" w:space="0"/>
            </w:tcBorders>
            <w:noWrap w:val="0"/>
            <w:vAlign w:val="center"/>
          </w:tcPr>
          <w:p w14:paraId="62565F6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7A4654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35KV（容量：1600kVA，实际原有</w:t>
            </w:r>
            <w:r>
              <w:rPr>
                <w:rFonts w:hint="eastAsia" w:ascii="Times New Roman" w:hAnsi="Times New Roman" w:eastAsia="楷体" w:cs="Times New Roman"/>
                <w:color w:val="auto"/>
                <w:sz w:val="24"/>
                <w:szCs w:val="24"/>
                <w:highlight w:val="none"/>
                <w:lang w:val="en-US" w:eastAsia="zh-CN"/>
              </w:rPr>
              <w:t>高压熔断器</w:t>
            </w:r>
            <w:r>
              <w:rPr>
                <w:rFonts w:hint="eastAsia" w:ascii="楷体" w:hAnsi="楷体" w:eastAsia="楷体" w:cs="楷体"/>
                <w:i w:val="0"/>
                <w:iCs w:val="0"/>
                <w:color w:val="auto"/>
                <w:kern w:val="0"/>
                <w:sz w:val="21"/>
                <w:szCs w:val="21"/>
                <w:u w:val="none"/>
                <w:lang w:val="en-US" w:eastAsia="zh-CN" w:bidi="ar"/>
              </w:rPr>
              <w:t>型号）</w:t>
            </w:r>
          </w:p>
        </w:tc>
        <w:tc>
          <w:tcPr>
            <w:tcW w:w="698" w:type="dxa"/>
            <w:vMerge w:val="continue"/>
            <w:tcBorders>
              <w:left w:val="single" w:color="000000" w:sz="4" w:space="0"/>
              <w:bottom w:val="single" w:color="000000" w:sz="4" w:space="0"/>
              <w:right w:val="single" w:color="000000" w:sz="4" w:space="0"/>
            </w:tcBorders>
            <w:noWrap/>
            <w:vAlign w:val="center"/>
          </w:tcPr>
          <w:p w14:paraId="5D44A97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610" w:type="dxa"/>
            <w:vMerge w:val="continue"/>
            <w:tcBorders>
              <w:left w:val="single" w:color="000000" w:sz="4" w:space="0"/>
              <w:bottom w:val="single" w:color="000000" w:sz="4" w:space="0"/>
              <w:right w:val="single" w:color="000000" w:sz="4" w:space="0"/>
            </w:tcBorders>
            <w:noWrap/>
            <w:vAlign w:val="center"/>
          </w:tcPr>
          <w:p w14:paraId="2243AC9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F73219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09FD110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002A4F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1E09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4E36F7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11</w:t>
            </w:r>
          </w:p>
        </w:tc>
        <w:tc>
          <w:tcPr>
            <w:tcW w:w="2454" w:type="dxa"/>
            <w:tcBorders>
              <w:top w:val="single" w:color="000000" w:sz="4" w:space="0"/>
              <w:left w:val="nil"/>
              <w:bottom w:val="single" w:color="000000" w:sz="4" w:space="0"/>
              <w:right w:val="single" w:color="000000" w:sz="4" w:space="0"/>
            </w:tcBorders>
            <w:noWrap w:val="0"/>
            <w:vAlign w:val="center"/>
          </w:tcPr>
          <w:p w14:paraId="7F4B089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箱沿密封胶条</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0594CF10">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楷体" w:hAnsi="楷体" w:eastAsia="楷体" w:cs="楷体"/>
                <w:i w:val="0"/>
                <w:iCs w:val="0"/>
                <w:color w:val="auto"/>
                <w:kern w:val="0"/>
                <w:sz w:val="21"/>
                <w:szCs w:val="21"/>
                <w:u w:val="none"/>
                <w:lang w:val="en-US"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1E65AF4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台</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47340F1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11A7418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46F859D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4EDEB21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09DB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2572751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12</w:t>
            </w:r>
          </w:p>
        </w:tc>
        <w:tc>
          <w:tcPr>
            <w:tcW w:w="2454" w:type="dxa"/>
            <w:tcBorders>
              <w:top w:val="single" w:color="000000" w:sz="4" w:space="0"/>
              <w:left w:val="nil"/>
              <w:bottom w:val="single" w:color="000000" w:sz="4" w:space="0"/>
              <w:right w:val="single" w:color="000000" w:sz="4" w:space="0"/>
            </w:tcBorders>
            <w:noWrap w:val="0"/>
            <w:vAlign w:val="center"/>
          </w:tcPr>
          <w:p w14:paraId="3B5E150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变压器注油（25#油）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BBD560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D2D981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6EBD270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0F9262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60E0FFF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78C2961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2F44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639A89B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13</w:t>
            </w:r>
          </w:p>
        </w:tc>
        <w:tc>
          <w:tcPr>
            <w:tcW w:w="2454" w:type="dxa"/>
            <w:tcBorders>
              <w:top w:val="single" w:color="000000" w:sz="4" w:space="0"/>
              <w:left w:val="nil"/>
              <w:bottom w:val="single" w:color="000000" w:sz="4" w:space="0"/>
              <w:right w:val="single" w:color="000000" w:sz="4" w:space="0"/>
            </w:tcBorders>
            <w:noWrap w:val="0"/>
            <w:vAlign w:val="center"/>
          </w:tcPr>
          <w:p w14:paraId="361C19F4">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变压器注油（45#油）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50BA433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07FD941F">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59AD80B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3526FD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5A2E24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134C8BAB">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18C9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35A90EF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14</w:t>
            </w:r>
          </w:p>
        </w:tc>
        <w:tc>
          <w:tcPr>
            <w:tcW w:w="2454" w:type="dxa"/>
            <w:tcBorders>
              <w:top w:val="single" w:color="000000" w:sz="4" w:space="0"/>
              <w:left w:val="nil"/>
              <w:bottom w:val="single" w:color="000000" w:sz="4" w:space="0"/>
              <w:right w:val="single" w:color="000000" w:sz="4" w:space="0"/>
            </w:tcBorders>
            <w:noWrap w:val="0"/>
            <w:vAlign w:val="center"/>
          </w:tcPr>
          <w:p w14:paraId="16BE49D7">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变压器滤油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64E39D3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25#、45#克拉玛依变压器绝缘油（按照每KG报价）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75853339">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kG</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3E7C9C13">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418B4D2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6BEC8E9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716" w:type="dxa"/>
            <w:vMerge w:val="continue"/>
            <w:tcBorders>
              <w:left w:val="single" w:color="000000" w:sz="4" w:space="0"/>
              <w:right w:val="single" w:color="000000" w:sz="4" w:space="0"/>
            </w:tcBorders>
            <w:noWrap/>
            <w:vAlign w:val="center"/>
          </w:tcPr>
          <w:p w14:paraId="2FCF957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047E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41911A25">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15</w:t>
            </w:r>
          </w:p>
        </w:tc>
        <w:tc>
          <w:tcPr>
            <w:tcW w:w="2454" w:type="dxa"/>
            <w:tcBorders>
              <w:top w:val="single" w:color="000000" w:sz="4" w:space="0"/>
              <w:left w:val="nil"/>
              <w:bottom w:val="single" w:color="000000" w:sz="4" w:space="0"/>
              <w:right w:val="single" w:color="000000" w:sz="4" w:space="0"/>
            </w:tcBorders>
            <w:noWrap w:val="0"/>
            <w:vAlign w:val="center"/>
          </w:tcPr>
          <w:p w14:paraId="120AC316">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变压器器身内壁有效处理</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2ACAA2A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35KV</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50E94D5">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次</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4E58546C">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6797A8AC">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56D49BD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right w:val="single" w:color="000000" w:sz="4" w:space="0"/>
            </w:tcBorders>
            <w:noWrap/>
            <w:vAlign w:val="center"/>
          </w:tcPr>
          <w:p w14:paraId="1532724E">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342F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1FD95F0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16</w:t>
            </w:r>
          </w:p>
        </w:tc>
        <w:tc>
          <w:tcPr>
            <w:tcW w:w="2454" w:type="dxa"/>
            <w:tcBorders>
              <w:top w:val="single" w:color="000000" w:sz="4" w:space="0"/>
              <w:left w:val="nil"/>
              <w:bottom w:val="single" w:color="000000" w:sz="4" w:space="0"/>
              <w:right w:val="single" w:color="000000" w:sz="4" w:space="0"/>
            </w:tcBorders>
            <w:noWrap w:val="0"/>
            <w:vAlign w:val="center"/>
          </w:tcPr>
          <w:p w14:paraId="0695EA82">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变压器维修后试验费</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1317C51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箱变高压侧交流绝缘耐压、绝缘介损、变比、直阻、绝缘、油耐压、色谱、微水等，提供有效试验报告</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4FE3FD6">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套</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317CA1C7">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14D8035">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38B5C8A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right w:val="single" w:color="000000" w:sz="4" w:space="0"/>
            </w:tcBorders>
            <w:noWrap/>
            <w:vAlign w:val="center"/>
          </w:tcPr>
          <w:p w14:paraId="3D188531">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7641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53" w:type="dxa"/>
            <w:tcBorders>
              <w:top w:val="single" w:color="000000" w:sz="4" w:space="0"/>
              <w:left w:val="single" w:color="000000" w:sz="4" w:space="0"/>
              <w:bottom w:val="single" w:color="000000" w:sz="4" w:space="0"/>
              <w:right w:val="single" w:color="000000" w:sz="4" w:space="0"/>
            </w:tcBorders>
            <w:noWrap/>
            <w:vAlign w:val="center"/>
          </w:tcPr>
          <w:p w14:paraId="6EAE9A0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17</w:t>
            </w:r>
          </w:p>
        </w:tc>
        <w:tc>
          <w:tcPr>
            <w:tcW w:w="2454" w:type="dxa"/>
            <w:tcBorders>
              <w:top w:val="single" w:color="000000" w:sz="4" w:space="0"/>
              <w:left w:val="nil"/>
              <w:bottom w:val="single" w:color="000000" w:sz="4" w:space="0"/>
              <w:right w:val="single" w:color="000000" w:sz="4" w:space="0"/>
            </w:tcBorders>
            <w:noWrap w:val="0"/>
            <w:vAlign w:val="center"/>
          </w:tcPr>
          <w:p w14:paraId="2B9CD47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变压器附件密封胶垫检查、处理</w:t>
            </w:r>
          </w:p>
        </w:tc>
        <w:tc>
          <w:tcPr>
            <w:tcW w:w="1932" w:type="dxa"/>
            <w:tcBorders>
              <w:top w:val="single" w:color="000000" w:sz="4" w:space="0"/>
              <w:left w:val="single" w:color="000000" w:sz="4" w:space="0"/>
              <w:bottom w:val="single" w:color="000000" w:sz="4" w:space="0"/>
              <w:right w:val="single" w:color="000000" w:sz="4" w:space="0"/>
            </w:tcBorders>
            <w:noWrap/>
            <w:vAlign w:val="center"/>
          </w:tcPr>
          <w:p w14:paraId="4324080E">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4C326B03">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次</w:t>
            </w:r>
          </w:p>
        </w:tc>
        <w:tc>
          <w:tcPr>
            <w:tcW w:w="610" w:type="dxa"/>
            <w:tcBorders>
              <w:top w:val="single" w:color="000000" w:sz="4" w:space="0"/>
              <w:left w:val="single" w:color="000000" w:sz="4" w:space="0"/>
              <w:bottom w:val="single" w:color="000000" w:sz="4" w:space="0"/>
              <w:right w:val="single" w:color="000000" w:sz="4" w:space="0"/>
            </w:tcBorders>
            <w:noWrap/>
            <w:vAlign w:val="center"/>
          </w:tcPr>
          <w:p w14:paraId="57BA0238">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w:t>
            </w:r>
          </w:p>
        </w:tc>
        <w:tc>
          <w:tcPr>
            <w:tcW w:w="2076" w:type="dxa"/>
            <w:tcBorders>
              <w:top w:val="single" w:color="000000" w:sz="4" w:space="0"/>
              <w:left w:val="single" w:color="000000" w:sz="4" w:space="0"/>
              <w:bottom w:val="single" w:color="000000" w:sz="4" w:space="0"/>
              <w:right w:val="single" w:color="000000" w:sz="4" w:space="0"/>
            </w:tcBorders>
            <w:noWrap/>
            <w:vAlign w:val="center"/>
          </w:tcPr>
          <w:p w14:paraId="71986CD8">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c>
          <w:tcPr>
            <w:tcW w:w="1260" w:type="dxa"/>
            <w:tcBorders>
              <w:top w:val="single" w:color="000000" w:sz="4" w:space="0"/>
              <w:left w:val="single" w:color="000000" w:sz="4" w:space="0"/>
              <w:bottom w:val="single" w:color="000000" w:sz="4" w:space="0"/>
              <w:right w:val="nil"/>
            </w:tcBorders>
            <w:noWrap/>
            <w:vAlign w:val="center"/>
          </w:tcPr>
          <w:p w14:paraId="12EE5A2F">
            <w:pPr>
              <w:keepNext w:val="0"/>
              <w:keepLines w:val="0"/>
              <w:widowControl/>
              <w:suppressLineNumbers w:val="0"/>
              <w:jc w:val="center"/>
              <w:textAlignment w:val="center"/>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w:t>
            </w:r>
          </w:p>
        </w:tc>
        <w:tc>
          <w:tcPr>
            <w:tcW w:w="716" w:type="dxa"/>
            <w:vMerge w:val="continue"/>
            <w:tcBorders>
              <w:left w:val="single" w:color="000000" w:sz="4" w:space="0"/>
              <w:bottom w:val="single" w:color="000000" w:sz="4" w:space="0"/>
              <w:right w:val="single" w:color="000000" w:sz="4" w:space="0"/>
            </w:tcBorders>
            <w:noWrap/>
            <w:vAlign w:val="center"/>
          </w:tcPr>
          <w:p w14:paraId="3734111D">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none"/>
                <w:lang w:val="en-US" w:eastAsia="zh-CN"/>
              </w:rPr>
            </w:pPr>
          </w:p>
        </w:tc>
      </w:tr>
      <w:tr w14:paraId="4388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0499" w:type="dxa"/>
            <w:gridSpan w:val="8"/>
            <w:tcBorders>
              <w:top w:val="single" w:color="000000" w:sz="4" w:space="0"/>
              <w:left w:val="single" w:color="000000" w:sz="4" w:space="0"/>
              <w:bottom w:val="single" w:color="000000" w:sz="4" w:space="0"/>
              <w:right w:val="single" w:color="000000" w:sz="4" w:space="0"/>
            </w:tcBorders>
            <w:noWrap/>
            <w:vAlign w:val="center"/>
          </w:tcPr>
          <w:p w14:paraId="5349F96A">
            <w:pPr>
              <w:keepNext w:val="0"/>
              <w:keepLines w:val="0"/>
              <w:widowControl/>
              <w:suppressLineNumbers w:val="0"/>
              <w:jc w:val="center"/>
              <w:textAlignment w:val="center"/>
              <w:rPr>
                <w:rFonts w:hint="eastAsia" w:ascii="Times New Roman" w:hAnsi="Times New Roman" w:eastAsia="楷体" w:cs="Times New Roman"/>
                <w:color w:val="auto"/>
                <w:sz w:val="24"/>
                <w:szCs w:val="24"/>
                <w:highlight w:val="yellow"/>
                <w:lang w:val="en-US" w:eastAsia="zh-CN"/>
              </w:rPr>
            </w:pPr>
            <w:r>
              <w:rPr>
                <w:rFonts w:hint="eastAsia" w:ascii="宋体" w:hAnsi="宋体" w:eastAsia="宋体" w:cs="宋体"/>
                <w:b/>
                <w:bCs/>
                <w:color w:val="auto"/>
                <w:kern w:val="0"/>
                <w:sz w:val="24"/>
                <w:szCs w:val="24"/>
                <w:highlight w:val="none"/>
                <w:lang w:val="en-US" w:eastAsia="zh-CN" w:bidi="ar"/>
              </w:rPr>
              <w:t>检修、维修单价（不包含维修件回收）</w:t>
            </w:r>
            <w:r>
              <w:rPr>
                <w:rFonts w:hint="eastAsia" w:ascii="Times New Roman" w:hAnsi="Times New Roman" w:eastAsia="楷体" w:cs="Times New Roman"/>
                <w:b/>
                <w:bCs/>
                <w:color w:val="auto"/>
                <w:sz w:val="24"/>
                <w:szCs w:val="24"/>
                <w:highlight w:val="none"/>
                <w:lang w:val="en-US" w:eastAsia="zh-CN"/>
              </w:rPr>
              <w:t>合计（元）：        元； 大写：</w:t>
            </w:r>
          </w:p>
        </w:tc>
      </w:tr>
    </w:tbl>
    <w:p w14:paraId="26DC41AF">
      <w:pPr>
        <w:pStyle w:val="2"/>
        <w:spacing w:before="0" w:after="0" w:line="240" w:lineRule="auto"/>
        <w:rPr>
          <w:color w:val="0000FF"/>
          <w:highlight w:val="none"/>
        </w:rPr>
      </w:pPr>
    </w:p>
    <w:p w14:paraId="4489FF0E"/>
    <w:p w14:paraId="4793567A">
      <w:pPr>
        <w:spacing w:line="400" w:lineRule="exact"/>
        <w:ind w:firstLine="420" w:firstLineChars="200"/>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（2）若我方最终报价被采购人接受，本最终报价书自合同签订之日至合同履行完为止保持有效。</w:t>
      </w:r>
    </w:p>
    <w:p w14:paraId="56065682">
      <w:pPr>
        <w:spacing w:line="400" w:lineRule="exact"/>
        <w:rPr>
          <w:rFonts w:ascii="Times New Roman" w:hAnsi="Times New Roman" w:cs="Times New Roman"/>
          <w:color w:val="auto"/>
        </w:rPr>
      </w:pPr>
    </w:p>
    <w:p w14:paraId="25D187E3">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 </w:t>
      </w:r>
    </w:p>
    <w:p w14:paraId="740B722B">
      <w:pPr>
        <w:tabs>
          <w:tab w:val="left" w:pos="4605"/>
        </w:tabs>
        <w:adjustRightInd w:val="0"/>
        <w:snapToGrid w:val="0"/>
        <w:spacing w:line="400" w:lineRule="exact"/>
        <w:ind w:firstLine="420"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w:t>
      </w:r>
    </w:p>
    <w:p w14:paraId="29AD9E44">
      <w:pPr>
        <w:spacing w:line="400" w:lineRule="exact"/>
        <w:ind w:firstLine="420"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21E73FB3">
      <w:pPr>
        <w:spacing w:line="400" w:lineRule="exact"/>
        <w:ind w:firstLine="422" w:firstLineChars="200"/>
        <w:rPr>
          <w:rFonts w:ascii="Times New Roman" w:hAnsi="Times New Roman" w:eastAsia="楷体" w:cs="Times New Roman"/>
          <w:b/>
          <w:color w:val="auto"/>
          <w:szCs w:val="21"/>
        </w:rPr>
      </w:pPr>
    </w:p>
    <w:p w14:paraId="46D0831B">
      <w:pPr>
        <w:spacing w:line="400" w:lineRule="exact"/>
        <w:ind w:firstLine="422" w:firstLineChars="200"/>
        <w:rPr>
          <w:rFonts w:ascii="Times New Roman" w:hAnsi="Times New Roman" w:eastAsia="楷体" w:cs="Times New Roman"/>
          <w:b/>
          <w:color w:val="auto"/>
          <w:szCs w:val="21"/>
        </w:rPr>
      </w:pPr>
    </w:p>
    <w:p w14:paraId="517942D7">
      <w:pPr>
        <w:spacing w:line="400" w:lineRule="exact"/>
        <w:ind w:firstLine="422" w:firstLineChars="200"/>
        <w:rPr>
          <w:rFonts w:ascii="Times New Roman" w:hAnsi="Times New Roman" w:eastAsia="仿宋_GB2312" w:cs="Times New Roman"/>
          <w:color w:val="auto"/>
          <w:sz w:val="28"/>
          <w:szCs w:val="20"/>
        </w:rPr>
        <w:sectPr>
          <w:footerReference r:id="rId5" w:type="default"/>
          <w:pgSz w:w="11907" w:h="16840"/>
          <w:pgMar w:top="1418" w:right="1418" w:bottom="1418" w:left="1701" w:header="851" w:footer="850" w:gutter="0"/>
          <w:cols w:space="720" w:num="1"/>
          <w:docGrid w:linePitch="381" w:charSpace="-5735"/>
        </w:sectPr>
      </w:pPr>
      <w:r>
        <w:rPr>
          <w:rFonts w:ascii="Times New Roman" w:hAnsi="Times New Roman" w:eastAsia="仿宋_GB2312" w:cs="Times New Roman"/>
          <w:b/>
          <w:color w:val="auto"/>
          <w:szCs w:val="21"/>
        </w:rPr>
        <w:t>（备注：此表"最终报价确认书"无需装订在谈判申请文件中，最终报价由法定代表人或委托代理人根据实际谈判情况在谈判现场亲笔填报</w:t>
      </w:r>
      <w:r>
        <w:rPr>
          <w:rFonts w:hint="eastAsia" w:ascii="Times New Roman" w:hAnsi="Times New Roman" w:eastAsia="仿宋_GB2312" w:cs="Times New Roman"/>
          <w:b/>
          <w:color w:val="auto"/>
          <w:szCs w:val="21"/>
        </w:rPr>
        <w:t>（或在指定时间将签字或盖章版最终报价上传至竞谈系统）</w:t>
      </w:r>
      <w:r>
        <w:rPr>
          <w:rFonts w:ascii="Times New Roman" w:hAnsi="Times New Roman" w:eastAsia="仿宋_GB2312" w:cs="Times New Roman"/>
          <w:b/>
          <w:color w:val="auto"/>
          <w:szCs w:val="21"/>
        </w:rPr>
        <w:t>。本最终报价书只能单面打印。）</w:t>
      </w:r>
    </w:p>
    <w:p w14:paraId="51E2FAAC">
      <w:pPr>
        <w:keepNext/>
        <w:keepLines/>
        <w:spacing w:line="400" w:lineRule="exact"/>
        <w:ind w:firstLine="484" w:firstLineChars="200"/>
        <w:jc w:val="center"/>
        <w:outlineLvl w:val="1"/>
        <w:rPr>
          <w:rFonts w:ascii="Times New Roman" w:hAnsi="Times New Roman" w:eastAsia="楷体" w:cs="Times New Roman"/>
          <w:b/>
          <w:bCs/>
          <w:color w:val="auto"/>
          <w:sz w:val="24"/>
          <w:szCs w:val="24"/>
        </w:rPr>
      </w:pPr>
      <w:bookmarkStart w:id="84" w:name="_Toc14674"/>
      <w:bookmarkStart w:id="85" w:name="_Toc6299"/>
      <w:r>
        <w:rPr>
          <w:rFonts w:ascii="Times New Roman" w:hAnsi="Times New Roman" w:eastAsia="楷体" w:cs="Times New Roman"/>
          <w:b/>
          <w:bCs/>
          <w:color w:val="auto"/>
          <w:sz w:val="24"/>
          <w:szCs w:val="24"/>
        </w:rPr>
        <w:t>四、法定代表人身份证明书</w:t>
      </w:r>
      <w:r>
        <w:rPr>
          <w:rFonts w:ascii="Times New Roman" w:hAnsi="Times New Roman" w:eastAsia="楷体" w:cs="Times New Roman"/>
          <w:b/>
          <w:bCs/>
          <w:color w:val="auto"/>
          <w:szCs w:val="21"/>
        </w:rPr>
        <w:t>（“文件格式”）</w:t>
      </w:r>
      <w:bookmarkEnd w:id="84"/>
      <w:bookmarkEnd w:id="85"/>
    </w:p>
    <w:p w14:paraId="21D4C645">
      <w:pPr>
        <w:adjustRightInd w:val="0"/>
        <w:snapToGrid w:val="0"/>
        <w:spacing w:line="400" w:lineRule="exact"/>
        <w:ind w:firstLine="424" w:firstLineChars="200"/>
        <w:jc w:val="center"/>
        <w:rPr>
          <w:rFonts w:ascii="Times New Roman" w:hAnsi="Times New Roman" w:eastAsia="楷体" w:cs="Times New Roman"/>
          <w:color w:val="auto"/>
          <w:szCs w:val="21"/>
        </w:rPr>
      </w:pPr>
    </w:p>
    <w:p w14:paraId="5DDEF4BD">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单位名称：</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14:paraId="3C9E432B">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单位性质：</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14:paraId="049E25C9">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地址：</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14:paraId="6FBAF141">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成立时间：</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年</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月</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日</w:t>
      </w:r>
    </w:p>
    <w:p w14:paraId="4C6E054F">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经营期限：</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 </w:t>
      </w:r>
    </w:p>
    <w:p w14:paraId="084FE195">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姓名：</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性别：</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年龄：</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职务：</w:t>
      </w:r>
      <w:r>
        <w:rPr>
          <w:rFonts w:ascii="Times New Roman" w:hAnsi="Times New Roman" w:eastAsia="楷体" w:cs="Times New Roman"/>
          <w:color w:val="auto"/>
          <w:szCs w:val="21"/>
          <w:u w:val="single"/>
        </w:rPr>
        <w:t xml:space="preserve">       </w:t>
      </w:r>
    </w:p>
    <w:p w14:paraId="49124B98">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系</w:t>
      </w:r>
      <w:r>
        <w:rPr>
          <w:rFonts w:ascii="Times New Roman" w:hAnsi="Times New Roman" w:eastAsia="楷体" w:cs="Times New Roman"/>
          <w:color w:val="auto"/>
          <w:szCs w:val="21"/>
          <w:u w:val="single"/>
        </w:rPr>
        <w:t xml:space="preserve">             （谈判申请单位名称）            </w:t>
      </w:r>
      <w:r>
        <w:rPr>
          <w:rFonts w:ascii="Times New Roman" w:hAnsi="Times New Roman" w:eastAsia="楷体" w:cs="Times New Roman"/>
          <w:color w:val="auto"/>
          <w:szCs w:val="21"/>
        </w:rPr>
        <w:t>的法定代表人。</w:t>
      </w:r>
    </w:p>
    <w:p w14:paraId="74A71834">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特此证明。</w:t>
      </w:r>
    </w:p>
    <w:p w14:paraId="09971895">
      <w:pPr>
        <w:spacing w:line="400" w:lineRule="exact"/>
        <w:ind w:firstLine="424" w:firstLineChars="200"/>
        <w:rPr>
          <w:rFonts w:ascii="Times New Roman" w:hAnsi="Times New Roman" w:eastAsia="楷体" w:cs="Times New Roman"/>
          <w:color w:val="auto"/>
          <w:szCs w:val="21"/>
        </w:rPr>
      </w:pPr>
    </w:p>
    <w:p w14:paraId="22CD59D0">
      <w:pPr>
        <w:spacing w:line="400" w:lineRule="exact"/>
        <w:ind w:firstLine="424" w:firstLineChars="200"/>
        <w:rPr>
          <w:rFonts w:ascii="Times New Roman" w:hAnsi="Times New Roman" w:eastAsia="楷体" w:cs="Times New Roman"/>
          <w:color w:val="auto"/>
          <w:szCs w:val="21"/>
        </w:rPr>
      </w:pPr>
    </w:p>
    <w:p w14:paraId="502F536F">
      <w:pPr>
        <w:spacing w:line="400" w:lineRule="exact"/>
        <w:ind w:firstLine="424"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 xml:space="preserve">(盖章) </w:t>
      </w:r>
    </w:p>
    <w:p w14:paraId="433D8B1C">
      <w:pPr>
        <w:spacing w:line="400" w:lineRule="exact"/>
        <w:ind w:firstLine="424"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 xml:space="preserve">                                             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16FC127F">
      <w:pPr>
        <w:spacing w:line="400" w:lineRule="exact"/>
        <w:ind w:firstLine="424" w:firstLineChars="200"/>
        <w:rPr>
          <w:rFonts w:ascii="Times New Roman" w:hAnsi="Times New Roman" w:eastAsia="楷体" w:cs="Times New Roman"/>
          <w:b/>
          <w:color w:val="auto"/>
          <w:szCs w:val="21"/>
        </w:rPr>
      </w:pPr>
      <w:bookmarkStart w:id="86" w:name="_Toc332207522"/>
      <w:r>
        <w:rPr>
          <w:rFonts w:ascii="Times New Roman" w:hAnsi="Times New Roman" w:eastAsia="楷体" w:cs="Times New Roman"/>
          <w:b/>
          <w:color w:val="auto"/>
          <w:szCs w:val="21"/>
        </w:rPr>
        <w:t>附：法定代表人身份证复印件如下</w:t>
      </w:r>
      <w:bookmarkEnd w:id="86"/>
    </w:p>
    <w:p w14:paraId="5B755F9F">
      <w:pPr>
        <w:spacing w:line="400" w:lineRule="exact"/>
        <w:ind w:firstLine="564" w:firstLineChars="200"/>
        <w:rPr>
          <w:rFonts w:ascii="Times New Roman" w:hAnsi="Times New Roman" w:eastAsia="楷体" w:cs="Times New Roman"/>
          <w:b/>
          <w:color w:val="auto"/>
          <w:sz w:val="28"/>
          <w:szCs w:val="21"/>
        </w:rPr>
      </w:pPr>
      <w:r>
        <w:rPr>
          <w:rFonts w:ascii="Times New Roman" w:hAnsi="Times New Roman" w:eastAsia="楷体" w:cs="Times New Roman"/>
          <w:color w:val="auto"/>
          <w:sz w:val="28"/>
          <w:szCs w:val="20"/>
        </w:rPr>
        <mc:AlternateContent>
          <mc:Choice Requires="wps">
            <w:drawing>
              <wp:anchor distT="0" distB="0" distL="114300" distR="114300" simplePos="0" relativeHeight="251659264" behindDoc="1" locked="0" layoutInCell="1" allowOverlap="1">
                <wp:simplePos x="0" y="0"/>
                <wp:positionH relativeFrom="column">
                  <wp:posOffset>238125</wp:posOffset>
                </wp:positionH>
                <wp:positionV relativeFrom="paragraph">
                  <wp:posOffset>179705</wp:posOffset>
                </wp:positionV>
                <wp:extent cx="4766310" cy="1918335"/>
                <wp:effectExtent l="0" t="0" r="15240" b="24765"/>
                <wp:wrapNone/>
                <wp:docPr id="5" name="矩形: 圆角 5"/>
                <wp:cNvGraphicFramePr/>
                <a:graphic xmlns:a="http://schemas.openxmlformats.org/drawingml/2006/main">
                  <a:graphicData uri="http://schemas.microsoft.com/office/word/2010/wordprocessingShape">
                    <wps:wsp>
                      <wps:cNvSpPr>
                        <a:spLocks noChangeArrowheads="1"/>
                      </wps:cNvSpPr>
                      <wps:spPr bwMode="auto">
                        <a:xfrm>
                          <a:off x="0" y="0"/>
                          <a:ext cx="4766310" cy="1918335"/>
                        </a:xfrm>
                        <a:prstGeom prst="roundRect">
                          <a:avLst>
                            <a:gd name="adj" fmla="val 16667"/>
                          </a:avLst>
                        </a:prstGeom>
                        <a:solidFill>
                          <a:srgbClr val="FFFFFF"/>
                        </a:solidFill>
                        <a:ln w="9525" cmpd="sng">
                          <a:solidFill>
                            <a:srgbClr val="000000"/>
                          </a:solidFill>
                          <a:prstDash val="sysDot"/>
                          <a:round/>
                        </a:ln>
                      </wps:spPr>
                      <wps:txbx>
                        <w:txbxContent>
                          <w:p w14:paraId="4FAE6724">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wps:txbx>
                      <wps:bodyPr rot="0" vert="horz" wrap="square" lIns="91440" tIns="45720" rIns="91440" bIns="45720" anchor="t" anchorCtr="0" upright="1">
                        <a:noAutofit/>
                      </wps:bodyPr>
                    </wps:wsp>
                  </a:graphicData>
                </a:graphic>
              </wp:anchor>
            </w:drawing>
          </mc:Choice>
          <mc:Fallback>
            <w:pict>
              <v:roundrect id="矩形: 圆角 5" o:spid="_x0000_s1026" o:spt="2" style="position:absolute;left:0pt;margin-left:18.75pt;margin-top:14.15pt;height:151.05pt;width:375.3pt;z-index:-251657216;mso-width-relative:page;mso-height-relative:page;" fillcolor="#FFFFFF" filled="t" stroked="t" coordsize="21600,21600" arcsize="0.166666666666667" o:gfxdata="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Sx0zYAAAACQEAAA8AAAAAAAAAAQAgAAAAIgAAAGRycy9kb3du&#10;cmV2LnhtbFBLAQIUABQAAAAIAIdO4kD+RGSwcQIAAMwEAAAOAAAAAAAAAAEAIAAAACcBAABkcnMv&#10;ZTJvRG9jLnhtbFBLBQYAAAAABgAGAFkBAAAKBgAAAAA=&#10;">
                <v:fill on="t" focussize="0,0"/>
                <v:stroke color="#000000" joinstyle="round" dashstyle="1 1"/>
                <v:imagedata o:title=""/>
                <o:lock v:ext="edit" aspectratio="f"/>
                <v:textbox>
                  <w:txbxContent>
                    <w:p w14:paraId="4FAE6724">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v:textbox>
              </v:roundrect>
            </w:pict>
          </mc:Fallback>
        </mc:AlternateContent>
      </w:r>
    </w:p>
    <w:p w14:paraId="1B0A3305">
      <w:pPr>
        <w:spacing w:line="400" w:lineRule="exact"/>
        <w:ind w:firstLine="484" w:firstLineChars="200"/>
        <w:jc w:val="right"/>
        <w:rPr>
          <w:rFonts w:ascii="Times New Roman" w:hAnsi="Times New Roman" w:eastAsia="楷体" w:cs="Times New Roman"/>
          <w:color w:val="auto"/>
          <w:sz w:val="24"/>
          <w:szCs w:val="24"/>
        </w:rPr>
      </w:pPr>
    </w:p>
    <w:p w14:paraId="2EBB1627">
      <w:pPr>
        <w:keepNext/>
        <w:keepLines/>
        <w:spacing w:line="400" w:lineRule="exact"/>
        <w:ind w:firstLine="644" w:firstLineChars="200"/>
        <w:jc w:val="center"/>
        <w:outlineLvl w:val="1"/>
        <w:rPr>
          <w:rFonts w:ascii="Times New Roman" w:hAnsi="Times New Roman" w:eastAsia="楷体" w:cs="Times New Roman"/>
          <w:b/>
          <w:bCs/>
          <w:color w:val="auto"/>
          <w:sz w:val="24"/>
          <w:szCs w:val="24"/>
        </w:rPr>
      </w:pPr>
      <w:r>
        <w:rPr>
          <w:rFonts w:ascii="Times New Roman" w:hAnsi="Times New Roman" w:eastAsia="楷体" w:cs="Times New Roman"/>
          <w:b/>
          <w:bCs/>
          <w:color w:val="auto"/>
          <w:sz w:val="32"/>
          <w:szCs w:val="32"/>
        </w:rPr>
        <w:br w:type="page"/>
      </w:r>
      <w:bookmarkStart w:id="87" w:name="_Toc27027"/>
      <w:bookmarkStart w:id="88" w:name="_Toc9692"/>
      <w:r>
        <w:rPr>
          <w:rFonts w:ascii="Times New Roman" w:hAnsi="Times New Roman" w:eastAsia="楷体" w:cs="Times New Roman"/>
          <w:b/>
          <w:bCs/>
          <w:color w:val="auto"/>
          <w:sz w:val="24"/>
          <w:szCs w:val="24"/>
        </w:rPr>
        <w:t>五、法定代表人授权委托书</w:t>
      </w:r>
      <w:r>
        <w:rPr>
          <w:rFonts w:ascii="Times New Roman" w:hAnsi="Times New Roman" w:eastAsia="楷体" w:cs="Times New Roman"/>
          <w:b/>
          <w:bCs/>
          <w:color w:val="auto"/>
          <w:szCs w:val="21"/>
        </w:rPr>
        <w:t>（“文件格式”）</w:t>
      </w:r>
      <w:bookmarkEnd w:id="87"/>
      <w:bookmarkEnd w:id="88"/>
    </w:p>
    <w:p w14:paraId="506706DE">
      <w:pPr>
        <w:spacing w:line="400" w:lineRule="exact"/>
        <w:ind w:firstLine="424" w:firstLineChars="200"/>
        <w:jc w:val="center"/>
        <w:rPr>
          <w:rFonts w:ascii="Times New Roman" w:hAnsi="Times New Roman" w:eastAsia="楷体" w:cs="Times New Roman"/>
          <w:color w:val="auto"/>
          <w:szCs w:val="21"/>
        </w:rPr>
      </w:pPr>
    </w:p>
    <w:p w14:paraId="64F1D18A">
      <w:pPr>
        <w:tabs>
          <w:tab w:val="center" w:pos="4535"/>
        </w:tabs>
        <w:adjustRightIn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r>
        <w:rPr>
          <w:rFonts w:ascii="Times New Roman" w:hAnsi="Times New Roman" w:eastAsia="楷体" w:cs="Times New Roman"/>
          <w:b/>
          <w:color w:val="auto"/>
          <w:szCs w:val="21"/>
        </w:rPr>
        <w:tab/>
      </w:r>
    </w:p>
    <w:p w14:paraId="5934AE74">
      <w:pPr>
        <w:adjustRightInd w:val="0"/>
        <w:snapToGrid w:val="0"/>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我单位</w:t>
      </w:r>
      <w:r>
        <w:rPr>
          <w:rFonts w:ascii="Times New Roman" w:hAnsi="Times New Roman" w:eastAsia="楷体" w:cs="Times New Roman"/>
          <w:color w:val="auto"/>
          <w:szCs w:val="21"/>
          <w:u w:val="single"/>
        </w:rPr>
        <w:t xml:space="preserve">    （谈判申请单位名称）   </w:t>
      </w:r>
      <w:r>
        <w:rPr>
          <w:rFonts w:ascii="Times New Roman" w:hAnsi="Times New Roman" w:eastAsia="楷体" w:cs="Times New Roman"/>
          <w:color w:val="auto"/>
          <w:szCs w:val="21"/>
        </w:rPr>
        <w:t>是中华人民共和国合法企业，注册地址</w:t>
      </w:r>
      <w:r>
        <w:rPr>
          <w:rFonts w:ascii="Times New Roman" w:hAnsi="Times New Roman" w:eastAsia="楷体" w:cs="Times New Roman"/>
          <w:color w:val="auto"/>
          <w:szCs w:val="21"/>
          <w:u w:val="single"/>
        </w:rPr>
        <w:t xml:space="preserve">                   </w:t>
      </w:r>
      <w:r>
        <w:rPr>
          <w:rFonts w:ascii="Times New Roman" w:hAnsi="Times New Roman" w:eastAsia="楷体" w:cs="Times New Roman"/>
          <w:color w:val="auto"/>
          <w:szCs w:val="21"/>
        </w:rPr>
        <w:t>。</w:t>
      </w:r>
      <w:r>
        <w:rPr>
          <w:rFonts w:ascii="Times New Roman" w:hAnsi="Times New Roman" w:eastAsia="楷体" w:cs="Times New Roman"/>
          <w:color w:val="auto"/>
          <w:szCs w:val="21"/>
          <w:u w:val="single"/>
        </w:rPr>
        <w:t xml:space="preserve">    （法定代表人姓名）  </w:t>
      </w:r>
      <w:r>
        <w:rPr>
          <w:rFonts w:ascii="Times New Roman" w:hAnsi="Times New Roman" w:eastAsia="楷体" w:cs="Times New Roman"/>
          <w:color w:val="auto"/>
          <w:szCs w:val="21"/>
        </w:rPr>
        <w:t>特授权</w:t>
      </w:r>
      <w:r>
        <w:rPr>
          <w:rFonts w:ascii="Times New Roman" w:hAnsi="Times New Roman" w:eastAsia="楷体" w:cs="Times New Roman"/>
          <w:color w:val="auto"/>
          <w:szCs w:val="21"/>
          <w:u w:val="single"/>
        </w:rPr>
        <w:t xml:space="preserve">     （被授权人姓名及身份证代码）        </w:t>
      </w:r>
      <w:r>
        <w:rPr>
          <w:rFonts w:ascii="Times New Roman" w:hAnsi="Times New Roman" w:eastAsia="楷体" w:cs="Times New Roman"/>
          <w:color w:val="auto"/>
          <w:szCs w:val="21"/>
        </w:rPr>
        <w:t>代表我单位全权办理对上述项目的竞争性谈判、确定最终报价、签约等具体工作，并签署全部有关的文件、协议及合同。我单位对被授权人确定的最终报价及签名负全部责任。在撤消授权的书面通知以前，本授权书一直有效。被授权人签署的所有文件（在授权书有效期内签署的）不因授权的撤消而失效。</w:t>
      </w:r>
    </w:p>
    <w:p w14:paraId="376E744A">
      <w:pPr>
        <w:spacing w:line="400" w:lineRule="exact"/>
        <w:ind w:firstLine="424" w:firstLineChars="200"/>
        <w:rPr>
          <w:rFonts w:ascii="Times New Roman" w:hAnsi="Times New Roman" w:eastAsia="楷体" w:cs="Times New Roman"/>
          <w:color w:val="auto"/>
          <w:szCs w:val="21"/>
        </w:rPr>
      </w:pPr>
    </w:p>
    <w:p w14:paraId="3266909B">
      <w:pPr>
        <w:adjustRightInd w:val="0"/>
        <w:snapToGrid w:val="0"/>
        <w:spacing w:line="400" w:lineRule="exact"/>
        <w:ind w:firstLine="424" w:firstLineChars="200"/>
        <w:jc w:val="right"/>
        <w:rPr>
          <w:rFonts w:ascii="Times New Roman" w:hAnsi="Times New Roman" w:eastAsia="楷体" w:cs="Times New Roman"/>
          <w:color w:val="auto"/>
          <w:szCs w:val="21"/>
        </w:rPr>
      </w:pPr>
    </w:p>
    <w:p w14:paraId="23EEC804">
      <w:pPr>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(盖单位公章) </w:t>
      </w:r>
    </w:p>
    <w:p w14:paraId="76158594">
      <w:pPr>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w:t>
      </w:r>
      <w:r>
        <w:rPr>
          <w:rFonts w:ascii="Times New Roman" w:hAnsi="Times New Roman" w:eastAsia="楷体" w:cs="Times New Roman"/>
          <w:color w:val="auto"/>
          <w:szCs w:val="21"/>
          <w:u w:val="single"/>
        </w:rPr>
        <w:t xml:space="preserve">             </w:t>
      </w:r>
      <w:r>
        <w:rPr>
          <w:rFonts w:ascii="Times New Roman" w:hAnsi="Times New Roman" w:eastAsia="楷体" w:cs="Times New Roman"/>
          <w:b/>
          <w:color w:val="auto"/>
          <w:szCs w:val="21"/>
          <w:u w:val="single"/>
        </w:rPr>
        <w:t>（签字</w:t>
      </w:r>
      <w:r>
        <w:rPr>
          <w:rFonts w:hint="eastAsia" w:ascii="Times New Roman" w:hAnsi="Times New Roman" w:eastAsia="楷体" w:cs="Times New Roman"/>
          <w:b/>
          <w:color w:val="auto"/>
          <w:szCs w:val="21"/>
          <w:u w:val="single"/>
          <w:lang w:val="en-US" w:eastAsia="zh-CN"/>
        </w:rPr>
        <w:t>或</w:t>
      </w:r>
      <w:r>
        <w:rPr>
          <w:rFonts w:ascii="Times New Roman" w:hAnsi="Times New Roman" w:eastAsia="楷体" w:cs="Times New Roman"/>
          <w:b/>
          <w:color w:val="auto"/>
          <w:szCs w:val="21"/>
          <w:u w:val="single"/>
        </w:rPr>
        <w:t>盖章）</w:t>
      </w:r>
    </w:p>
    <w:p w14:paraId="14F431D3">
      <w:pPr>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委托代理人：</w:t>
      </w:r>
      <w:r>
        <w:rPr>
          <w:rFonts w:ascii="Times New Roman" w:hAnsi="Times New Roman" w:eastAsia="楷体" w:cs="Times New Roman"/>
          <w:color w:val="auto"/>
          <w:szCs w:val="21"/>
          <w:u w:val="single"/>
        </w:rPr>
        <w:t xml:space="preserve">             （签字</w:t>
      </w:r>
      <w:r>
        <w:rPr>
          <w:rFonts w:hint="eastAsia" w:ascii="Times New Roman" w:hAnsi="Times New Roman" w:eastAsia="楷体" w:cs="Times New Roman"/>
          <w:color w:val="auto"/>
          <w:szCs w:val="21"/>
          <w:u w:val="single"/>
          <w:lang w:val="en-US" w:eastAsia="zh-CN"/>
        </w:rPr>
        <w:t>或</w:t>
      </w:r>
      <w:r>
        <w:rPr>
          <w:rFonts w:ascii="Times New Roman" w:hAnsi="Times New Roman" w:eastAsia="楷体" w:cs="Times New Roman"/>
          <w:color w:val="auto"/>
          <w:szCs w:val="21"/>
          <w:u w:val="single"/>
        </w:rPr>
        <w:t>盖章）</w:t>
      </w:r>
    </w:p>
    <w:p w14:paraId="761F7FFB">
      <w:pPr>
        <w:wordWrap w:val="0"/>
        <w:adjustRightInd w:val="0"/>
        <w:snapToGrid w:val="0"/>
        <w:spacing w:line="400" w:lineRule="exact"/>
        <w:ind w:firstLine="424" w:firstLineChars="200"/>
        <w:jc w:val="right"/>
        <w:rPr>
          <w:rFonts w:ascii="Times New Roman" w:hAnsi="Times New Roman" w:cs="Times New Roman"/>
          <w:color w:val="auto"/>
          <w:u w:val="single"/>
        </w:rPr>
      </w:pPr>
      <w:r>
        <w:rPr>
          <w:rFonts w:ascii="Times New Roman" w:hAnsi="Times New Roman" w:eastAsia="楷体" w:cs="Times New Roman"/>
          <w:color w:val="auto"/>
          <w:szCs w:val="21"/>
        </w:rPr>
        <w:t>委托代理人职务：</w:t>
      </w:r>
      <w:r>
        <w:rPr>
          <w:rFonts w:ascii="Times New Roman" w:hAnsi="Times New Roman" w:eastAsia="楷体" w:cs="Times New Roman"/>
          <w:color w:val="auto"/>
          <w:szCs w:val="21"/>
          <w:u w:val="single"/>
        </w:rPr>
        <w:t xml:space="preserve">                       </w:t>
      </w:r>
    </w:p>
    <w:p w14:paraId="3105281E">
      <w:pPr>
        <w:adjustRightInd w:val="0"/>
        <w:snapToGrid w:val="0"/>
        <w:spacing w:line="400" w:lineRule="exact"/>
        <w:ind w:firstLine="424" w:firstLineChars="200"/>
        <w:jc w:val="right"/>
        <w:rPr>
          <w:rFonts w:ascii="Times New Roman" w:hAnsi="Times New Roman" w:eastAsia="楷体" w:cs="Times New Roman"/>
          <w:color w:val="auto"/>
          <w:szCs w:val="21"/>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5CAB0CE1">
      <w:pPr>
        <w:spacing w:line="400" w:lineRule="exact"/>
        <w:ind w:firstLine="424" w:firstLineChars="200"/>
        <w:rPr>
          <w:rFonts w:ascii="Times New Roman" w:hAnsi="Times New Roman" w:eastAsia="楷体" w:cs="Times New Roman"/>
          <w:b/>
          <w:color w:val="auto"/>
          <w:szCs w:val="21"/>
        </w:rPr>
      </w:pPr>
    </w:p>
    <w:p w14:paraId="1427BDDB">
      <w:pPr>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附：授权委托代理人身份证复印件如下</w:t>
      </w:r>
    </w:p>
    <w:p w14:paraId="1627BD7D">
      <w:pPr>
        <w:adjustRightInd w:val="0"/>
        <w:snapToGrid w:val="0"/>
        <w:spacing w:line="400" w:lineRule="exact"/>
        <w:ind w:firstLine="564" w:firstLineChars="200"/>
        <w:rPr>
          <w:rFonts w:ascii="Times New Roman" w:hAnsi="Times New Roman" w:eastAsia="楷体" w:cs="Times New Roman"/>
          <w:color w:val="auto"/>
          <w:szCs w:val="21"/>
        </w:rPr>
      </w:pPr>
      <w:r>
        <w:rPr>
          <w:rFonts w:ascii="Times New Roman" w:hAnsi="Times New Roman" w:eastAsia="楷体" w:cs="Times New Roman"/>
          <w:color w:val="auto"/>
          <w:sz w:val="28"/>
          <w:szCs w:val="20"/>
        </w:rPr>
        <mc:AlternateContent>
          <mc:Choice Requires="wps">
            <w:drawing>
              <wp:anchor distT="0" distB="0" distL="114300" distR="114300" simplePos="0" relativeHeight="251660288" behindDoc="1" locked="0" layoutInCell="1" allowOverlap="1">
                <wp:simplePos x="0" y="0"/>
                <wp:positionH relativeFrom="column">
                  <wp:posOffset>286385</wp:posOffset>
                </wp:positionH>
                <wp:positionV relativeFrom="paragraph">
                  <wp:posOffset>134620</wp:posOffset>
                </wp:positionV>
                <wp:extent cx="4766310" cy="1918335"/>
                <wp:effectExtent l="0" t="0" r="15240" b="24765"/>
                <wp:wrapNone/>
                <wp:docPr id="4" name="矩形: 圆角 4"/>
                <wp:cNvGraphicFramePr/>
                <a:graphic xmlns:a="http://schemas.openxmlformats.org/drawingml/2006/main">
                  <a:graphicData uri="http://schemas.microsoft.com/office/word/2010/wordprocessingShape">
                    <wps:wsp>
                      <wps:cNvSpPr>
                        <a:spLocks noChangeArrowheads="1"/>
                      </wps:cNvSpPr>
                      <wps:spPr bwMode="auto">
                        <a:xfrm>
                          <a:off x="0" y="0"/>
                          <a:ext cx="4766310" cy="1918335"/>
                        </a:xfrm>
                        <a:prstGeom prst="roundRect">
                          <a:avLst>
                            <a:gd name="adj" fmla="val 16667"/>
                          </a:avLst>
                        </a:prstGeom>
                        <a:solidFill>
                          <a:srgbClr val="FFFFFF"/>
                        </a:solidFill>
                        <a:ln w="9525" cmpd="sng">
                          <a:solidFill>
                            <a:srgbClr val="000000"/>
                          </a:solidFill>
                          <a:prstDash val="sysDot"/>
                          <a:round/>
                        </a:ln>
                      </wps:spPr>
                      <wps:txbx>
                        <w:txbxContent>
                          <w:p w14:paraId="7AA29CF5">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wps:txbx>
                      <wps:bodyPr rot="0" vert="horz" wrap="square" lIns="91440" tIns="45720" rIns="91440" bIns="45720" anchor="t" anchorCtr="0" upright="1">
                        <a:noAutofit/>
                      </wps:bodyPr>
                    </wps:wsp>
                  </a:graphicData>
                </a:graphic>
              </wp:anchor>
            </w:drawing>
          </mc:Choice>
          <mc:Fallback>
            <w:pict>
              <v:roundrect id="矩形: 圆角 4" o:spid="_x0000_s1026" o:spt="2" style="position:absolute;left:0pt;margin-left:22.55pt;margin-top:10.6pt;height:151.05pt;width:375.3pt;z-index:-251656192;mso-width-relative:page;mso-height-relative:page;" fillcolor="#FFFFFF" filled="t" stroked="t" coordsize="21600,21600" arcsize="0.166666666666667" o:gfxdata="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1/rz22QAAAAkBAAAPAAAAAAAAAAEAIAAAACIAAABkcnMvZG93&#10;bnJldi54bWxQSwECFAAUAAAACACHTuJAmtG773ECAADMBAAADgAAAAAAAAABACAAAAAoAQAAZHJz&#10;L2Uyb0RvYy54bWxQSwUGAAAAAAYABgBZAQAACwYAAAAA&#10;">
                <v:fill on="t" focussize="0,0"/>
                <v:stroke color="#000000" joinstyle="round" dashstyle="1 1"/>
                <v:imagedata o:title=""/>
                <o:lock v:ext="edit" aspectratio="f"/>
                <v:textbox>
                  <w:txbxContent>
                    <w:p w14:paraId="7AA29CF5">
                      <w:pPr>
                        <w:ind w:firstLine="480"/>
                        <w:jc w:val="center"/>
                        <w:rPr>
                          <w:rFonts w:ascii="楷体_GB2312" w:eastAsia="楷体_GB2312"/>
                          <w:b/>
                          <w:color w:val="FF0000"/>
                          <w:szCs w:val="21"/>
                        </w:rPr>
                      </w:pPr>
                      <w:r>
                        <w:rPr>
                          <w:rFonts w:hint="eastAsia" w:ascii="楷体_GB2312" w:eastAsia="楷体_GB2312"/>
                          <w:b/>
                          <w:color w:val="FF0000"/>
                          <w:szCs w:val="21"/>
                        </w:rPr>
                        <w:t>（身份证复印件）</w:t>
                      </w:r>
                    </w:p>
                  </w:txbxContent>
                </v:textbox>
              </v:roundrect>
            </w:pict>
          </mc:Fallback>
        </mc:AlternateContent>
      </w:r>
    </w:p>
    <w:p w14:paraId="39A4C56F">
      <w:pPr>
        <w:keepNext/>
        <w:keepLines/>
        <w:spacing w:line="400" w:lineRule="exact"/>
        <w:ind w:firstLine="644" w:firstLineChars="200"/>
        <w:jc w:val="center"/>
        <w:outlineLvl w:val="1"/>
        <w:rPr>
          <w:rFonts w:ascii="Times New Roman" w:hAnsi="Times New Roman" w:eastAsia="楷体" w:cs="Times New Roman"/>
          <w:b/>
          <w:bCs/>
          <w:color w:val="auto"/>
          <w:sz w:val="28"/>
          <w:szCs w:val="28"/>
        </w:rPr>
      </w:pPr>
      <w:r>
        <w:rPr>
          <w:rFonts w:ascii="Times New Roman" w:hAnsi="Times New Roman" w:eastAsia="楷体" w:cs="Times New Roman"/>
          <w:b/>
          <w:bCs/>
          <w:color w:val="auto"/>
          <w:sz w:val="32"/>
          <w:szCs w:val="32"/>
        </w:rPr>
        <w:br w:type="page"/>
      </w:r>
      <w:bookmarkStart w:id="89" w:name="_Toc227580122"/>
      <w:bookmarkStart w:id="90" w:name="_Toc23663"/>
      <w:bookmarkStart w:id="91" w:name="_Toc16754"/>
      <w:r>
        <w:rPr>
          <w:rFonts w:ascii="Times New Roman" w:hAnsi="Times New Roman" w:eastAsia="楷体" w:cs="Times New Roman"/>
          <w:b/>
          <w:bCs/>
          <w:color w:val="auto"/>
          <w:sz w:val="24"/>
          <w:szCs w:val="24"/>
        </w:rPr>
        <w:t>六、</w:t>
      </w:r>
      <w:bookmarkEnd w:id="89"/>
      <w:r>
        <w:rPr>
          <w:rFonts w:ascii="Times New Roman" w:hAnsi="Times New Roman" w:eastAsia="楷体" w:cs="Times New Roman"/>
          <w:b/>
          <w:bCs/>
          <w:color w:val="auto"/>
          <w:sz w:val="24"/>
          <w:szCs w:val="24"/>
        </w:rPr>
        <w:t>资格申请文件</w:t>
      </w:r>
      <w:r>
        <w:rPr>
          <w:rFonts w:ascii="Times New Roman" w:hAnsi="Times New Roman" w:eastAsia="楷体" w:cs="Times New Roman"/>
          <w:b/>
          <w:bCs/>
          <w:color w:val="auto"/>
          <w:szCs w:val="21"/>
        </w:rPr>
        <w:t>（“文件格式”）</w:t>
      </w:r>
      <w:bookmarkEnd w:id="90"/>
      <w:bookmarkEnd w:id="91"/>
    </w:p>
    <w:p w14:paraId="5092532C">
      <w:pPr>
        <w:spacing w:line="400" w:lineRule="exact"/>
        <w:ind w:firstLine="484" w:firstLineChars="200"/>
        <w:jc w:val="center"/>
        <w:rPr>
          <w:rFonts w:ascii="Times New Roman" w:hAnsi="Times New Roman" w:eastAsia="楷体" w:cs="Times New Roman"/>
          <w:b/>
          <w:color w:val="auto"/>
          <w:sz w:val="24"/>
          <w:szCs w:val="24"/>
        </w:rPr>
      </w:pPr>
      <w:bookmarkStart w:id="92" w:name="_Toc259286941"/>
      <w:bookmarkStart w:id="93" w:name="_Toc268762761"/>
      <w:bookmarkStart w:id="94" w:name="_Toc268785271"/>
      <w:r>
        <w:rPr>
          <w:rFonts w:ascii="Times New Roman" w:hAnsi="Times New Roman" w:eastAsia="楷体" w:cs="Times New Roman"/>
          <w:b/>
          <w:color w:val="auto"/>
          <w:sz w:val="24"/>
          <w:szCs w:val="24"/>
        </w:rPr>
        <w:t>（一）企业基本情况表</w:t>
      </w:r>
      <w:bookmarkEnd w:id="92"/>
      <w:bookmarkEnd w:id="93"/>
      <w:bookmarkEnd w:id="94"/>
    </w:p>
    <w:tbl>
      <w:tblPr>
        <w:tblStyle w:val="8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14:paraId="4BC16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8EAB50E">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5BADAE01">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企业名称：</w:t>
            </w:r>
          </w:p>
        </w:tc>
      </w:tr>
      <w:tr w14:paraId="3D9D8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4A4B708">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2265B9EF">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法定代表人：</w:t>
            </w:r>
          </w:p>
        </w:tc>
      </w:tr>
      <w:tr w14:paraId="70292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52482879">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3</w:t>
            </w:r>
          </w:p>
        </w:tc>
        <w:tc>
          <w:tcPr>
            <w:tcW w:w="3856" w:type="dxa"/>
            <w:tcBorders>
              <w:top w:val="single" w:color="auto" w:sz="6" w:space="0"/>
              <w:left w:val="single" w:color="auto" w:sz="6" w:space="0"/>
              <w:bottom w:val="single" w:color="auto" w:sz="6" w:space="0"/>
              <w:right w:val="single" w:color="auto" w:sz="6" w:space="0"/>
            </w:tcBorders>
            <w:vAlign w:val="center"/>
          </w:tcPr>
          <w:p w14:paraId="7556290B">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电话：</w:t>
            </w:r>
          </w:p>
        </w:tc>
        <w:tc>
          <w:tcPr>
            <w:tcW w:w="4735" w:type="dxa"/>
            <w:tcBorders>
              <w:top w:val="single" w:color="auto" w:sz="6" w:space="0"/>
              <w:left w:val="single" w:color="auto" w:sz="6" w:space="0"/>
              <w:bottom w:val="single" w:color="auto" w:sz="6" w:space="0"/>
              <w:right w:val="single" w:color="auto" w:sz="6" w:space="0"/>
            </w:tcBorders>
            <w:vAlign w:val="center"/>
          </w:tcPr>
          <w:p w14:paraId="73E3F579">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联系人:</w:t>
            </w:r>
          </w:p>
        </w:tc>
      </w:tr>
      <w:tr w14:paraId="594EE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2787EBD">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4</w:t>
            </w:r>
          </w:p>
        </w:tc>
        <w:tc>
          <w:tcPr>
            <w:tcW w:w="3856" w:type="dxa"/>
            <w:tcBorders>
              <w:top w:val="single" w:color="auto" w:sz="6" w:space="0"/>
              <w:left w:val="single" w:color="auto" w:sz="6" w:space="0"/>
              <w:bottom w:val="single" w:color="auto" w:sz="6" w:space="0"/>
              <w:right w:val="single" w:color="auto" w:sz="6" w:space="0"/>
            </w:tcBorders>
            <w:vAlign w:val="center"/>
          </w:tcPr>
          <w:p w14:paraId="632B62BD">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传真：</w:t>
            </w:r>
          </w:p>
        </w:tc>
        <w:tc>
          <w:tcPr>
            <w:tcW w:w="4735" w:type="dxa"/>
            <w:tcBorders>
              <w:top w:val="single" w:color="auto" w:sz="6" w:space="0"/>
              <w:left w:val="single" w:color="auto" w:sz="6" w:space="0"/>
              <w:bottom w:val="single" w:color="auto" w:sz="6" w:space="0"/>
              <w:right w:val="single" w:color="auto" w:sz="6" w:space="0"/>
            </w:tcBorders>
            <w:vAlign w:val="center"/>
          </w:tcPr>
          <w:p w14:paraId="6575D67C">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电子邮箱:</w:t>
            </w:r>
          </w:p>
        </w:tc>
      </w:tr>
      <w:tr w14:paraId="28CBE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23ABC1D8">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5</w:t>
            </w:r>
          </w:p>
        </w:tc>
        <w:tc>
          <w:tcPr>
            <w:tcW w:w="3856" w:type="dxa"/>
            <w:tcBorders>
              <w:top w:val="single" w:color="auto" w:sz="6" w:space="0"/>
              <w:left w:val="single" w:color="auto" w:sz="6" w:space="0"/>
              <w:bottom w:val="single" w:color="auto" w:sz="6" w:space="0"/>
              <w:right w:val="single" w:color="auto" w:sz="6" w:space="0"/>
            </w:tcBorders>
            <w:vAlign w:val="center"/>
          </w:tcPr>
          <w:p w14:paraId="62462D67">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注册地：</w:t>
            </w:r>
          </w:p>
        </w:tc>
        <w:tc>
          <w:tcPr>
            <w:tcW w:w="4735" w:type="dxa"/>
            <w:tcBorders>
              <w:top w:val="single" w:color="auto" w:sz="6" w:space="0"/>
              <w:left w:val="single" w:color="auto" w:sz="6" w:space="0"/>
              <w:bottom w:val="single" w:color="auto" w:sz="6" w:space="0"/>
              <w:right w:val="single" w:color="auto" w:sz="6" w:space="0"/>
            </w:tcBorders>
            <w:vAlign w:val="center"/>
          </w:tcPr>
          <w:p w14:paraId="1A10EA19">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注册年份：</w:t>
            </w:r>
          </w:p>
        </w:tc>
      </w:tr>
      <w:tr w14:paraId="1292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581EC4B4">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6</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0FD65FCC">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其他</w:t>
            </w:r>
          </w:p>
        </w:tc>
      </w:tr>
      <w:tr w14:paraId="6765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ED94308">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0EF8CCC2">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主营范围</w:t>
            </w:r>
          </w:p>
          <w:p w14:paraId="1FBE6955">
            <w:pPr>
              <w:spacing w:line="400" w:lineRule="exact"/>
              <w:ind w:firstLine="424" w:firstLineChars="200"/>
              <w:rPr>
                <w:rFonts w:ascii="Times New Roman" w:hAnsi="Times New Roman" w:eastAsia="楷体" w:cs="Times New Roman"/>
                <w:color w:val="auto"/>
                <w:szCs w:val="21"/>
                <w:u w:val="single"/>
              </w:rPr>
            </w:pPr>
            <w:r>
              <w:rPr>
                <w:rFonts w:ascii="Times New Roman" w:hAnsi="Times New Roman" w:eastAsia="楷体" w:cs="Times New Roman"/>
                <w:color w:val="auto"/>
                <w:szCs w:val="21"/>
              </w:rPr>
              <w:t>1、</w:t>
            </w:r>
            <w:r>
              <w:rPr>
                <w:rFonts w:ascii="Times New Roman" w:hAnsi="Times New Roman" w:eastAsia="楷体" w:cs="Times New Roman"/>
                <w:color w:val="auto"/>
                <w:szCs w:val="21"/>
                <w:u w:val="single"/>
              </w:rPr>
              <w:t xml:space="preserve">                                                                </w:t>
            </w:r>
          </w:p>
          <w:p w14:paraId="4B2889B1">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2、</w:t>
            </w:r>
            <w:r>
              <w:rPr>
                <w:rFonts w:ascii="Times New Roman" w:hAnsi="Times New Roman" w:eastAsia="楷体" w:cs="Times New Roman"/>
                <w:color w:val="auto"/>
                <w:szCs w:val="21"/>
                <w:u w:val="single"/>
              </w:rPr>
              <w:t xml:space="preserve">                                                                </w:t>
            </w:r>
          </w:p>
          <w:p w14:paraId="4BC91F39">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3、</w:t>
            </w:r>
            <w:r>
              <w:rPr>
                <w:rFonts w:ascii="Times New Roman" w:hAnsi="Times New Roman" w:eastAsia="楷体" w:cs="Times New Roman"/>
                <w:color w:val="auto"/>
                <w:szCs w:val="21"/>
                <w:u w:val="single"/>
              </w:rPr>
              <w:t xml:space="preserve">                                                                </w:t>
            </w:r>
          </w:p>
          <w:p w14:paraId="0E0A5BD2">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4、</w:t>
            </w:r>
            <w:r>
              <w:rPr>
                <w:rFonts w:ascii="Times New Roman" w:hAnsi="Times New Roman" w:eastAsia="楷体" w:cs="Times New Roman"/>
                <w:color w:val="auto"/>
                <w:szCs w:val="21"/>
                <w:u w:val="single"/>
              </w:rPr>
              <w:t xml:space="preserve">                                                                </w:t>
            </w:r>
          </w:p>
          <w:p w14:paraId="51F761BE">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w:t>
            </w:r>
          </w:p>
          <w:p w14:paraId="56686042">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w:t>
            </w:r>
          </w:p>
        </w:tc>
      </w:tr>
      <w:tr w14:paraId="74E2F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0F6225E5">
            <w:pPr>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7BE9B234">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其他需要说明的情况</w:t>
            </w:r>
          </w:p>
        </w:tc>
      </w:tr>
    </w:tbl>
    <w:p w14:paraId="6566FC42">
      <w:pPr>
        <w:spacing w:line="400" w:lineRule="exact"/>
        <w:ind w:firstLine="484" w:firstLineChars="200"/>
        <w:jc w:val="center"/>
        <w:rPr>
          <w:rFonts w:ascii="Times New Roman" w:hAnsi="Times New Roman" w:eastAsia="楷体" w:cs="Times New Roman"/>
          <w:b/>
          <w:color w:val="auto"/>
          <w:sz w:val="24"/>
          <w:szCs w:val="24"/>
        </w:rPr>
      </w:pPr>
    </w:p>
    <w:p w14:paraId="6B6F97AE">
      <w:pPr>
        <w:spacing w:line="400" w:lineRule="exact"/>
        <w:ind w:firstLine="484" w:firstLineChars="200"/>
        <w:jc w:val="center"/>
        <w:rPr>
          <w:rFonts w:ascii="Times New Roman" w:hAnsi="Times New Roman" w:eastAsia="楷体" w:cs="Times New Roman"/>
          <w:b/>
          <w:color w:val="auto"/>
          <w:szCs w:val="21"/>
        </w:rPr>
      </w:pPr>
      <w:r>
        <w:rPr>
          <w:rFonts w:ascii="Times New Roman" w:hAnsi="Times New Roman" w:eastAsia="楷体" w:cs="Times New Roman"/>
          <w:b/>
          <w:color w:val="auto"/>
          <w:sz w:val="24"/>
          <w:szCs w:val="24"/>
        </w:rPr>
        <w:br w:type="page"/>
      </w:r>
      <w:r>
        <w:rPr>
          <w:rFonts w:ascii="Times New Roman" w:hAnsi="Times New Roman" w:eastAsia="楷体" w:cs="Times New Roman"/>
          <w:b/>
          <w:color w:val="auto"/>
          <w:szCs w:val="21"/>
        </w:rPr>
        <w:t>（二）资格申请资料</w:t>
      </w:r>
    </w:p>
    <w:p w14:paraId="7BEDBC4F">
      <w:pPr>
        <w:spacing w:line="400" w:lineRule="exact"/>
        <w:ind w:firstLine="424" w:firstLineChars="200"/>
        <w:jc w:val="center"/>
        <w:rPr>
          <w:rFonts w:ascii="Times New Roman" w:hAnsi="Times New Roman" w:eastAsia="楷体" w:cs="Times New Roman"/>
          <w:color w:val="auto"/>
          <w:szCs w:val="21"/>
        </w:rPr>
      </w:pPr>
    </w:p>
    <w:p w14:paraId="0269AB2B">
      <w:p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1.营业执照；</w:t>
      </w:r>
    </w:p>
    <w:p w14:paraId="4179D48C">
      <w:pPr>
        <w:adjustRightInd w:val="0"/>
        <w:snapToGrid w:val="0"/>
        <w:spacing w:line="400" w:lineRule="exact"/>
        <w:ind w:firstLine="424" w:firstLineChars="200"/>
        <w:rPr>
          <w:rFonts w:ascii="Times New Roman" w:hAnsi="Times New Roman" w:eastAsia="楷体" w:cs="Times New Roman"/>
          <w:b/>
          <w:color w:val="auto"/>
          <w:szCs w:val="21"/>
        </w:rPr>
      </w:pPr>
    </w:p>
    <w:p w14:paraId="0589286F">
      <w:pPr>
        <w:numPr>
          <w:ilvl w:val="0"/>
          <w:numId w:val="21"/>
        </w:numPr>
        <w:adjustRightInd w:val="0"/>
        <w:snapToGrid w:val="0"/>
        <w:spacing w:line="400" w:lineRule="exact"/>
        <w:ind w:firstLine="424" w:firstLineChars="200"/>
        <w:rPr>
          <w:rFonts w:hint="eastAsia" w:ascii="Times New Roman" w:hAnsi="Times New Roman" w:eastAsia="楷体" w:cs="Times New Roman"/>
          <w:b/>
          <w:color w:val="auto"/>
          <w:szCs w:val="21"/>
        </w:rPr>
      </w:pPr>
      <w:r>
        <w:rPr>
          <w:rFonts w:ascii="Times New Roman" w:hAnsi="Times New Roman" w:eastAsia="楷体" w:cs="Times New Roman"/>
          <w:b/>
          <w:color w:val="auto"/>
          <w:szCs w:val="21"/>
        </w:rPr>
        <w:t>提供近两年</w:t>
      </w:r>
      <w:r>
        <w:rPr>
          <w:rFonts w:hint="eastAsia" w:ascii="Times New Roman" w:hAnsi="Times New Roman" w:eastAsia="楷体" w:cs="Times New Roman"/>
          <w:b/>
          <w:color w:val="auto"/>
          <w:szCs w:val="21"/>
        </w:rPr>
        <w:t>（2</w:t>
      </w:r>
      <w:r>
        <w:rPr>
          <w:rFonts w:ascii="Times New Roman" w:hAnsi="Times New Roman" w:eastAsia="楷体" w:cs="Times New Roman"/>
          <w:b/>
          <w:color w:val="auto"/>
          <w:szCs w:val="21"/>
        </w:rPr>
        <w:t>0</w:t>
      </w:r>
      <w:r>
        <w:rPr>
          <w:rFonts w:hint="eastAsia" w:ascii="Times New Roman" w:hAnsi="Times New Roman" w:eastAsia="楷体" w:cs="Times New Roman"/>
          <w:b/>
          <w:color w:val="auto"/>
          <w:szCs w:val="21"/>
        </w:rPr>
        <w:t>2</w:t>
      </w:r>
      <w:r>
        <w:rPr>
          <w:rFonts w:hint="eastAsia" w:ascii="Times New Roman" w:hAnsi="Times New Roman" w:eastAsia="楷体" w:cs="Times New Roman"/>
          <w:b/>
          <w:color w:val="auto"/>
          <w:szCs w:val="21"/>
          <w:lang w:val="en-US" w:eastAsia="zh-CN"/>
        </w:rPr>
        <w:t>2</w:t>
      </w:r>
      <w:r>
        <w:rPr>
          <w:rFonts w:hint="eastAsia" w:ascii="Times New Roman" w:hAnsi="Times New Roman" w:eastAsia="楷体" w:cs="Times New Roman"/>
          <w:b/>
          <w:color w:val="auto"/>
          <w:szCs w:val="21"/>
        </w:rPr>
        <w:t>、2</w:t>
      </w:r>
      <w:r>
        <w:rPr>
          <w:rFonts w:ascii="Times New Roman" w:hAnsi="Times New Roman" w:eastAsia="楷体" w:cs="Times New Roman"/>
          <w:b/>
          <w:color w:val="auto"/>
          <w:szCs w:val="21"/>
        </w:rPr>
        <w:t>02</w:t>
      </w:r>
      <w:r>
        <w:rPr>
          <w:rFonts w:hint="eastAsia" w:ascii="Times New Roman" w:hAnsi="Times New Roman" w:eastAsia="楷体" w:cs="Times New Roman"/>
          <w:b/>
          <w:color w:val="auto"/>
          <w:szCs w:val="21"/>
          <w:lang w:val="en-US" w:eastAsia="zh-CN"/>
        </w:rPr>
        <w:t>3</w:t>
      </w:r>
      <w:r>
        <w:rPr>
          <w:rFonts w:hint="eastAsia" w:ascii="Times New Roman" w:hAnsi="Times New Roman" w:eastAsia="楷体" w:cs="Times New Roman"/>
          <w:b/>
          <w:color w:val="auto"/>
          <w:szCs w:val="21"/>
        </w:rPr>
        <w:t>）</w:t>
      </w:r>
      <w:r>
        <w:rPr>
          <w:rFonts w:ascii="Times New Roman" w:hAnsi="Times New Roman" w:eastAsia="楷体" w:cs="Times New Roman"/>
          <w:b/>
          <w:color w:val="auto"/>
          <w:szCs w:val="21"/>
        </w:rPr>
        <w:t>经审计的年度</w:t>
      </w:r>
      <w:r>
        <w:rPr>
          <w:rFonts w:hint="eastAsia" w:ascii="Times New Roman" w:hAnsi="Times New Roman" w:eastAsia="楷体" w:cs="Times New Roman"/>
          <w:b/>
          <w:color w:val="auto"/>
          <w:szCs w:val="21"/>
        </w:rPr>
        <w:t>财务</w:t>
      </w:r>
      <w:r>
        <w:rPr>
          <w:rFonts w:ascii="Times New Roman" w:hAnsi="Times New Roman" w:eastAsia="楷体" w:cs="Times New Roman"/>
          <w:b/>
          <w:color w:val="auto"/>
          <w:szCs w:val="21"/>
        </w:rPr>
        <w:t>报告（如未审计请说明情况并提供近两年年度财务报表）</w:t>
      </w:r>
      <w:r>
        <w:rPr>
          <w:rFonts w:hint="eastAsia" w:ascii="Times New Roman" w:hAnsi="Times New Roman" w:eastAsia="楷体" w:cs="Times New Roman"/>
          <w:b/>
          <w:color w:val="auto"/>
          <w:szCs w:val="21"/>
        </w:rPr>
        <w:t>及最新一期财务报表</w:t>
      </w:r>
      <w:r>
        <w:rPr>
          <w:rFonts w:hint="eastAsia" w:ascii="Times New Roman" w:hAnsi="Times New Roman" w:eastAsia="楷体" w:cs="Times New Roman"/>
          <w:b/>
          <w:color w:val="auto"/>
          <w:szCs w:val="21"/>
          <w:lang w:val="en-US" w:eastAsia="zh-CN"/>
        </w:rPr>
        <w:t>2024年8</w:t>
      </w:r>
      <w:r>
        <w:rPr>
          <w:rFonts w:hint="eastAsia" w:ascii="Times New Roman" w:hAnsi="Times New Roman" w:eastAsia="楷体" w:cs="Times New Roman"/>
          <w:b/>
          <w:color w:val="auto"/>
          <w:szCs w:val="21"/>
        </w:rPr>
        <w:t>月份（或</w:t>
      </w:r>
      <w:r>
        <w:rPr>
          <w:rFonts w:hint="eastAsia" w:ascii="Times New Roman" w:hAnsi="Times New Roman" w:eastAsia="楷体" w:cs="Times New Roman"/>
          <w:b/>
          <w:color w:val="auto"/>
          <w:szCs w:val="21"/>
          <w:lang w:val="en-US" w:eastAsia="zh-CN"/>
        </w:rPr>
        <w:t>2024年7</w:t>
      </w:r>
      <w:r>
        <w:rPr>
          <w:rFonts w:hint="eastAsia" w:ascii="Times New Roman" w:hAnsi="Times New Roman" w:eastAsia="楷体" w:cs="Times New Roman"/>
          <w:b/>
          <w:color w:val="auto"/>
          <w:szCs w:val="21"/>
        </w:rPr>
        <w:t>月份）</w:t>
      </w:r>
    </w:p>
    <w:p w14:paraId="5F32A82A">
      <w:pPr>
        <w:numPr>
          <w:ilvl w:val="0"/>
          <w:numId w:val="21"/>
        </w:numPr>
        <w:adjustRightInd w:val="0"/>
        <w:snapToGrid w:val="0"/>
        <w:spacing w:line="400" w:lineRule="exact"/>
        <w:ind w:firstLine="424" w:firstLineChars="200"/>
        <w:rPr>
          <w:rFonts w:hint="default" w:ascii="Times New Roman" w:hAnsi="Times New Roman" w:eastAsia="楷体" w:cs="Times New Roman"/>
          <w:b/>
          <w:color w:val="auto"/>
          <w:szCs w:val="21"/>
          <w:lang w:val="en-US" w:eastAsia="zh-CN"/>
        </w:rPr>
      </w:pPr>
      <w:r>
        <w:rPr>
          <w:rFonts w:hint="eastAsia" w:ascii="Times New Roman" w:hAnsi="Times New Roman" w:eastAsia="楷体" w:cs="Times New Roman"/>
          <w:b/>
          <w:color w:val="auto"/>
          <w:szCs w:val="21"/>
          <w:lang w:val="en-US" w:eastAsia="zh-CN"/>
        </w:rPr>
        <w:t>四级承装、修、试资质资质</w:t>
      </w:r>
    </w:p>
    <w:p w14:paraId="4E45A473">
      <w:pPr>
        <w:adjustRightInd w:val="0"/>
        <w:snapToGrid w:val="0"/>
        <w:spacing w:line="400" w:lineRule="exact"/>
        <w:ind w:firstLine="444" w:firstLineChars="200"/>
        <w:rPr>
          <w:rFonts w:ascii="Times New Roman" w:hAnsi="Times New Roman" w:eastAsia="仿宋_GB2312" w:cs="Times New Roman"/>
          <w:b/>
          <w:bCs/>
          <w:color w:val="0000FF"/>
          <w:sz w:val="22"/>
        </w:rPr>
      </w:pPr>
    </w:p>
    <w:p w14:paraId="22724526">
      <w:pPr>
        <w:pStyle w:val="2"/>
        <w:rPr>
          <w:color w:val="0000FF"/>
        </w:rPr>
      </w:pPr>
    </w:p>
    <w:p w14:paraId="2D09690D">
      <w:pPr>
        <w:numPr>
          <w:ilvl w:val="0"/>
          <w:numId w:val="22"/>
        </w:numPr>
        <w:adjustRightInd w:val="0"/>
        <w:snapToGrid w:val="0"/>
        <w:spacing w:line="400" w:lineRule="exact"/>
        <w:ind w:firstLine="444" w:firstLineChars="200"/>
        <w:rPr>
          <w:rFonts w:ascii="Times New Roman" w:hAnsi="Times New Roman" w:eastAsia="仿宋_GB2312" w:cs="Times New Roman"/>
          <w:b/>
          <w:bCs/>
          <w:color w:val="0000FF"/>
          <w:sz w:val="22"/>
        </w:rPr>
      </w:pPr>
      <w:r>
        <w:rPr>
          <w:rFonts w:ascii="Times New Roman" w:hAnsi="Times New Roman" w:eastAsia="仿宋_GB2312" w:cs="Times New Roman"/>
          <w:b/>
          <w:bCs/>
          <w:color w:val="0000FF"/>
          <w:sz w:val="22"/>
        </w:rPr>
        <w:br w:type="page"/>
      </w:r>
    </w:p>
    <w:p w14:paraId="0B9D28EF">
      <w:pPr>
        <w:adjustRightInd w:val="0"/>
        <w:snapToGrid w:val="0"/>
        <w:spacing w:line="700" w:lineRule="exact"/>
        <w:ind w:firstLine="884" w:firstLineChars="200"/>
        <w:jc w:val="center"/>
        <w:rPr>
          <w:rFonts w:ascii="Times New Roman" w:hAnsi="Times New Roman" w:eastAsia="楷体" w:cs="Times New Roman"/>
          <w:b/>
          <w:color w:val="auto"/>
          <w:sz w:val="44"/>
          <w:szCs w:val="44"/>
        </w:rPr>
      </w:pPr>
      <w:r>
        <w:rPr>
          <w:rFonts w:ascii="Times New Roman" w:hAnsi="Times New Roman" w:eastAsia="楷体" w:cs="Times New Roman"/>
          <w:b/>
          <w:color w:val="auto"/>
          <w:sz w:val="44"/>
          <w:szCs w:val="44"/>
        </w:rPr>
        <w:t>承诺书</w:t>
      </w:r>
    </w:p>
    <w:p w14:paraId="5BA1A2CA">
      <w:pPr>
        <w:spacing w:line="400" w:lineRule="exact"/>
        <w:ind w:firstLine="424" w:firstLineChars="200"/>
        <w:rPr>
          <w:rFonts w:ascii="Times New Roman" w:hAnsi="Times New Roman" w:eastAsia="楷体" w:cs="Times New Roman"/>
          <w:b/>
          <w:color w:val="auto"/>
          <w:szCs w:val="21"/>
        </w:rPr>
      </w:pPr>
    </w:p>
    <w:p w14:paraId="7E17577D">
      <w:pPr>
        <w:spacing w:line="400" w:lineRule="exact"/>
        <w:ind w:firstLine="424" w:firstLineChars="200"/>
        <w:rPr>
          <w:rFonts w:hint="eastAsia" w:ascii="Times New Roman" w:hAnsi="Times New Roman" w:eastAsia="楷体" w:cs="Times New Roman"/>
          <w:b/>
          <w:color w:val="auto"/>
          <w:szCs w:val="21"/>
          <w:u w:val="single"/>
          <w:lang w:eastAsia="zh-CN"/>
        </w:rPr>
      </w:pPr>
      <w:r>
        <w:rPr>
          <w:rFonts w:ascii="Times New Roman" w:hAnsi="Times New Roman" w:eastAsia="楷体" w:cs="Times New Roman"/>
          <w:b/>
          <w:color w:val="auto"/>
          <w:szCs w:val="21"/>
        </w:rPr>
        <w:t>致：</w:t>
      </w:r>
      <w:r>
        <w:rPr>
          <w:rFonts w:hint="eastAsia" w:ascii="Times New Roman" w:hAnsi="Times New Roman" w:eastAsia="楷体" w:cs="Times New Roman"/>
          <w:b/>
          <w:color w:val="auto"/>
          <w:szCs w:val="21"/>
          <w:u w:val="single"/>
          <w:lang w:eastAsia="zh-CN"/>
        </w:rPr>
        <w:t>河北协鑫新能源有限公司</w:t>
      </w:r>
    </w:p>
    <w:p w14:paraId="5D986222">
      <w:pPr>
        <w:spacing w:line="400" w:lineRule="exact"/>
        <w:ind w:firstLine="424" w:firstLineChars="200"/>
        <w:rPr>
          <w:rFonts w:ascii="Times New Roman" w:hAnsi="Times New Roman" w:eastAsia="楷体" w:cs="Times New Roman"/>
          <w:color w:val="auto"/>
          <w:szCs w:val="21"/>
        </w:rPr>
      </w:pPr>
      <w:r>
        <w:rPr>
          <w:rFonts w:ascii="Times New Roman" w:hAnsi="Times New Roman" w:eastAsia="楷体" w:cs="Times New Roman"/>
          <w:color w:val="auto"/>
          <w:szCs w:val="21"/>
        </w:rPr>
        <w:t>我公司承诺最近3年内没有骗取中标和严重违法、违约及无不良记录；谈判申请文件中的所有内容真实、有效，一旦发现隐瞒造假则无条件接受相关处理。</w:t>
      </w:r>
    </w:p>
    <w:p w14:paraId="04D18449">
      <w:pPr>
        <w:spacing w:line="400" w:lineRule="exact"/>
        <w:ind w:firstLine="424" w:firstLineChars="200"/>
        <w:jc w:val="right"/>
        <w:rPr>
          <w:rFonts w:ascii="Times New Roman" w:hAnsi="Times New Roman" w:eastAsia="楷体" w:cs="Times New Roman"/>
          <w:color w:val="auto"/>
          <w:szCs w:val="21"/>
        </w:rPr>
      </w:pPr>
    </w:p>
    <w:p w14:paraId="749481E8">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w:t>
      </w:r>
    </w:p>
    <w:p w14:paraId="71C00EBF">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（盖章）</w:t>
      </w:r>
    </w:p>
    <w:p w14:paraId="0E33E166">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rPr>
      </w:pPr>
    </w:p>
    <w:p w14:paraId="4BB9A647">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rPr>
      </w:pPr>
    </w:p>
    <w:p w14:paraId="4AEF0D33">
      <w:pPr>
        <w:tabs>
          <w:tab w:val="left" w:pos="4605"/>
        </w:tabs>
        <w:adjustRightInd w:val="0"/>
        <w:snapToGrid w:val="0"/>
        <w:spacing w:line="400" w:lineRule="exact"/>
        <w:ind w:firstLine="424" w:firstLineChars="200"/>
        <w:jc w:val="right"/>
        <w:rPr>
          <w:rFonts w:ascii="Times New Roman" w:hAnsi="Times New Roman" w:eastAsia="楷体" w:cs="Times New Roman"/>
          <w:b/>
          <w:color w:val="auto"/>
          <w:sz w:val="44"/>
          <w:szCs w:val="44"/>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12927368">
      <w:pPr>
        <w:adjustRightInd w:val="0"/>
        <w:snapToGrid w:val="0"/>
        <w:spacing w:line="400" w:lineRule="exact"/>
        <w:ind w:firstLine="484" w:firstLineChars="200"/>
        <w:rPr>
          <w:rFonts w:ascii="Times New Roman" w:hAnsi="Times New Roman" w:eastAsia="楷体" w:cs="Times New Roman"/>
          <w:b/>
          <w:color w:val="auto"/>
          <w:szCs w:val="21"/>
        </w:rPr>
      </w:pPr>
      <w:r>
        <w:rPr>
          <w:rFonts w:ascii="Times New Roman" w:hAnsi="Times New Roman" w:eastAsia="楷体" w:cs="Times New Roman"/>
          <w:color w:val="auto"/>
          <w:sz w:val="24"/>
          <w:szCs w:val="24"/>
        </w:rPr>
        <w:br w:type="page"/>
      </w:r>
    </w:p>
    <w:p w14:paraId="38650E1E">
      <w:pPr>
        <w:keepNext/>
        <w:keepLines/>
        <w:spacing w:line="400" w:lineRule="exact"/>
        <w:ind w:firstLine="484" w:firstLineChars="200"/>
        <w:jc w:val="center"/>
        <w:outlineLvl w:val="1"/>
        <w:rPr>
          <w:rFonts w:ascii="Times New Roman" w:hAnsi="Times New Roman" w:eastAsia="楷体" w:cs="Times New Roman"/>
          <w:b/>
          <w:bCs/>
          <w:color w:val="auto"/>
          <w:sz w:val="24"/>
          <w:szCs w:val="24"/>
        </w:rPr>
      </w:pPr>
      <w:bookmarkStart w:id="95" w:name="_Toc27426"/>
      <w:bookmarkStart w:id="96" w:name="_Toc4065"/>
      <w:r>
        <w:rPr>
          <w:rFonts w:ascii="Times New Roman" w:hAnsi="Times New Roman" w:eastAsia="楷体" w:cs="Times New Roman"/>
          <w:b/>
          <w:bCs/>
          <w:color w:val="auto"/>
          <w:sz w:val="24"/>
          <w:szCs w:val="24"/>
        </w:rPr>
        <w:t>七、商务谈判申请文件</w:t>
      </w:r>
      <w:bookmarkEnd w:id="95"/>
      <w:bookmarkEnd w:id="96"/>
    </w:p>
    <w:p w14:paraId="52325AC3">
      <w:p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商务谈判申请文件包括不限于以下部分：</w:t>
      </w:r>
    </w:p>
    <w:p w14:paraId="2AACE5A9">
      <w:pPr>
        <w:numPr>
          <w:ilvl w:val="0"/>
          <w:numId w:val="23"/>
        </w:num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类似项目业绩（需提供中标通知书或合同复印件或业主评价等材料，详见附件1）；</w:t>
      </w:r>
    </w:p>
    <w:p w14:paraId="69BE2A39">
      <w:pPr>
        <w:numPr>
          <w:ilvl w:val="0"/>
          <w:numId w:val="23"/>
        </w:numPr>
        <w:adjustRightInd w:val="0"/>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企业相关获奖证书和荣誉证书；</w:t>
      </w:r>
    </w:p>
    <w:p w14:paraId="13A6A199">
      <w:pPr>
        <w:numPr>
          <w:ilvl w:val="0"/>
          <w:numId w:val="23"/>
        </w:numPr>
        <w:adjustRightInd w:val="0"/>
        <w:snapToGrid w:val="0"/>
        <w:spacing w:line="400" w:lineRule="exact"/>
        <w:ind w:firstLine="424" w:firstLineChars="200"/>
        <w:rPr>
          <w:rFonts w:ascii="Times New Roman" w:hAnsi="Times New Roman" w:eastAsia="楷体" w:cs="Times New Roman"/>
          <w:bCs/>
          <w:color w:val="auto"/>
          <w:szCs w:val="21"/>
        </w:rPr>
      </w:pPr>
      <w:r>
        <w:rPr>
          <w:rFonts w:ascii="Times New Roman" w:hAnsi="Times New Roman" w:eastAsia="楷体" w:cs="Times New Roman"/>
          <w:b/>
          <w:color w:val="auto"/>
          <w:szCs w:val="21"/>
        </w:rPr>
        <w:t>谈判申请单位认为有必要递交的其他资料（如公司名变更证明、相关情况说明等）。</w:t>
      </w:r>
    </w:p>
    <w:p w14:paraId="2CF0365D">
      <w:pPr>
        <w:adjustRightInd w:val="0"/>
        <w:snapToGrid w:val="0"/>
        <w:spacing w:line="400" w:lineRule="exact"/>
        <w:ind w:firstLine="424" w:firstLineChars="200"/>
        <w:jc w:val="center"/>
        <w:rPr>
          <w:rFonts w:ascii="Times New Roman" w:hAnsi="Times New Roman" w:eastAsia="楷体" w:cs="Times New Roman"/>
          <w:bCs/>
          <w:color w:val="auto"/>
          <w:szCs w:val="21"/>
        </w:rPr>
      </w:pPr>
    </w:p>
    <w:p w14:paraId="3BE9DC39">
      <w:pPr>
        <w:spacing w:line="400" w:lineRule="exact"/>
        <w:ind w:firstLine="484" w:firstLineChars="200"/>
        <w:jc w:val="center"/>
        <w:rPr>
          <w:rFonts w:ascii="Times New Roman" w:hAnsi="Times New Roman" w:eastAsia="楷体" w:cs="Times New Roman"/>
          <w:b/>
          <w:color w:val="auto"/>
          <w:sz w:val="24"/>
          <w:szCs w:val="24"/>
        </w:rPr>
      </w:pPr>
      <w:r>
        <w:rPr>
          <w:rFonts w:ascii="Times New Roman" w:hAnsi="Times New Roman" w:eastAsia="楷体" w:cs="Times New Roman"/>
          <w:b/>
          <w:color w:val="auto"/>
          <w:sz w:val="24"/>
          <w:szCs w:val="24"/>
        </w:rPr>
        <w:t>附件1：近三年类似项目业绩表（20</w:t>
      </w:r>
      <w:r>
        <w:rPr>
          <w:rFonts w:hint="eastAsia" w:ascii="Times New Roman" w:hAnsi="Times New Roman" w:eastAsia="楷体" w:cs="Times New Roman"/>
          <w:b/>
          <w:color w:val="auto"/>
          <w:sz w:val="24"/>
          <w:szCs w:val="24"/>
          <w:lang w:val="en-US" w:eastAsia="zh-CN"/>
        </w:rPr>
        <w:t>21</w:t>
      </w:r>
      <w:r>
        <w:rPr>
          <w:rFonts w:ascii="Times New Roman" w:hAnsi="Times New Roman" w:eastAsia="楷体" w:cs="Times New Roman"/>
          <w:b/>
          <w:color w:val="auto"/>
          <w:sz w:val="24"/>
          <w:szCs w:val="24"/>
        </w:rPr>
        <w:t>-202</w:t>
      </w:r>
      <w:r>
        <w:rPr>
          <w:rFonts w:hint="eastAsia" w:ascii="Times New Roman" w:hAnsi="Times New Roman" w:eastAsia="楷体" w:cs="Times New Roman"/>
          <w:b/>
          <w:color w:val="auto"/>
          <w:sz w:val="24"/>
          <w:szCs w:val="24"/>
          <w:lang w:val="en-US" w:eastAsia="zh-CN"/>
        </w:rPr>
        <w:t>3</w:t>
      </w:r>
      <w:r>
        <w:rPr>
          <w:rFonts w:ascii="Times New Roman" w:hAnsi="Times New Roman" w:eastAsia="楷体" w:cs="Times New Roman"/>
          <w:b/>
          <w:color w:val="auto"/>
          <w:sz w:val="24"/>
          <w:szCs w:val="24"/>
        </w:rPr>
        <w:t>）</w:t>
      </w:r>
    </w:p>
    <w:tbl>
      <w:tblPr>
        <w:tblStyle w:val="8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01"/>
        <w:gridCol w:w="1338"/>
        <w:gridCol w:w="1338"/>
        <w:gridCol w:w="1660"/>
        <w:gridCol w:w="1074"/>
        <w:gridCol w:w="773"/>
      </w:tblGrid>
      <w:tr w14:paraId="343B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5E4498A8">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序号</w:t>
            </w:r>
          </w:p>
        </w:tc>
        <w:tc>
          <w:tcPr>
            <w:tcW w:w="998" w:type="pct"/>
            <w:vAlign w:val="center"/>
          </w:tcPr>
          <w:p w14:paraId="5CA20113">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项目名称</w:t>
            </w:r>
          </w:p>
        </w:tc>
        <w:tc>
          <w:tcPr>
            <w:tcW w:w="785" w:type="pct"/>
            <w:vAlign w:val="center"/>
          </w:tcPr>
          <w:p w14:paraId="26A8E5DD">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业主单位</w:t>
            </w:r>
          </w:p>
        </w:tc>
        <w:tc>
          <w:tcPr>
            <w:tcW w:w="785" w:type="pct"/>
            <w:vAlign w:val="center"/>
          </w:tcPr>
          <w:p w14:paraId="5E036156">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合同金额</w:t>
            </w:r>
          </w:p>
        </w:tc>
        <w:tc>
          <w:tcPr>
            <w:tcW w:w="974" w:type="pct"/>
            <w:vAlign w:val="center"/>
          </w:tcPr>
          <w:p w14:paraId="631BD909">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合同签订时间</w:t>
            </w:r>
          </w:p>
        </w:tc>
        <w:tc>
          <w:tcPr>
            <w:tcW w:w="630" w:type="pct"/>
            <w:vAlign w:val="center"/>
          </w:tcPr>
          <w:p w14:paraId="7EA730EB">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业主评价</w:t>
            </w:r>
          </w:p>
        </w:tc>
        <w:tc>
          <w:tcPr>
            <w:tcW w:w="453" w:type="pct"/>
            <w:vAlign w:val="center"/>
          </w:tcPr>
          <w:p w14:paraId="4C9849BA">
            <w:pPr>
              <w:snapToGrid w:val="0"/>
              <w:spacing w:line="400" w:lineRule="exact"/>
              <w:jc w:val="center"/>
              <w:rPr>
                <w:rFonts w:ascii="Times New Roman" w:hAnsi="Times New Roman" w:eastAsia="楷体" w:cs="Times New Roman"/>
                <w:b/>
                <w:color w:val="auto"/>
                <w:szCs w:val="21"/>
              </w:rPr>
            </w:pPr>
            <w:r>
              <w:rPr>
                <w:rFonts w:ascii="Times New Roman" w:hAnsi="Times New Roman" w:eastAsia="楷体" w:cs="Times New Roman"/>
                <w:b/>
                <w:color w:val="auto"/>
                <w:szCs w:val="21"/>
              </w:rPr>
              <w:t>备注</w:t>
            </w:r>
          </w:p>
        </w:tc>
      </w:tr>
      <w:tr w14:paraId="599D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0FB0EB61">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1</w:t>
            </w:r>
          </w:p>
        </w:tc>
        <w:tc>
          <w:tcPr>
            <w:tcW w:w="998" w:type="pct"/>
            <w:vAlign w:val="center"/>
          </w:tcPr>
          <w:p w14:paraId="4FD2D72D">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AD8D085">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411FDC5F">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77A62771">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26AD45D4">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1B575048">
            <w:pPr>
              <w:snapToGrid w:val="0"/>
              <w:spacing w:line="400" w:lineRule="exact"/>
              <w:jc w:val="center"/>
              <w:rPr>
                <w:rFonts w:ascii="Times New Roman" w:hAnsi="Times New Roman" w:eastAsia="楷体" w:cs="Times New Roman"/>
                <w:color w:val="auto"/>
                <w:szCs w:val="21"/>
                <w:u w:val="single"/>
              </w:rPr>
            </w:pPr>
          </w:p>
        </w:tc>
      </w:tr>
      <w:tr w14:paraId="5991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69228171">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2</w:t>
            </w:r>
          </w:p>
        </w:tc>
        <w:tc>
          <w:tcPr>
            <w:tcW w:w="998" w:type="pct"/>
            <w:vAlign w:val="center"/>
          </w:tcPr>
          <w:p w14:paraId="2D700371">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7DDE22CA">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42C8904E">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0F1E8E5A">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624A46A6">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4B9B3494">
            <w:pPr>
              <w:snapToGrid w:val="0"/>
              <w:spacing w:line="400" w:lineRule="exact"/>
              <w:jc w:val="center"/>
              <w:rPr>
                <w:rFonts w:ascii="Times New Roman" w:hAnsi="Times New Roman" w:eastAsia="楷体" w:cs="Times New Roman"/>
                <w:color w:val="auto"/>
                <w:szCs w:val="21"/>
                <w:u w:val="single"/>
              </w:rPr>
            </w:pPr>
          </w:p>
        </w:tc>
      </w:tr>
      <w:tr w14:paraId="397C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2436480D">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3</w:t>
            </w:r>
          </w:p>
        </w:tc>
        <w:tc>
          <w:tcPr>
            <w:tcW w:w="998" w:type="pct"/>
            <w:vAlign w:val="center"/>
          </w:tcPr>
          <w:p w14:paraId="46AEAC13">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59B347CA">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4A88204E">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7783BB8C">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73CC9C18">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5DD8094F">
            <w:pPr>
              <w:snapToGrid w:val="0"/>
              <w:spacing w:line="400" w:lineRule="exact"/>
              <w:jc w:val="center"/>
              <w:rPr>
                <w:rFonts w:ascii="Times New Roman" w:hAnsi="Times New Roman" w:eastAsia="楷体" w:cs="Times New Roman"/>
                <w:color w:val="auto"/>
                <w:szCs w:val="21"/>
                <w:u w:val="single"/>
              </w:rPr>
            </w:pPr>
          </w:p>
        </w:tc>
      </w:tr>
      <w:tr w14:paraId="1352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3E2AFE0B">
            <w:pPr>
              <w:snapToGrid w:val="0"/>
              <w:spacing w:line="40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t>……</w:t>
            </w:r>
          </w:p>
        </w:tc>
        <w:tc>
          <w:tcPr>
            <w:tcW w:w="998" w:type="pct"/>
            <w:vAlign w:val="center"/>
          </w:tcPr>
          <w:p w14:paraId="0773A0AF">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577A9B79">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721A9C62">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5B1D66FF">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2144C9E3">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7F12BF86">
            <w:pPr>
              <w:snapToGrid w:val="0"/>
              <w:spacing w:line="400" w:lineRule="exact"/>
              <w:jc w:val="center"/>
              <w:rPr>
                <w:rFonts w:ascii="Times New Roman" w:hAnsi="Times New Roman" w:eastAsia="楷体" w:cs="Times New Roman"/>
                <w:color w:val="auto"/>
                <w:szCs w:val="21"/>
                <w:u w:val="single"/>
              </w:rPr>
            </w:pPr>
          </w:p>
        </w:tc>
      </w:tr>
      <w:tr w14:paraId="2B36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04423FBC">
            <w:pPr>
              <w:snapToGrid w:val="0"/>
              <w:spacing w:line="400" w:lineRule="exact"/>
              <w:jc w:val="center"/>
              <w:rPr>
                <w:rFonts w:ascii="Times New Roman" w:hAnsi="Times New Roman" w:eastAsia="楷体" w:cs="Times New Roman"/>
                <w:color w:val="auto"/>
                <w:szCs w:val="21"/>
              </w:rPr>
            </w:pPr>
          </w:p>
        </w:tc>
        <w:tc>
          <w:tcPr>
            <w:tcW w:w="998" w:type="pct"/>
            <w:vAlign w:val="center"/>
          </w:tcPr>
          <w:p w14:paraId="3CC680B1">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7D4A8DF">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D530A0C">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4D9D56B8">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11A04DDC">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74D940D2">
            <w:pPr>
              <w:snapToGrid w:val="0"/>
              <w:spacing w:line="400" w:lineRule="exact"/>
              <w:jc w:val="center"/>
              <w:rPr>
                <w:rFonts w:ascii="Times New Roman" w:hAnsi="Times New Roman" w:eastAsia="楷体" w:cs="Times New Roman"/>
                <w:color w:val="auto"/>
                <w:szCs w:val="21"/>
                <w:u w:val="single"/>
              </w:rPr>
            </w:pPr>
          </w:p>
        </w:tc>
      </w:tr>
      <w:tr w14:paraId="2FD9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1F49CBA5">
            <w:pPr>
              <w:snapToGrid w:val="0"/>
              <w:spacing w:line="400" w:lineRule="exact"/>
              <w:jc w:val="center"/>
              <w:rPr>
                <w:rFonts w:ascii="Times New Roman" w:hAnsi="Times New Roman" w:eastAsia="楷体" w:cs="Times New Roman"/>
                <w:color w:val="auto"/>
                <w:szCs w:val="21"/>
              </w:rPr>
            </w:pPr>
          </w:p>
        </w:tc>
        <w:tc>
          <w:tcPr>
            <w:tcW w:w="998" w:type="pct"/>
            <w:vAlign w:val="center"/>
          </w:tcPr>
          <w:p w14:paraId="7BBD5053">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D3020A4">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779363B1">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0C34AC10">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43648CF2">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4CC47868">
            <w:pPr>
              <w:snapToGrid w:val="0"/>
              <w:spacing w:line="400" w:lineRule="exact"/>
              <w:jc w:val="center"/>
              <w:rPr>
                <w:rFonts w:ascii="Times New Roman" w:hAnsi="Times New Roman" w:eastAsia="楷体" w:cs="Times New Roman"/>
                <w:color w:val="auto"/>
                <w:szCs w:val="21"/>
                <w:u w:val="single"/>
              </w:rPr>
            </w:pPr>
          </w:p>
        </w:tc>
      </w:tr>
      <w:tr w14:paraId="5779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1B3C9E94">
            <w:pPr>
              <w:snapToGrid w:val="0"/>
              <w:spacing w:line="400" w:lineRule="exact"/>
              <w:jc w:val="center"/>
              <w:rPr>
                <w:rFonts w:ascii="Times New Roman" w:hAnsi="Times New Roman" w:eastAsia="楷体" w:cs="Times New Roman"/>
                <w:color w:val="auto"/>
                <w:szCs w:val="21"/>
              </w:rPr>
            </w:pPr>
          </w:p>
        </w:tc>
        <w:tc>
          <w:tcPr>
            <w:tcW w:w="998" w:type="pct"/>
            <w:vAlign w:val="center"/>
          </w:tcPr>
          <w:p w14:paraId="3601E57A">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2BEFF9CF">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31C13BC6">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108DD066">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3C277247">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0A785BDA">
            <w:pPr>
              <w:snapToGrid w:val="0"/>
              <w:spacing w:line="400" w:lineRule="exact"/>
              <w:jc w:val="center"/>
              <w:rPr>
                <w:rFonts w:ascii="Times New Roman" w:hAnsi="Times New Roman" w:eastAsia="楷体" w:cs="Times New Roman"/>
                <w:color w:val="auto"/>
                <w:szCs w:val="21"/>
                <w:u w:val="single"/>
              </w:rPr>
            </w:pPr>
          </w:p>
        </w:tc>
      </w:tr>
      <w:tr w14:paraId="4CE8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39CE286B">
            <w:pPr>
              <w:snapToGrid w:val="0"/>
              <w:spacing w:line="400" w:lineRule="exact"/>
              <w:jc w:val="center"/>
              <w:rPr>
                <w:rFonts w:ascii="Times New Roman" w:hAnsi="Times New Roman" w:eastAsia="楷体" w:cs="Times New Roman"/>
                <w:color w:val="auto"/>
                <w:szCs w:val="21"/>
              </w:rPr>
            </w:pPr>
          </w:p>
        </w:tc>
        <w:tc>
          <w:tcPr>
            <w:tcW w:w="998" w:type="pct"/>
            <w:vAlign w:val="center"/>
          </w:tcPr>
          <w:p w14:paraId="68D6D9FD">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558BED6">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12F1AA9B">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1EDF0E1D">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283C6B0E">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429E0EA6">
            <w:pPr>
              <w:snapToGrid w:val="0"/>
              <w:spacing w:line="400" w:lineRule="exact"/>
              <w:jc w:val="center"/>
              <w:rPr>
                <w:rFonts w:ascii="Times New Roman" w:hAnsi="Times New Roman" w:eastAsia="楷体" w:cs="Times New Roman"/>
                <w:color w:val="auto"/>
                <w:szCs w:val="21"/>
                <w:u w:val="single"/>
              </w:rPr>
            </w:pPr>
          </w:p>
        </w:tc>
      </w:tr>
      <w:tr w14:paraId="39C9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64CA68C7">
            <w:pPr>
              <w:snapToGrid w:val="0"/>
              <w:spacing w:line="400" w:lineRule="exact"/>
              <w:jc w:val="center"/>
              <w:rPr>
                <w:rFonts w:ascii="Times New Roman" w:hAnsi="Times New Roman" w:eastAsia="楷体" w:cs="Times New Roman"/>
                <w:color w:val="auto"/>
                <w:szCs w:val="21"/>
              </w:rPr>
            </w:pPr>
          </w:p>
        </w:tc>
        <w:tc>
          <w:tcPr>
            <w:tcW w:w="998" w:type="pct"/>
            <w:vAlign w:val="center"/>
          </w:tcPr>
          <w:p w14:paraId="32AD05B3">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1D941519">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339F95F0">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1E79CBA6">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3C030DA3">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6DC5586F">
            <w:pPr>
              <w:snapToGrid w:val="0"/>
              <w:spacing w:line="400" w:lineRule="exact"/>
              <w:jc w:val="center"/>
              <w:rPr>
                <w:rFonts w:ascii="Times New Roman" w:hAnsi="Times New Roman" w:eastAsia="楷体" w:cs="Times New Roman"/>
                <w:color w:val="auto"/>
                <w:szCs w:val="21"/>
                <w:u w:val="single"/>
              </w:rPr>
            </w:pPr>
          </w:p>
        </w:tc>
      </w:tr>
      <w:tr w14:paraId="0208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4" w:type="pct"/>
            <w:vAlign w:val="center"/>
          </w:tcPr>
          <w:p w14:paraId="54358548">
            <w:pPr>
              <w:snapToGrid w:val="0"/>
              <w:spacing w:line="400" w:lineRule="exact"/>
              <w:jc w:val="center"/>
              <w:rPr>
                <w:rFonts w:ascii="Times New Roman" w:hAnsi="Times New Roman" w:eastAsia="楷体" w:cs="Times New Roman"/>
                <w:color w:val="auto"/>
                <w:szCs w:val="21"/>
              </w:rPr>
            </w:pPr>
          </w:p>
        </w:tc>
        <w:tc>
          <w:tcPr>
            <w:tcW w:w="998" w:type="pct"/>
            <w:vAlign w:val="center"/>
          </w:tcPr>
          <w:p w14:paraId="5852A11C">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6FFDD4C2">
            <w:pPr>
              <w:snapToGrid w:val="0"/>
              <w:spacing w:line="400" w:lineRule="exact"/>
              <w:jc w:val="center"/>
              <w:rPr>
                <w:rFonts w:ascii="Times New Roman" w:hAnsi="Times New Roman" w:eastAsia="楷体" w:cs="Times New Roman"/>
                <w:color w:val="auto"/>
                <w:szCs w:val="21"/>
                <w:u w:val="single"/>
              </w:rPr>
            </w:pPr>
          </w:p>
        </w:tc>
        <w:tc>
          <w:tcPr>
            <w:tcW w:w="785" w:type="pct"/>
            <w:vAlign w:val="center"/>
          </w:tcPr>
          <w:p w14:paraId="2802D7A0">
            <w:pPr>
              <w:snapToGrid w:val="0"/>
              <w:spacing w:line="400" w:lineRule="exact"/>
              <w:jc w:val="center"/>
              <w:rPr>
                <w:rFonts w:ascii="Times New Roman" w:hAnsi="Times New Roman" w:eastAsia="楷体" w:cs="Times New Roman"/>
                <w:color w:val="auto"/>
                <w:szCs w:val="21"/>
                <w:u w:val="single"/>
              </w:rPr>
            </w:pPr>
          </w:p>
        </w:tc>
        <w:tc>
          <w:tcPr>
            <w:tcW w:w="974" w:type="pct"/>
            <w:vAlign w:val="center"/>
          </w:tcPr>
          <w:p w14:paraId="3C50E6A7">
            <w:pPr>
              <w:snapToGrid w:val="0"/>
              <w:spacing w:line="400" w:lineRule="exact"/>
              <w:jc w:val="center"/>
              <w:rPr>
                <w:rFonts w:ascii="Times New Roman" w:hAnsi="Times New Roman" w:eastAsia="楷体" w:cs="Times New Roman"/>
                <w:color w:val="auto"/>
                <w:szCs w:val="21"/>
                <w:u w:val="single"/>
              </w:rPr>
            </w:pPr>
          </w:p>
        </w:tc>
        <w:tc>
          <w:tcPr>
            <w:tcW w:w="630" w:type="pct"/>
            <w:vAlign w:val="center"/>
          </w:tcPr>
          <w:p w14:paraId="57D07696">
            <w:pPr>
              <w:snapToGrid w:val="0"/>
              <w:spacing w:line="400" w:lineRule="exact"/>
              <w:jc w:val="center"/>
              <w:rPr>
                <w:rFonts w:ascii="Times New Roman" w:hAnsi="Times New Roman" w:eastAsia="楷体" w:cs="Times New Roman"/>
                <w:color w:val="auto"/>
                <w:szCs w:val="21"/>
                <w:u w:val="single"/>
              </w:rPr>
            </w:pPr>
          </w:p>
        </w:tc>
        <w:tc>
          <w:tcPr>
            <w:tcW w:w="453" w:type="pct"/>
            <w:vAlign w:val="center"/>
          </w:tcPr>
          <w:p w14:paraId="316F4722">
            <w:pPr>
              <w:snapToGrid w:val="0"/>
              <w:spacing w:line="400" w:lineRule="exact"/>
              <w:jc w:val="center"/>
              <w:rPr>
                <w:rFonts w:ascii="Times New Roman" w:hAnsi="Times New Roman" w:eastAsia="楷体" w:cs="Times New Roman"/>
                <w:color w:val="auto"/>
                <w:szCs w:val="21"/>
                <w:u w:val="single"/>
              </w:rPr>
            </w:pPr>
          </w:p>
        </w:tc>
      </w:tr>
    </w:tbl>
    <w:p w14:paraId="416E9857">
      <w:pPr>
        <w:snapToGrid w:val="0"/>
        <w:spacing w:line="400" w:lineRule="exact"/>
        <w:ind w:firstLine="424" w:firstLineChars="200"/>
        <w:rPr>
          <w:rFonts w:ascii="Times New Roman" w:hAnsi="Times New Roman" w:eastAsia="楷体" w:cs="Times New Roman"/>
          <w:b/>
          <w:color w:val="auto"/>
          <w:szCs w:val="21"/>
        </w:rPr>
      </w:pPr>
      <w:r>
        <w:rPr>
          <w:rFonts w:ascii="Times New Roman" w:hAnsi="Times New Roman" w:eastAsia="楷体" w:cs="Times New Roman"/>
          <w:b/>
          <w:color w:val="auto"/>
          <w:szCs w:val="21"/>
        </w:rPr>
        <w:t>附: 近三年类似项目业绩的相关证明材料，如中标通知书或合同复印件或业主评价等。</w:t>
      </w:r>
    </w:p>
    <w:p w14:paraId="65F03328">
      <w:pPr>
        <w:spacing w:line="400" w:lineRule="exact"/>
        <w:ind w:firstLine="424" w:firstLineChars="200"/>
        <w:rPr>
          <w:rFonts w:ascii="Times New Roman" w:hAnsi="Times New Roman" w:eastAsia="楷体" w:cs="Times New Roman"/>
          <w:color w:val="auto"/>
          <w:szCs w:val="21"/>
        </w:rPr>
      </w:pPr>
    </w:p>
    <w:p w14:paraId="3546E208">
      <w:pPr>
        <w:adjustRightInd w:val="0"/>
        <w:snapToGrid w:val="0"/>
        <w:spacing w:line="400" w:lineRule="exact"/>
        <w:ind w:firstLine="424" w:firstLineChars="200"/>
        <w:jc w:val="right"/>
        <w:rPr>
          <w:rFonts w:ascii="Times New Roman" w:hAnsi="Times New Roman" w:eastAsia="楷体" w:cs="Times New Roman"/>
          <w:color w:val="auto"/>
          <w:szCs w:val="21"/>
        </w:rPr>
      </w:pPr>
    </w:p>
    <w:p w14:paraId="3556883A">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谈判申请单位：</w:t>
      </w:r>
      <w:r>
        <w:rPr>
          <w:rFonts w:ascii="Times New Roman" w:hAnsi="Times New Roman" w:eastAsia="楷体" w:cs="Times New Roman"/>
          <w:color w:val="auto"/>
          <w:szCs w:val="21"/>
          <w:u w:val="single"/>
        </w:rPr>
        <w:t xml:space="preserve">                     （盖章）</w:t>
      </w:r>
    </w:p>
    <w:p w14:paraId="5FAE6A1C">
      <w:pPr>
        <w:tabs>
          <w:tab w:val="left" w:pos="4605"/>
        </w:tabs>
        <w:adjustRightInd w:val="0"/>
        <w:snapToGrid w:val="0"/>
        <w:spacing w:line="400" w:lineRule="exact"/>
        <w:ind w:firstLine="424" w:firstLineChars="200"/>
        <w:jc w:val="right"/>
        <w:rPr>
          <w:rFonts w:ascii="Times New Roman" w:hAnsi="Times New Roman" w:eastAsia="楷体" w:cs="Times New Roman"/>
          <w:color w:val="auto"/>
          <w:szCs w:val="21"/>
          <w:u w:val="single"/>
        </w:rPr>
      </w:pPr>
      <w:r>
        <w:rPr>
          <w:rFonts w:ascii="Times New Roman" w:hAnsi="Times New Roman" w:eastAsia="楷体" w:cs="Times New Roman"/>
          <w:color w:val="auto"/>
          <w:szCs w:val="21"/>
        </w:rPr>
        <w:t>法定代表人（或委托代理人）：</w:t>
      </w:r>
      <w:r>
        <w:rPr>
          <w:rFonts w:ascii="Times New Roman" w:hAnsi="Times New Roman" w:eastAsia="楷体" w:cs="Times New Roman"/>
          <w:color w:val="auto"/>
          <w:szCs w:val="21"/>
          <w:u w:val="single"/>
        </w:rPr>
        <w:t xml:space="preserve">        （签字或盖章）    </w:t>
      </w:r>
    </w:p>
    <w:p w14:paraId="7D2336B7">
      <w:pPr>
        <w:adjustRightInd w:val="0"/>
        <w:snapToGrid w:val="0"/>
        <w:spacing w:line="400" w:lineRule="exact"/>
        <w:ind w:firstLine="424" w:firstLineChars="200"/>
        <w:jc w:val="right"/>
        <w:rPr>
          <w:rFonts w:ascii="Times New Roman" w:hAnsi="Times New Roman" w:eastAsia="楷体" w:cs="Times New Roman"/>
          <w:color w:val="auto"/>
          <w:sz w:val="24"/>
          <w:szCs w:val="24"/>
        </w:rPr>
      </w:pPr>
      <w:r>
        <w:rPr>
          <w:rFonts w:ascii="Times New Roman" w:hAnsi="Times New Roman" w:eastAsia="楷体" w:cs="Times New Roman"/>
          <w:color w:val="auto"/>
          <w:szCs w:val="21"/>
        </w:rPr>
        <w:t>日期：202</w:t>
      </w:r>
      <w:r>
        <w:rPr>
          <w:rFonts w:hint="eastAsia" w:ascii="Times New Roman" w:hAnsi="Times New Roman" w:eastAsia="楷体" w:cs="Times New Roman"/>
          <w:color w:val="auto"/>
          <w:szCs w:val="21"/>
          <w:lang w:val="en-US" w:eastAsia="zh-CN"/>
        </w:rPr>
        <w:t>4</w:t>
      </w:r>
      <w:r>
        <w:rPr>
          <w:rFonts w:ascii="Times New Roman" w:hAnsi="Times New Roman" w:eastAsia="楷体" w:cs="Times New Roman"/>
          <w:color w:val="auto"/>
          <w:szCs w:val="21"/>
        </w:rPr>
        <w:t>年  月  日</w:t>
      </w:r>
    </w:p>
    <w:p w14:paraId="42A2C0E5">
      <w:pPr>
        <w:snapToGrid w:val="0"/>
        <w:spacing w:line="400" w:lineRule="exact"/>
        <w:ind w:firstLine="484" w:firstLineChars="200"/>
        <w:jc w:val="right"/>
        <w:rPr>
          <w:rFonts w:ascii="Times New Roman" w:hAnsi="Times New Roman" w:eastAsia="楷体" w:cs="Times New Roman"/>
          <w:color w:val="auto"/>
          <w:sz w:val="24"/>
          <w:szCs w:val="24"/>
        </w:rPr>
      </w:pPr>
      <w:r>
        <w:rPr>
          <w:rFonts w:ascii="Times New Roman" w:hAnsi="Times New Roman" w:eastAsia="楷体" w:cs="Times New Roman"/>
          <w:color w:val="auto"/>
          <w:sz w:val="24"/>
          <w:szCs w:val="24"/>
        </w:rPr>
        <w:br w:type="page"/>
      </w:r>
    </w:p>
    <w:p w14:paraId="05995F61">
      <w:pPr>
        <w:keepNext/>
        <w:keepLines/>
        <w:spacing w:line="400" w:lineRule="exact"/>
        <w:ind w:firstLine="484" w:firstLineChars="200"/>
        <w:jc w:val="center"/>
        <w:outlineLvl w:val="1"/>
        <w:rPr>
          <w:rFonts w:ascii="Times New Roman" w:hAnsi="Times New Roman" w:eastAsia="楷体" w:cs="Times New Roman"/>
          <w:b/>
          <w:bCs/>
          <w:color w:val="auto"/>
          <w:sz w:val="24"/>
          <w:szCs w:val="24"/>
        </w:rPr>
      </w:pPr>
      <w:bookmarkStart w:id="97" w:name="_Toc22905"/>
      <w:bookmarkStart w:id="98" w:name="_Toc22682"/>
      <w:bookmarkStart w:id="99" w:name="_Toc227580124"/>
      <w:r>
        <w:rPr>
          <w:rFonts w:ascii="Times New Roman" w:hAnsi="Times New Roman" w:eastAsia="楷体" w:cs="Times New Roman"/>
          <w:b/>
          <w:bCs/>
          <w:color w:val="auto"/>
          <w:sz w:val="24"/>
          <w:szCs w:val="24"/>
        </w:rPr>
        <w:t>八、技术谈判申请文件</w:t>
      </w:r>
      <w:bookmarkEnd w:id="97"/>
      <w:bookmarkEnd w:id="98"/>
    </w:p>
    <w:bookmarkEnd w:id="99"/>
    <w:p w14:paraId="6851A70E">
      <w:pPr>
        <w:pStyle w:val="4"/>
        <w:spacing w:before="0" w:after="0" w:line="360" w:lineRule="auto"/>
        <w:jc w:val="center"/>
        <w:rPr>
          <w:rFonts w:hint="eastAsia" w:ascii="方正小标宋简体" w:hAnsi="宋体" w:eastAsia="方正小标宋简体"/>
          <w:b w:val="0"/>
          <w:bCs w:val="0"/>
          <w:color w:val="auto"/>
          <w:sz w:val="24"/>
          <w:szCs w:val="21"/>
          <w:lang w:eastAsia="zh-CN"/>
        </w:rPr>
      </w:pPr>
      <w:bookmarkStart w:id="100" w:name="_Toc40964970"/>
      <w:bookmarkStart w:id="101" w:name="_Toc40965204"/>
      <w:r>
        <w:rPr>
          <w:rFonts w:hint="eastAsia" w:ascii="方正小标宋简体" w:hAnsi="宋体" w:eastAsia="方正小标宋简体"/>
          <w:b w:val="0"/>
          <w:bCs w:val="0"/>
          <w:color w:val="auto"/>
          <w:sz w:val="24"/>
          <w:szCs w:val="21"/>
        </w:rPr>
        <w:t>一、</w:t>
      </w:r>
      <w:r>
        <w:rPr>
          <w:rFonts w:hint="eastAsia" w:ascii="方正小标宋简体" w:hAnsi="宋体" w:eastAsia="方正小标宋简体"/>
          <w:b w:val="0"/>
          <w:bCs w:val="0"/>
          <w:color w:val="auto"/>
          <w:sz w:val="24"/>
          <w:szCs w:val="21"/>
          <w:lang w:eastAsia="zh-CN"/>
        </w:rPr>
        <w:t>服务方案</w:t>
      </w:r>
    </w:p>
    <w:p w14:paraId="650307B4">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1、xx实施方案</w:t>
      </w:r>
    </w:p>
    <w:p w14:paraId="2C7591CB">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（格式自拟）</w:t>
      </w:r>
    </w:p>
    <w:p w14:paraId="60A92099">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2、xx质量保证措施</w:t>
      </w:r>
    </w:p>
    <w:p w14:paraId="5DA5B502">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（格式自拟）</w:t>
      </w:r>
    </w:p>
    <w:p w14:paraId="0C7FDC43">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3、服务工期保障措施、廉洁管理措施及承诺</w:t>
      </w:r>
    </w:p>
    <w:p w14:paraId="2B02BB92">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（格式自拟）</w:t>
      </w:r>
    </w:p>
    <w:p w14:paraId="0827C1EC">
      <w:pPr>
        <w:pStyle w:val="2"/>
        <w:spacing w:before="0" w:after="0" w:line="560" w:lineRule="exact"/>
        <w:jc w:val="center"/>
        <w:rPr>
          <w:rFonts w:ascii="方正小标宋简体" w:hAnsi="宋体" w:eastAsia="方正小标宋简体"/>
          <w:b w:val="0"/>
          <w:bCs w:val="0"/>
          <w:color w:val="auto"/>
          <w:sz w:val="24"/>
          <w:szCs w:val="21"/>
        </w:rPr>
      </w:pPr>
      <w:r>
        <w:rPr>
          <w:rFonts w:hint="eastAsia" w:ascii="方正小标宋简体" w:hAnsi="宋体" w:eastAsia="方正小标宋简体"/>
          <w:b w:val="0"/>
          <w:bCs w:val="0"/>
          <w:color w:val="auto"/>
          <w:sz w:val="24"/>
          <w:szCs w:val="21"/>
        </w:rPr>
        <w:t>二、拟投入本项目人员配备情况</w:t>
      </w:r>
      <w:bookmarkEnd w:id="100"/>
      <w:bookmarkEnd w:id="101"/>
    </w:p>
    <w:p w14:paraId="4ED0265C">
      <w:pPr>
        <w:rPr>
          <w:color w:val="auto"/>
        </w:rPr>
      </w:pPr>
    </w:p>
    <w:p w14:paraId="6ADD92DA">
      <w:pPr>
        <w:pStyle w:val="4"/>
        <w:jc w:val="center"/>
        <w:rPr>
          <w:rFonts w:ascii="宋体" w:hAnsi="宋体"/>
          <w:b w:val="0"/>
          <w:color w:val="auto"/>
          <w:sz w:val="24"/>
          <w:szCs w:val="18"/>
        </w:rPr>
      </w:pPr>
      <w:bookmarkStart w:id="102" w:name="_Toc40965205"/>
      <w:bookmarkStart w:id="103" w:name="_Toc40089252"/>
      <w:bookmarkStart w:id="104" w:name="_Toc40964971"/>
      <w:r>
        <w:rPr>
          <w:rFonts w:hint="eastAsia" w:ascii="宋体" w:hAnsi="宋体"/>
          <w:b w:val="0"/>
          <w:color w:val="auto"/>
          <w:sz w:val="24"/>
          <w:szCs w:val="18"/>
        </w:rPr>
        <w:t>人员配置情况表</w:t>
      </w:r>
      <w:bookmarkEnd w:id="102"/>
      <w:bookmarkEnd w:id="103"/>
      <w:bookmarkEnd w:id="104"/>
    </w:p>
    <w:tbl>
      <w:tblPr>
        <w:tblStyle w:val="84"/>
        <w:tblW w:w="791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909"/>
        <w:gridCol w:w="750"/>
        <w:gridCol w:w="820"/>
        <w:gridCol w:w="820"/>
        <w:gridCol w:w="820"/>
        <w:gridCol w:w="820"/>
        <w:gridCol w:w="1665"/>
      </w:tblGrid>
      <w:tr w14:paraId="0CF8ACA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30D68874">
            <w:pPr>
              <w:spacing w:line="560" w:lineRule="exact"/>
              <w:jc w:val="center"/>
              <w:rPr>
                <w:rFonts w:ascii="楷体" w:hAnsi="楷体" w:eastAsia="楷体"/>
                <w:b/>
                <w:color w:val="auto"/>
                <w:sz w:val="24"/>
              </w:rPr>
            </w:pPr>
            <w:r>
              <w:rPr>
                <w:rFonts w:hint="eastAsia" w:ascii="楷体" w:hAnsi="楷体" w:eastAsia="楷体" w:cs="微软雅黑"/>
                <w:b/>
                <w:color w:val="auto"/>
                <w:sz w:val="24"/>
              </w:rPr>
              <w:t>负责岗位</w:t>
            </w:r>
          </w:p>
        </w:tc>
        <w:tc>
          <w:tcPr>
            <w:tcW w:w="909" w:type="dxa"/>
            <w:vAlign w:val="center"/>
          </w:tcPr>
          <w:p w14:paraId="2BA3B622">
            <w:pPr>
              <w:spacing w:line="560" w:lineRule="exact"/>
              <w:jc w:val="center"/>
              <w:rPr>
                <w:rFonts w:ascii="楷体" w:hAnsi="楷体" w:eastAsia="楷体"/>
                <w:b/>
                <w:color w:val="auto"/>
                <w:sz w:val="24"/>
              </w:rPr>
            </w:pPr>
            <w:r>
              <w:rPr>
                <w:rFonts w:hint="eastAsia" w:ascii="楷体" w:hAnsi="楷体" w:eastAsia="楷体" w:cs="微软雅黑"/>
                <w:b/>
                <w:color w:val="auto"/>
                <w:sz w:val="24"/>
              </w:rPr>
              <w:t>姓名</w:t>
            </w:r>
          </w:p>
        </w:tc>
        <w:tc>
          <w:tcPr>
            <w:tcW w:w="750" w:type="dxa"/>
            <w:vAlign w:val="center"/>
          </w:tcPr>
          <w:p w14:paraId="5A371ECA">
            <w:pPr>
              <w:spacing w:line="560" w:lineRule="exact"/>
              <w:jc w:val="center"/>
              <w:rPr>
                <w:rFonts w:ascii="楷体" w:hAnsi="楷体" w:eastAsia="楷体"/>
                <w:b/>
                <w:color w:val="auto"/>
                <w:sz w:val="24"/>
              </w:rPr>
            </w:pPr>
            <w:r>
              <w:rPr>
                <w:rFonts w:hint="eastAsia" w:ascii="楷体" w:hAnsi="楷体" w:eastAsia="楷体" w:cs="微软雅黑"/>
                <w:b/>
                <w:color w:val="auto"/>
                <w:sz w:val="24"/>
              </w:rPr>
              <w:t>性别</w:t>
            </w:r>
          </w:p>
        </w:tc>
        <w:tc>
          <w:tcPr>
            <w:tcW w:w="820" w:type="dxa"/>
            <w:vAlign w:val="center"/>
          </w:tcPr>
          <w:p w14:paraId="0983B764">
            <w:pPr>
              <w:spacing w:line="560" w:lineRule="exact"/>
              <w:jc w:val="center"/>
              <w:rPr>
                <w:rFonts w:ascii="楷体" w:hAnsi="楷体" w:eastAsia="楷体"/>
                <w:b/>
                <w:color w:val="auto"/>
                <w:sz w:val="24"/>
              </w:rPr>
            </w:pPr>
            <w:r>
              <w:rPr>
                <w:rFonts w:hint="eastAsia" w:ascii="楷体" w:hAnsi="楷体" w:eastAsia="楷体" w:cs="微软雅黑"/>
                <w:b/>
                <w:color w:val="auto"/>
                <w:sz w:val="24"/>
              </w:rPr>
              <w:t>年龄</w:t>
            </w:r>
          </w:p>
        </w:tc>
        <w:tc>
          <w:tcPr>
            <w:tcW w:w="820" w:type="dxa"/>
            <w:vAlign w:val="center"/>
          </w:tcPr>
          <w:p w14:paraId="33265EE2">
            <w:pPr>
              <w:spacing w:line="560" w:lineRule="exact"/>
              <w:jc w:val="center"/>
              <w:rPr>
                <w:rFonts w:ascii="楷体" w:hAnsi="楷体" w:eastAsia="楷体"/>
                <w:b/>
                <w:color w:val="auto"/>
                <w:sz w:val="24"/>
              </w:rPr>
            </w:pPr>
            <w:r>
              <w:rPr>
                <w:rFonts w:hint="eastAsia" w:ascii="楷体" w:hAnsi="楷体" w:eastAsia="楷体" w:cs="微软雅黑"/>
                <w:b/>
                <w:color w:val="auto"/>
                <w:sz w:val="24"/>
              </w:rPr>
              <w:t>职称</w:t>
            </w:r>
          </w:p>
        </w:tc>
        <w:tc>
          <w:tcPr>
            <w:tcW w:w="820" w:type="dxa"/>
            <w:vAlign w:val="center"/>
          </w:tcPr>
          <w:p w14:paraId="21B5F006">
            <w:pPr>
              <w:spacing w:line="560" w:lineRule="exact"/>
              <w:jc w:val="center"/>
              <w:rPr>
                <w:rFonts w:ascii="楷体" w:hAnsi="楷体" w:eastAsia="楷体"/>
                <w:b/>
                <w:color w:val="auto"/>
                <w:sz w:val="24"/>
              </w:rPr>
            </w:pPr>
            <w:r>
              <w:rPr>
                <w:rFonts w:hint="eastAsia" w:ascii="楷体" w:hAnsi="楷体" w:eastAsia="楷体" w:cs="微软雅黑"/>
                <w:b/>
                <w:color w:val="auto"/>
                <w:sz w:val="24"/>
              </w:rPr>
              <w:t>职务</w:t>
            </w:r>
          </w:p>
        </w:tc>
        <w:tc>
          <w:tcPr>
            <w:tcW w:w="820" w:type="dxa"/>
            <w:vAlign w:val="center"/>
          </w:tcPr>
          <w:p w14:paraId="01DC21B5">
            <w:pPr>
              <w:spacing w:line="560" w:lineRule="exact"/>
              <w:jc w:val="center"/>
              <w:rPr>
                <w:rFonts w:ascii="楷体" w:hAnsi="楷体" w:eastAsia="楷体"/>
                <w:b/>
                <w:color w:val="auto"/>
                <w:sz w:val="24"/>
              </w:rPr>
            </w:pPr>
            <w:r>
              <w:rPr>
                <w:rFonts w:hint="eastAsia" w:ascii="楷体" w:hAnsi="楷体" w:eastAsia="楷体" w:cs="微软雅黑"/>
                <w:b/>
                <w:color w:val="auto"/>
                <w:sz w:val="24"/>
              </w:rPr>
              <w:t>学历</w:t>
            </w:r>
          </w:p>
        </w:tc>
        <w:tc>
          <w:tcPr>
            <w:tcW w:w="1665" w:type="dxa"/>
            <w:vAlign w:val="center"/>
          </w:tcPr>
          <w:p w14:paraId="0AA0A434">
            <w:pPr>
              <w:spacing w:line="560" w:lineRule="exact"/>
              <w:jc w:val="center"/>
              <w:rPr>
                <w:rFonts w:ascii="楷体" w:hAnsi="楷体" w:eastAsia="楷体"/>
                <w:b/>
                <w:color w:val="auto"/>
                <w:sz w:val="24"/>
              </w:rPr>
            </w:pPr>
            <w:r>
              <w:rPr>
                <w:rFonts w:hint="eastAsia" w:ascii="楷体" w:hAnsi="楷体" w:eastAsia="楷体" w:cs="微软雅黑"/>
                <w:b/>
                <w:color w:val="auto"/>
                <w:sz w:val="24"/>
              </w:rPr>
              <w:t>执业</w:t>
            </w:r>
            <w:r>
              <w:rPr>
                <w:rFonts w:ascii="楷体" w:hAnsi="楷体" w:eastAsia="楷体"/>
                <w:b/>
                <w:color w:val="auto"/>
                <w:sz w:val="24"/>
              </w:rPr>
              <w:t>/</w:t>
            </w:r>
            <w:r>
              <w:rPr>
                <w:rFonts w:hint="eastAsia" w:ascii="楷体" w:hAnsi="楷体" w:eastAsia="楷体" w:cs="微软雅黑"/>
                <w:b/>
                <w:color w:val="auto"/>
                <w:sz w:val="24"/>
              </w:rPr>
              <w:t>职业资格</w:t>
            </w:r>
          </w:p>
        </w:tc>
      </w:tr>
      <w:tr w14:paraId="0206DBB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145355FE">
            <w:pPr>
              <w:spacing w:line="560" w:lineRule="exact"/>
              <w:jc w:val="center"/>
              <w:rPr>
                <w:rFonts w:ascii="楷体" w:hAnsi="楷体" w:eastAsia="楷体"/>
                <w:color w:val="auto"/>
              </w:rPr>
            </w:pPr>
            <w:r>
              <w:rPr>
                <w:rFonts w:hint="eastAsia" w:ascii="楷体" w:hAnsi="楷体" w:eastAsia="楷体" w:cs="微软雅黑"/>
                <w:color w:val="auto"/>
              </w:rPr>
              <w:t>项目负责人</w:t>
            </w:r>
          </w:p>
        </w:tc>
        <w:tc>
          <w:tcPr>
            <w:tcW w:w="909" w:type="dxa"/>
            <w:vAlign w:val="center"/>
          </w:tcPr>
          <w:p w14:paraId="38C5B563">
            <w:pPr>
              <w:spacing w:line="560" w:lineRule="exact"/>
              <w:jc w:val="center"/>
              <w:rPr>
                <w:rFonts w:ascii="楷体" w:hAnsi="楷体" w:eastAsia="楷体"/>
                <w:color w:val="auto"/>
              </w:rPr>
            </w:pPr>
          </w:p>
        </w:tc>
        <w:tc>
          <w:tcPr>
            <w:tcW w:w="750" w:type="dxa"/>
            <w:vAlign w:val="center"/>
          </w:tcPr>
          <w:p w14:paraId="7972FA0D">
            <w:pPr>
              <w:spacing w:line="560" w:lineRule="exact"/>
              <w:jc w:val="center"/>
              <w:rPr>
                <w:rFonts w:ascii="楷体" w:hAnsi="楷体" w:eastAsia="楷体"/>
                <w:color w:val="auto"/>
              </w:rPr>
            </w:pPr>
          </w:p>
        </w:tc>
        <w:tc>
          <w:tcPr>
            <w:tcW w:w="820" w:type="dxa"/>
            <w:vAlign w:val="center"/>
          </w:tcPr>
          <w:p w14:paraId="5BB6B1F4">
            <w:pPr>
              <w:spacing w:line="560" w:lineRule="exact"/>
              <w:jc w:val="center"/>
              <w:rPr>
                <w:rFonts w:ascii="楷体" w:hAnsi="楷体" w:eastAsia="楷体"/>
                <w:color w:val="auto"/>
              </w:rPr>
            </w:pPr>
          </w:p>
        </w:tc>
        <w:tc>
          <w:tcPr>
            <w:tcW w:w="820" w:type="dxa"/>
            <w:vAlign w:val="center"/>
          </w:tcPr>
          <w:p w14:paraId="2D672EE6">
            <w:pPr>
              <w:spacing w:line="560" w:lineRule="exact"/>
              <w:jc w:val="center"/>
              <w:rPr>
                <w:rFonts w:ascii="楷体" w:hAnsi="楷体" w:eastAsia="楷体"/>
                <w:color w:val="auto"/>
              </w:rPr>
            </w:pPr>
          </w:p>
        </w:tc>
        <w:tc>
          <w:tcPr>
            <w:tcW w:w="820" w:type="dxa"/>
            <w:vAlign w:val="center"/>
          </w:tcPr>
          <w:p w14:paraId="31569B50">
            <w:pPr>
              <w:spacing w:line="560" w:lineRule="exact"/>
              <w:jc w:val="center"/>
              <w:rPr>
                <w:rFonts w:ascii="楷体" w:hAnsi="楷体" w:eastAsia="楷体"/>
                <w:color w:val="auto"/>
              </w:rPr>
            </w:pPr>
          </w:p>
        </w:tc>
        <w:tc>
          <w:tcPr>
            <w:tcW w:w="820" w:type="dxa"/>
            <w:vAlign w:val="center"/>
          </w:tcPr>
          <w:p w14:paraId="0E32B068">
            <w:pPr>
              <w:spacing w:line="560" w:lineRule="exact"/>
              <w:jc w:val="center"/>
              <w:rPr>
                <w:rFonts w:ascii="楷体" w:hAnsi="楷体" w:eastAsia="楷体"/>
                <w:color w:val="auto"/>
              </w:rPr>
            </w:pPr>
          </w:p>
        </w:tc>
        <w:tc>
          <w:tcPr>
            <w:tcW w:w="1665" w:type="dxa"/>
            <w:vAlign w:val="center"/>
          </w:tcPr>
          <w:p w14:paraId="009527D2">
            <w:pPr>
              <w:spacing w:line="560" w:lineRule="exact"/>
              <w:jc w:val="center"/>
              <w:rPr>
                <w:rFonts w:ascii="楷体" w:hAnsi="楷体" w:eastAsia="楷体"/>
                <w:color w:val="auto"/>
              </w:rPr>
            </w:pPr>
          </w:p>
        </w:tc>
      </w:tr>
      <w:tr w14:paraId="78D71EF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3B47EF5B">
            <w:pPr>
              <w:spacing w:line="560" w:lineRule="exact"/>
              <w:jc w:val="center"/>
              <w:rPr>
                <w:rFonts w:ascii="楷体" w:hAnsi="楷体" w:eastAsia="楷体"/>
                <w:color w:val="auto"/>
              </w:rPr>
            </w:pPr>
            <w:r>
              <w:rPr>
                <w:rFonts w:ascii="楷体" w:hAnsi="楷体" w:eastAsia="楷体"/>
                <w:color w:val="auto"/>
              </w:rPr>
              <w:t>…</w:t>
            </w:r>
          </w:p>
        </w:tc>
        <w:tc>
          <w:tcPr>
            <w:tcW w:w="909" w:type="dxa"/>
            <w:vAlign w:val="center"/>
          </w:tcPr>
          <w:p w14:paraId="737D4B89">
            <w:pPr>
              <w:spacing w:line="560" w:lineRule="exact"/>
              <w:jc w:val="center"/>
              <w:rPr>
                <w:rFonts w:ascii="楷体" w:hAnsi="楷体" w:eastAsia="楷体"/>
                <w:color w:val="auto"/>
              </w:rPr>
            </w:pPr>
          </w:p>
        </w:tc>
        <w:tc>
          <w:tcPr>
            <w:tcW w:w="750" w:type="dxa"/>
            <w:vAlign w:val="center"/>
          </w:tcPr>
          <w:p w14:paraId="4059C264">
            <w:pPr>
              <w:spacing w:line="560" w:lineRule="exact"/>
              <w:jc w:val="center"/>
              <w:rPr>
                <w:rFonts w:ascii="楷体" w:hAnsi="楷体" w:eastAsia="楷体"/>
                <w:color w:val="auto"/>
              </w:rPr>
            </w:pPr>
          </w:p>
        </w:tc>
        <w:tc>
          <w:tcPr>
            <w:tcW w:w="820" w:type="dxa"/>
            <w:vAlign w:val="center"/>
          </w:tcPr>
          <w:p w14:paraId="419FFE71">
            <w:pPr>
              <w:spacing w:line="560" w:lineRule="exact"/>
              <w:jc w:val="center"/>
              <w:rPr>
                <w:rFonts w:ascii="楷体" w:hAnsi="楷体" w:eastAsia="楷体"/>
                <w:color w:val="auto"/>
              </w:rPr>
            </w:pPr>
          </w:p>
        </w:tc>
        <w:tc>
          <w:tcPr>
            <w:tcW w:w="820" w:type="dxa"/>
            <w:vAlign w:val="center"/>
          </w:tcPr>
          <w:p w14:paraId="015240FA">
            <w:pPr>
              <w:spacing w:line="560" w:lineRule="exact"/>
              <w:jc w:val="center"/>
              <w:rPr>
                <w:rFonts w:ascii="楷体" w:hAnsi="楷体" w:eastAsia="楷体"/>
                <w:color w:val="auto"/>
              </w:rPr>
            </w:pPr>
          </w:p>
        </w:tc>
        <w:tc>
          <w:tcPr>
            <w:tcW w:w="820" w:type="dxa"/>
            <w:vAlign w:val="center"/>
          </w:tcPr>
          <w:p w14:paraId="7064CC92">
            <w:pPr>
              <w:spacing w:line="560" w:lineRule="exact"/>
              <w:jc w:val="center"/>
              <w:rPr>
                <w:rFonts w:ascii="楷体" w:hAnsi="楷体" w:eastAsia="楷体"/>
                <w:color w:val="auto"/>
              </w:rPr>
            </w:pPr>
          </w:p>
        </w:tc>
        <w:tc>
          <w:tcPr>
            <w:tcW w:w="820" w:type="dxa"/>
            <w:vAlign w:val="center"/>
          </w:tcPr>
          <w:p w14:paraId="74E6BCCC">
            <w:pPr>
              <w:spacing w:line="560" w:lineRule="exact"/>
              <w:jc w:val="center"/>
              <w:rPr>
                <w:rFonts w:ascii="楷体" w:hAnsi="楷体" w:eastAsia="楷体"/>
                <w:color w:val="auto"/>
              </w:rPr>
            </w:pPr>
          </w:p>
        </w:tc>
        <w:tc>
          <w:tcPr>
            <w:tcW w:w="1665" w:type="dxa"/>
            <w:vAlign w:val="center"/>
          </w:tcPr>
          <w:p w14:paraId="59F968EC">
            <w:pPr>
              <w:spacing w:line="560" w:lineRule="exact"/>
              <w:jc w:val="center"/>
              <w:rPr>
                <w:rFonts w:ascii="楷体" w:hAnsi="楷体" w:eastAsia="楷体"/>
                <w:color w:val="auto"/>
              </w:rPr>
            </w:pPr>
          </w:p>
        </w:tc>
      </w:tr>
      <w:tr w14:paraId="7197079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26C29FB1">
            <w:pPr>
              <w:spacing w:line="560" w:lineRule="exact"/>
              <w:jc w:val="center"/>
              <w:rPr>
                <w:rFonts w:ascii="楷体" w:hAnsi="楷体" w:eastAsia="楷体"/>
                <w:color w:val="auto"/>
              </w:rPr>
            </w:pPr>
            <w:r>
              <w:rPr>
                <w:rFonts w:ascii="楷体" w:hAnsi="楷体" w:eastAsia="楷体"/>
                <w:color w:val="auto"/>
              </w:rPr>
              <w:t>其他人</w:t>
            </w:r>
            <w:r>
              <w:rPr>
                <w:rFonts w:hint="eastAsia" w:ascii="楷体" w:hAnsi="楷体" w:eastAsia="楷体" w:cs="微软雅黑"/>
                <w:color w:val="auto"/>
              </w:rPr>
              <w:t>员</w:t>
            </w:r>
          </w:p>
        </w:tc>
        <w:tc>
          <w:tcPr>
            <w:tcW w:w="909" w:type="dxa"/>
            <w:vAlign w:val="center"/>
          </w:tcPr>
          <w:p w14:paraId="285B0A50">
            <w:pPr>
              <w:spacing w:line="560" w:lineRule="exact"/>
              <w:jc w:val="center"/>
              <w:rPr>
                <w:rFonts w:ascii="楷体" w:hAnsi="楷体" w:eastAsia="楷体"/>
                <w:color w:val="auto"/>
              </w:rPr>
            </w:pPr>
          </w:p>
        </w:tc>
        <w:tc>
          <w:tcPr>
            <w:tcW w:w="750" w:type="dxa"/>
            <w:vAlign w:val="center"/>
          </w:tcPr>
          <w:p w14:paraId="3C349FBA">
            <w:pPr>
              <w:spacing w:line="560" w:lineRule="exact"/>
              <w:jc w:val="center"/>
              <w:rPr>
                <w:rFonts w:ascii="楷体" w:hAnsi="楷体" w:eastAsia="楷体"/>
                <w:color w:val="auto"/>
              </w:rPr>
            </w:pPr>
          </w:p>
        </w:tc>
        <w:tc>
          <w:tcPr>
            <w:tcW w:w="820" w:type="dxa"/>
            <w:vAlign w:val="center"/>
          </w:tcPr>
          <w:p w14:paraId="479F64D3">
            <w:pPr>
              <w:spacing w:line="560" w:lineRule="exact"/>
              <w:jc w:val="center"/>
              <w:rPr>
                <w:rFonts w:ascii="楷体" w:hAnsi="楷体" w:eastAsia="楷体"/>
                <w:color w:val="auto"/>
              </w:rPr>
            </w:pPr>
          </w:p>
        </w:tc>
        <w:tc>
          <w:tcPr>
            <w:tcW w:w="820" w:type="dxa"/>
            <w:vAlign w:val="center"/>
          </w:tcPr>
          <w:p w14:paraId="6FDA2F83">
            <w:pPr>
              <w:spacing w:line="560" w:lineRule="exact"/>
              <w:jc w:val="center"/>
              <w:rPr>
                <w:rFonts w:ascii="楷体" w:hAnsi="楷体" w:eastAsia="楷体"/>
                <w:color w:val="auto"/>
              </w:rPr>
            </w:pPr>
          </w:p>
        </w:tc>
        <w:tc>
          <w:tcPr>
            <w:tcW w:w="820" w:type="dxa"/>
            <w:vAlign w:val="center"/>
          </w:tcPr>
          <w:p w14:paraId="52C401C3">
            <w:pPr>
              <w:spacing w:line="560" w:lineRule="exact"/>
              <w:jc w:val="center"/>
              <w:rPr>
                <w:rFonts w:ascii="楷体" w:hAnsi="楷体" w:eastAsia="楷体"/>
                <w:color w:val="auto"/>
              </w:rPr>
            </w:pPr>
          </w:p>
        </w:tc>
        <w:tc>
          <w:tcPr>
            <w:tcW w:w="820" w:type="dxa"/>
            <w:vAlign w:val="center"/>
          </w:tcPr>
          <w:p w14:paraId="6C6DC7AE">
            <w:pPr>
              <w:spacing w:line="560" w:lineRule="exact"/>
              <w:jc w:val="center"/>
              <w:rPr>
                <w:rFonts w:ascii="楷体" w:hAnsi="楷体" w:eastAsia="楷体"/>
                <w:color w:val="auto"/>
              </w:rPr>
            </w:pPr>
          </w:p>
        </w:tc>
        <w:tc>
          <w:tcPr>
            <w:tcW w:w="1665" w:type="dxa"/>
            <w:vAlign w:val="center"/>
          </w:tcPr>
          <w:p w14:paraId="548AE28D">
            <w:pPr>
              <w:spacing w:line="560" w:lineRule="exact"/>
              <w:jc w:val="center"/>
              <w:rPr>
                <w:rFonts w:ascii="楷体" w:hAnsi="楷体" w:eastAsia="楷体"/>
                <w:color w:val="auto"/>
              </w:rPr>
            </w:pPr>
          </w:p>
        </w:tc>
      </w:tr>
      <w:tr w14:paraId="143F38B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310" w:type="dxa"/>
            <w:vAlign w:val="center"/>
          </w:tcPr>
          <w:p w14:paraId="0DCFB534">
            <w:pPr>
              <w:spacing w:line="560" w:lineRule="exact"/>
              <w:jc w:val="center"/>
              <w:rPr>
                <w:rFonts w:ascii="楷体" w:hAnsi="楷体" w:eastAsia="楷体"/>
                <w:color w:val="auto"/>
              </w:rPr>
            </w:pPr>
          </w:p>
        </w:tc>
        <w:tc>
          <w:tcPr>
            <w:tcW w:w="909" w:type="dxa"/>
            <w:vAlign w:val="center"/>
          </w:tcPr>
          <w:p w14:paraId="6113448D">
            <w:pPr>
              <w:spacing w:line="560" w:lineRule="exact"/>
              <w:jc w:val="center"/>
              <w:rPr>
                <w:rFonts w:ascii="楷体" w:hAnsi="楷体" w:eastAsia="楷体"/>
                <w:color w:val="auto"/>
              </w:rPr>
            </w:pPr>
          </w:p>
        </w:tc>
        <w:tc>
          <w:tcPr>
            <w:tcW w:w="750" w:type="dxa"/>
            <w:vAlign w:val="center"/>
          </w:tcPr>
          <w:p w14:paraId="4DB71668">
            <w:pPr>
              <w:spacing w:line="560" w:lineRule="exact"/>
              <w:jc w:val="center"/>
              <w:rPr>
                <w:rFonts w:ascii="楷体" w:hAnsi="楷体" w:eastAsia="楷体"/>
                <w:color w:val="auto"/>
              </w:rPr>
            </w:pPr>
          </w:p>
        </w:tc>
        <w:tc>
          <w:tcPr>
            <w:tcW w:w="820" w:type="dxa"/>
            <w:vAlign w:val="center"/>
          </w:tcPr>
          <w:p w14:paraId="02C5B724">
            <w:pPr>
              <w:spacing w:line="560" w:lineRule="exact"/>
              <w:jc w:val="center"/>
              <w:rPr>
                <w:rFonts w:ascii="楷体" w:hAnsi="楷体" w:eastAsia="楷体"/>
                <w:color w:val="auto"/>
              </w:rPr>
            </w:pPr>
          </w:p>
        </w:tc>
        <w:tc>
          <w:tcPr>
            <w:tcW w:w="820" w:type="dxa"/>
            <w:vAlign w:val="center"/>
          </w:tcPr>
          <w:p w14:paraId="1B9CCE1D">
            <w:pPr>
              <w:spacing w:line="560" w:lineRule="exact"/>
              <w:jc w:val="center"/>
              <w:rPr>
                <w:rFonts w:ascii="楷体" w:hAnsi="楷体" w:eastAsia="楷体"/>
                <w:color w:val="auto"/>
              </w:rPr>
            </w:pPr>
          </w:p>
        </w:tc>
        <w:tc>
          <w:tcPr>
            <w:tcW w:w="820" w:type="dxa"/>
            <w:vAlign w:val="center"/>
          </w:tcPr>
          <w:p w14:paraId="56890104">
            <w:pPr>
              <w:spacing w:line="560" w:lineRule="exact"/>
              <w:jc w:val="center"/>
              <w:rPr>
                <w:rFonts w:ascii="楷体" w:hAnsi="楷体" w:eastAsia="楷体"/>
                <w:color w:val="auto"/>
              </w:rPr>
            </w:pPr>
          </w:p>
        </w:tc>
        <w:tc>
          <w:tcPr>
            <w:tcW w:w="820" w:type="dxa"/>
            <w:vAlign w:val="center"/>
          </w:tcPr>
          <w:p w14:paraId="40B60FAC">
            <w:pPr>
              <w:spacing w:line="560" w:lineRule="exact"/>
              <w:jc w:val="center"/>
              <w:rPr>
                <w:rFonts w:ascii="楷体" w:hAnsi="楷体" w:eastAsia="楷体"/>
                <w:color w:val="auto"/>
              </w:rPr>
            </w:pPr>
          </w:p>
        </w:tc>
        <w:tc>
          <w:tcPr>
            <w:tcW w:w="1665" w:type="dxa"/>
            <w:vAlign w:val="center"/>
          </w:tcPr>
          <w:p w14:paraId="4FDD156B">
            <w:pPr>
              <w:spacing w:line="560" w:lineRule="exact"/>
              <w:jc w:val="center"/>
              <w:rPr>
                <w:rFonts w:ascii="楷体" w:hAnsi="楷体" w:eastAsia="楷体"/>
                <w:color w:val="auto"/>
              </w:rPr>
            </w:pPr>
          </w:p>
        </w:tc>
      </w:tr>
    </w:tbl>
    <w:p w14:paraId="0718228F">
      <w:pPr>
        <w:pStyle w:val="42"/>
        <w:spacing w:line="560" w:lineRule="exact"/>
        <w:ind w:firstLine="968" w:firstLineChars="400"/>
        <w:rPr>
          <w:rFonts w:asciiTheme="minorEastAsia" w:hAnsiTheme="minorEastAsia"/>
          <w:bCs/>
          <w:color w:val="auto"/>
          <w:sz w:val="24"/>
        </w:rPr>
      </w:pPr>
      <w:r>
        <w:rPr>
          <w:rFonts w:asciiTheme="minorEastAsia" w:hAnsiTheme="minorEastAsia"/>
          <w:bCs/>
          <w:color w:val="auto"/>
          <w:sz w:val="24"/>
        </w:rPr>
        <w:t>法定代表人（单位负责人）或其委托代理人：</w:t>
      </w:r>
      <w:r>
        <w:rPr>
          <w:rFonts w:asciiTheme="minorEastAsia" w:hAnsiTheme="minorEastAsia"/>
          <w:bCs/>
          <w:color w:val="auto"/>
          <w:sz w:val="24"/>
          <w:u w:val="single"/>
        </w:rPr>
        <w:t xml:space="preserve">    （签字或盖章）     </w:t>
      </w:r>
    </w:p>
    <w:p w14:paraId="2DCB16AA">
      <w:pPr>
        <w:pStyle w:val="42"/>
        <w:spacing w:line="560" w:lineRule="exact"/>
        <w:ind w:firstLine="4114" w:firstLineChars="1700"/>
        <w:rPr>
          <w:rFonts w:asciiTheme="minorEastAsia" w:hAnsiTheme="minorEastAsia"/>
          <w:bCs/>
          <w:color w:val="auto"/>
          <w:sz w:val="24"/>
        </w:rPr>
      </w:pPr>
      <w:r>
        <w:rPr>
          <w:rFonts w:asciiTheme="minorEastAsia" w:hAnsiTheme="minorEastAsia"/>
          <w:bCs/>
          <w:color w:val="auto"/>
          <w:sz w:val="24"/>
        </w:rPr>
        <w:t>报价申请单位：</w:t>
      </w:r>
      <w:r>
        <w:rPr>
          <w:rFonts w:asciiTheme="minorEastAsia" w:hAnsiTheme="minorEastAsia"/>
          <w:bCs/>
          <w:color w:val="auto"/>
          <w:sz w:val="24"/>
          <w:u w:val="single"/>
        </w:rPr>
        <w:t xml:space="preserve">         （盖公章）          </w:t>
      </w:r>
    </w:p>
    <w:p w14:paraId="7A2C33F8">
      <w:pPr>
        <w:spacing w:line="560" w:lineRule="exact"/>
        <w:ind w:firstLine="4598" w:firstLineChars="1900"/>
        <w:rPr>
          <w:rFonts w:eastAsia="宋体" w:cs="Times New Roman" w:asciiTheme="minorEastAsia" w:hAnsiTheme="minorEastAsia"/>
          <w:bCs/>
          <w:color w:val="auto"/>
          <w:kern w:val="0"/>
          <w:sz w:val="24"/>
          <w:szCs w:val="20"/>
        </w:rPr>
      </w:pPr>
      <w:r>
        <w:rPr>
          <w:rFonts w:eastAsia="宋体" w:cs="Times New Roman" w:asciiTheme="minorEastAsia" w:hAnsiTheme="minorEastAsia"/>
          <w:bCs/>
          <w:color w:val="auto"/>
          <w:kern w:val="0"/>
          <w:sz w:val="24"/>
          <w:szCs w:val="20"/>
        </w:rPr>
        <w:t>日期：</w:t>
      </w:r>
    </w:p>
    <w:p w14:paraId="5DB5C9FB">
      <w:pPr>
        <w:widowControl/>
        <w:jc w:val="left"/>
        <w:rPr>
          <w:rFonts w:eastAsia="宋体" w:cs="Times New Roman" w:asciiTheme="minorEastAsia" w:hAnsiTheme="minorEastAsia"/>
          <w:bCs/>
          <w:color w:val="auto"/>
          <w:kern w:val="0"/>
          <w:sz w:val="24"/>
          <w:szCs w:val="20"/>
        </w:rPr>
      </w:pPr>
      <w:r>
        <w:rPr>
          <w:rFonts w:eastAsia="宋体" w:cs="Times New Roman" w:asciiTheme="minorEastAsia" w:hAnsiTheme="minorEastAsia"/>
          <w:bCs/>
          <w:color w:val="auto"/>
          <w:kern w:val="0"/>
          <w:sz w:val="24"/>
          <w:szCs w:val="20"/>
        </w:rPr>
        <w:br w:type="page"/>
      </w:r>
    </w:p>
    <w:p w14:paraId="1718D4B7">
      <w:pPr>
        <w:adjustRightInd w:val="0"/>
        <w:snapToGrid w:val="0"/>
        <w:spacing w:line="400" w:lineRule="exact"/>
        <w:ind w:firstLine="424" w:firstLineChars="200"/>
        <w:jc w:val="center"/>
        <w:rPr>
          <w:rFonts w:ascii="Times New Roman" w:hAnsi="Times New Roman" w:eastAsia="楷体" w:cs="Times New Roman"/>
          <w:b/>
          <w:bCs/>
          <w:color w:val="auto"/>
          <w:szCs w:val="21"/>
        </w:rPr>
      </w:pPr>
    </w:p>
    <w:p w14:paraId="0BE5A688">
      <w:pPr>
        <w:numPr>
          <w:ilvl w:val="0"/>
          <w:numId w:val="24"/>
        </w:numPr>
        <w:adjustRightInd w:val="0"/>
        <w:snapToGrid w:val="0"/>
        <w:spacing w:line="400" w:lineRule="exact"/>
        <w:ind w:firstLine="484" w:firstLineChars="200"/>
        <w:jc w:val="center"/>
        <w:rPr>
          <w:rFonts w:ascii="Times New Roman" w:hAnsi="Times New Roman" w:eastAsia="楷体" w:cs="Times New Roman"/>
          <w:b/>
          <w:bCs/>
          <w:color w:val="auto"/>
          <w:sz w:val="24"/>
          <w:szCs w:val="24"/>
        </w:rPr>
      </w:pPr>
      <w:r>
        <w:rPr>
          <w:rFonts w:ascii="Times New Roman" w:hAnsi="Times New Roman" w:eastAsia="楷体" w:cs="Times New Roman"/>
          <w:b/>
          <w:bCs/>
          <w:color w:val="auto"/>
          <w:sz w:val="24"/>
          <w:szCs w:val="24"/>
        </w:rPr>
        <w:t>谈判申请单位认为有必要提供的其他资料</w:t>
      </w:r>
    </w:p>
    <w:p w14:paraId="632E366E">
      <w:pPr>
        <w:pStyle w:val="2"/>
        <w:jc w:val="center"/>
        <w:rPr>
          <w:rFonts w:ascii="仿宋_GB2312" w:hAnsi="宋体" w:eastAsia="仿宋_GB2312"/>
          <w:color w:val="auto"/>
          <w:kern w:val="0"/>
          <w:sz w:val="24"/>
          <w:szCs w:val="21"/>
        </w:rPr>
      </w:pPr>
      <w:r>
        <w:rPr>
          <w:rFonts w:hint="eastAsia" w:ascii="仿宋_GB2312" w:hAnsi="宋体" w:eastAsia="仿宋_GB2312"/>
          <w:color w:val="auto"/>
          <w:kern w:val="0"/>
          <w:sz w:val="24"/>
          <w:szCs w:val="21"/>
        </w:rPr>
        <w:t>（格式自拟）</w:t>
      </w:r>
    </w:p>
    <w:p w14:paraId="13C97203">
      <w:pPr>
        <w:rPr>
          <w:rFonts w:ascii="仿宋_GB2312" w:hAnsi="宋体" w:eastAsia="仿宋_GB2312"/>
          <w:color w:val="auto"/>
          <w:kern w:val="0"/>
          <w:sz w:val="24"/>
          <w:szCs w:val="21"/>
        </w:rPr>
      </w:pPr>
    </w:p>
    <w:p w14:paraId="2381D5EB">
      <w:pPr>
        <w:pStyle w:val="2"/>
        <w:rPr>
          <w:rFonts w:ascii="仿宋_GB2312" w:hAnsi="宋体" w:eastAsia="仿宋_GB2312"/>
          <w:color w:val="auto"/>
          <w:kern w:val="0"/>
          <w:sz w:val="24"/>
          <w:szCs w:val="21"/>
        </w:rPr>
      </w:pPr>
    </w:p>
    <w:p w14:paraId="47A7E8B3">
      <w:pPr>
        <w:rPr>
          <w:rFonts w:ascii="仿宋_GB2312" w:hAnsi="宋体" w:eastAsia="仿宋_GB2312"/>
          <w:color w:val="auto"/>
          <w:kern w:val="0"/>
          <w:sz w:val="24"/>
          <w:szCs w:val="21"/>
        </w:rPr>
      </w:pPr>
    </w:p>
    <w:p w14:paraId="3EB06B03">
      <w:pPr>
        <w:pStyle w:val="2"/>
        <w:rPr>
          <w:rFonts w:ascii="仿宋_GB2312" w:hAnsi="宋体" w:eastAsia="仿宋_GB2312"/>
          <w:color w:val="auto"/>
          <w:kern w:val="0"/>
          <w:sz w:val="24"/>
          <w:szCs w:val="21"/>
        </w:rPr>
      </w:pPr>
    </w:p>
    <w:p w14:paraId="4A9E7B0D">
      <w:pPr>
        <w:rPr>
          <w:rFonts w:ascii="仿宋_GB2312" w:hAnsi="宋体" w:eastAsia="仿宋_GB2312"/>
          <w:color w:val="auto"/>
          <w:kern w:val="0"/>
          <w:sz w:val="24"/>
          <w:szCs w:val="21"/>
        </w:rPr>
      </w:pPr>
    </w:p>
    <w:p w14:paraId="70743777">
      <w:pPr>
        <w:pStyle w:val="2"/>
        <w:rPr>
          <w:rFonts w:ascii="仿宋_GB2312" w:hAnsi="宋体" w:eastAsia="仿宋_GB2312"/>
          <w:color w:val="auto"/>
          <w:kern w:val="0"/>
          <w:sz w:val="24"/>
          <w:szCs w:val="21"/>
        </w:rPr>
      </w:pPr>
    </w:p>
    <w:p w14:paraId="15B13CC7">
      <w:pPr>
        <w:rPr>
          <w:rFonts w:ascii="仿宋_GB2312" w:hAnsi="宋体" w:eastAsia="仿宋_GB2312"/>
          <w:color w:val="auto"/>
          <w:kern w:val="0"/>
          <w:sz w:val="24"/>
          <w:szCs w:val="21"/>
        </w:rPr>
      </w:pPr>
    </w:p>
    <w:p w14:paraId="4163DF19">
      <w:pPr>
        <w:pStyle w:val="2"/>
        <w:rPr>
          <w:rFonts w:ascii="仿宋_GB2312" w:hAnsi="宋体" w:eastAsia="仿宋_GB2312"/>
          <w:color w:val="auto"/>
          <w:kern w:val="0"/>
          <w:sz w:val="24"/>
          <w:szCs w:val="21"/>
        </w:rPr>
      </w:pPr>
    </w:p>
    <w:p w14:paraId="740BDABF">
      <w:pPr>
        <w:rPr>
          <w:rFonts w:ascii="仿宋_GB2312" w:hAnsi="宋体" w:eastAsia="仿宋_GB2312"/>
          <w:color w:val="auto"/>
          <w:kern w:val="0"/>
          <w:sz w:val="24"/>
          <w:szCs w:val="21"/>
        </w:rPr>
      </w:pPr>
    </w:p>
    <w:p w14:paraId="2110A3E4">
      <w:pPr>
        <w:pStyle w:val="2"/>
        <w:rPr>
          <w:rFonts w:ascii="仿宋_GB2312" w:hAnsi="宋体" w:eastAsia="仿宋_GB2312"/>
          <w:color w:val="auto"/>
          <w:kern w:val="0"/>
          <w:sz w:val="24"/>
          <w:szCs w:val="21"/>
        </w:rPr>
      </w:pPr>
    </w:p>
    <w:p w14:paraId="06648F35">
      <w:pPr>
        <w:rPr>
          <w:rFonts w:ascii="仿宋_GB2312" w:hAnsi="宋体" w:eastAsia="仿宋_GB2312"/>
          <w:color w:val="auto"/>
          <w:kern w:val="0"/>
          <w:sz w:val="24"/>
          <w:szCs w:val="21"/>
        </w:rPr>
      </w:pPr>
    </w:p>
    <w:p w14:paraId="4CD6CAAF">
      <w:pPr>
        <w:pStyle w:val="2"/>
        <w:rPr>
          <w:rFonts w:ascii="仿宋_GB2312" w:hAnsi="宋体" w:eastAsia="仿宋_GB2312"/>
          <w:color w:val="auto"/>
          <w:kern w:val="0"/>
          <w:sz w:val="24"/>
          <w:szCs w:val="21"/>
        </w:rPr>
      </w:pPr>
    </w:p>
    <w:p w14:paraId="78DC5C4F">
      <w:pPr>
        <w:rPr>
          <w:rFonts w:ascii="仿宋_GB2312" w:hAnsi="宋体" w:eastAsia="仿宋_GB2312"/>
          <w:color w:val="auto"/>
          <w:kern w:val="0"/>
          <w:sz w:val="24"/>
          <w:szCs w:val="21"/>
        </w:rPr>
      </w:pPr>
    </w:p>
    <w:p w14:paraId="10EAEC8B">
      <w:pPr>
        <w:pStyle w:val="2"/>
        <w:rPr>
          <w:rFonts w:ascii="仿宋_GB2312" w:hAnsi="宋体" w:eastAsia="仿宋_GB2312"/>
          <w:color w:val="auto"/>
          <w:kern w:val="0"/>
          <w:sz w:val="24"/>
          <w:szCs w:val="21"/>
        </w:rPr>
      </w:pPr>
    </w:p>
    <w:p w14:paraId="014697E0">
      <w:pPr>
        <w:rPr>
          <w:rFonts w:ascii="仿宋_GB2312" w:hAnsi="宋体" w:eastAsia="仿宋_GB2312"/>
          <w:color w:val="auto"/>
          <w:kern w:val="0"/>
          <w:sz w:val="24"/>
          <w:szCs w:val="21"/>
        </w:rPr>
      </w:pPr>
    </w:p>
    <w:p w14:paraId="275CD92A">
      <w:pPr>
        <w:pStyle w:val="2"/>
        <w:rPr>
          <w:rFonts w:ascii="仿宋_GB2312" w:hAnsi="宋体" w:eastAsia="仿宋_GB2312"/>
          <w:color w:val="auto"/>
          <w:kern w:val="0"/>
          <w:sz w:val="24"/>
          <w:szCs w:val="21"/>
        </w:rPr>
      </w:pPr>
    </w:p>
    <w:p w14:paraId="1B8F18F2">
      <w:pPr>
        <w:rPr>
          <w:rFonts w:ascii="仿宋_GB2312" w:hAnsi="宋体" w:eastAsia="仿宋_GB2312"/>
          <w:color w:val="auto"/>
          <w:kern w:val="0"/>
          <w:sz w:val="24"/>
          <w:szCs w:val="21"/>
        </w:rPr>
      </w:pPr>
    </w:p>
    <w:p w14:paraId="6049B712">
      <w:pPr>
        <w:pStyle w:val="2"/>
        <w:numPr>
          <w:ilvl w:val="0"/>
          <w:numId w:val="25"/>
        </w:numPr>
        <w:jc w:val="center"/>
        <w:rPr>
          <w:rFonts w:hint="eastAsia" w:ascii="楷体" w:hAnsi="楷体" w:eastAsia="楷体" w:cs="楷体"/>
          <w:color w:val="auto"/>
          <w:highlight w:val="none"/>
        </w:rPr>
      </w:pPr>
      <w:bookmarkStart w:id="105" w:name="_Toc4203"/>
      <w:r>
        <w:rPr>
          <w:rFonts w:hint="eastAsia" w:ascii="楷体" w:hAnsi="楷体" w:eastAsia="楷体" w:cs="楷体"/>
          <w:color w:val="auto"/>
          <w:highlight w:val="none"/>
        </w:rPr>
        <w:t xml:space="preserve"> 项目需求及技术要求</w:t>
      </w:r>
      <w:bookmarkEnd w:id="105"/>
    </w:p>
    <w:p w14:paraId="4380FD56">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1、应遵循主要现行标准：</w:t>
      </w:r>
    </w:p>
    <w:p w14:paraId="3946140B">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-DL/T 573-2010 电力变压器检修导则;</w:t>
      </w:r>
    </w:p>
    <w:p w14:paraId="3353866B">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-DL/T 572-2010 电力变压器运行规程;</w:t>
      </w:r>
    </w:p>
    <w:p w14:paraId="445BF8CB">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-DL/T 596-2021 电力设备预防性试验规程;</w:t>
      </w:r>
    </w:p>
    <w:p w14:paraId="1858B436">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-GB 50150-2016电气装置安装工程电气设备交接试验标准;</w:t>
      </w:r>
    </w:p>
    <w:p w14:paraId="6FE84F7B">
      <w:pPr>
        <w:spacing w:line="400" w:lineRule="exact"/>
        <w:ind w:firstLine="484" w:firstLineChars="200"/>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2、质量保证：</w:t>
      </w:r>
    </w:p>
    <w:p w14:paraId="27DA0441">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.1 在</w:t>
      </w:r>
      <w:r>
        <w:rPr>
          <w:rFonts w:hint="eastAsia" w:ascii="Times New Roman" w:hAnsi="Times New Roman" w:eastAsia="楷体" w:cs="Times New Roman"/>
          <w:color w:val="auto"/>
          <w:sz w:val="24"/>
          <w:szCs w:val="24"/>
          <w:highlight w:val="none"/>
          <w:lang w:val="en-US" w:eastAsia="zh-CN"/>
        </w:rPr>
        <w:t>维修</w:t>
      </w:r>
      <w:r>
        <w:rPr>
          <w:rFonts w:hint="default" w:ascii="Times New Roman" w:hAnsi="Times New Roman" w:eastAsia="楷体" w:cs="Times New Roman"/>
          <w:color w:val="auto"/>
          <w:sz w:val="24"/>
          <w:szCs w:val="24"/>
          <w:highlight w:val="none"/>
          <w:lang w:val="en-US" w:eastAsia="zh-CN"/>
        </w:rPr>
        <w:t>质保期内，因</w:t>
      </w:r>
      <w:r>
        <w:rPr>
          <w:rFonts w:hint="eastAsia" w:ascii="Times New Roman" w:hAnsi="Times New Roman" w:eastAsia="楷体" w:cs="Times New Roman"/>
          <w:color w:val="auto"/>
          <w:sz w:val="24"/>
          <w:szCs w:val="24"/>
          <w:highlight w:val="none"/>
          <w:lang w:val="en-US" w:eastAsia="zh-CN"/>
        </w:rPr>
        <w:t>维修</w:t>
      </w:r>
      <w:r>
        <w:rPr>
          <w:rFonts w:hint="default" w:ascii="Times New Roman" w:hAnsi="Times New Roman" w:eastAsia="楷体" w:cs="Times New Roman"/>
          <w:color w:val="auto"/>
          <w:sz w:val="24"/>
          <w:szCs w:val="24"/>
          <w:highlight w:val="none"/>
          <w:lang w:val="en-US" w:eastAsia="zh-CN"/>
        </w:rPr>
        <w:t>质量问题而造成设备损坏或不能正常使用时，乙方应无偿修理或更换。</w:t>
      </w:r>
    </w:p>
    <w:p w14:paraId="0E74E068">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.2质保期后，如甲方有必要请乙方人员到现场服务时，乙方人员应</w:t>
      </w:r>
      <w:r>
        <w:rPr>
          <w:rFonts w:hint="eastAsia" w:ascii="Times New Roman" w:hAnsi="Times New Roman" w:eastAsia="楷体" w:cs="Times New Roman"/>
          <w:color w:val="auto"/>
          <w:sz w:val="24"/>
          <w:szCs w:val="24"/>
          <w:highlight w:val="none"/>
          <w:lang w:val="en-US" w:eastAsia="zh-CN"/>
        </w:rPr>
        <w:t>24小时内</w:t>
      </w:r>
      <w:r>
        <w:rPr>
          <w:rFonts w:hint="default" w:ascii="Times New Roman" w:hAnsi="Times New Roman" w:eastAsia="楷体" w:cs="Times New Roman"/>
          <w:color w:val="auto"/>
          <w:sz w:val="24"/>
          <w:szCs w:val="24"/>
          <w:highlight w:val="none"/>
          <w:lang w:val="en-US" w:eastAsia="zh-CN"/>
        </w:rPr>
        <w:t>到现场服务。</w:t>
      </w:r>
    </w:p>
    <w:p w14:paraId="01D5E794">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.3乙方应保证设备检修后，设备性能达到运行规定各项性能保证值</w:t>
      </w:r>
      <w:r>
        <w:rPr>
          <w:rFonts w:hint="eastAsia" w:ascii="Times New Roman" w:hAnsi="Times New Roman" w:eastAsia="楷体" w:cs="Times New Roman"/>
          <w:color w:val="auto"/>
          <w:sz w:val="24"/>
          <w:szCs w:val="24"/>
          <w:highlight w:val="none"/>
          <w:lang w:val="en-US" w:eastAsia="zh-CN"/>
        </w:rPr>
        <w:t>。</w:t>
      </w:r>
    </w:p>
    <w:p w14:paraId="3BFB422C">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.4 乙方应保证检修过程中所有工艺、材料等(包括乙方外购件在内)均应符合本协议规定，若甲方根据运行经验指定乙方提供某种外购零部件，乙方应积极配合。</w:t>
      </w:r>
    </w:p>
    <w:p w14:paraId="3799A832">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2</w:t>
      </w:r>
      <w:r>
        <w:rPr>
          <w:rFonts w:hint="default" w:ascii="Times New Roman" w:hAnsi="Times New Roman" w:eastAsia="楷体" w:cs="Times New Roman"/>
          <w:color w:val="auto"/>
          <w:sz w:val="24"/>
          <w:szCs w:val="24"/>
          <w:highlight w:val="none"/>
          <w:lang w:val="en-US" w:eastAsia="zh-CN"/>
        </w:rPr>
        <w:t>.5乙方应遵守本协议中各条款和工作项目IS0900GB/T1900质量保证体系，该质量保证体系已经过国家认证和正常运转。</w:t>
      </w:r>
    </w:p>
    <w:p w14:paraId="6A6F9C63">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其他要求</w:t>
      </w:r>
    </w:p>
    <w:p w14:paraId="6AA9E90E">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.1 设备检修过程中，甲方可派员</w:t>
      </w:r>
      <w:r>
        <w:rPr>
          <w:rFonts w:hint="eastAsia" w:ascii="Times New Roman" w:hAnsi="Times New Roman" w:eastAsia="楷体" w:cs="Times New Roman"/>
          <w:color w:val="auto"/>
          <w:sz w:val="24"/>
          <w:szCs w:val="24"/>
          <w:highlight w:val="none"/>
          <w:lang w:val="en-US" w:eastAsia="zh-CN"/>
        </w:rPr>
        <w:t>工</w:t>
      </w:r>
      <w:r>
        <w:rPr>
          <w:rFonts w:hint="default" w:ascii="Times New Roman" w:hAnsi="Times New Roman" w:eastAsia="楷体" w:cs="Times New Roman"/>
          <w:color w:val="auto"/>
          <w:sz w:val="24"/>
          <w:szCs w:val="24"/>
          <w:highlight w:val="none"/>
          <w:lang w:val="en-US" w:eastAsia="zh-CN"/>
        </w:rPr>
        <w:t>到乙方进行监修和检验，乙方应积极配合。</w:t>
      </w:r>
    </w:p>
    <w:p w14:paraId="78449C6A">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.2乙方在变压器吊芯，如果从外表面观察、检修和试验未找到故障点，必须对变压器线圈分解，作进一步工作检查、检修时，应即时书面通知甲方，否则由此引起一切后果将由乙方承担。</w:t>
      </w:r>
    </w:p>
    <w:p w14:paraId="61AABBCD">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.3 变压器在检修前后运输过程中，发生变压器损伤、损坏等意外而造成经济损失由乙方承担。</w:t>
      </w:r>
    </w:p>
    <w:p w14:paraId="4B325104">
      <w:pPr>
        <w:spacing w:line="400" w:lineRule="exact"/>
        <w:ind w:firstLine="484" w:firstLineChars="200"/>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3</w:t>
      </w:r>
      <w:r>
        <w:rPr>
          <w:rFonts w:hint="default" w:ascii="Times New Roman" w:hAnsi="Times New Roman" w:eastAsia="楷体" w:cs="Times New Roman"/>
          <w:color w:val="auto"/>
          <w:sz w:val="24"/>
          <w:szCs w:val="24"/>
          <w:highlight w:val="none"/>
          <w:lang w:val="en-US" w:eastAsia="zh-CN"/>
        </w:rPr>
        <w:t>.4 变压器在检修过程中，因吊装、检修、试验不符合规范、标准而造成经济损失由乙方承担。</w:t>
      </w:r>
    </w:p>
    <w:p w14:paraId="71E1C278">
      <w:pPr>
        <w:pStyle w:val="2"/>
        <w:rPr>
          <w:rFonts w:hint="default" w:ascii="Times New Roman" w:hAnsi="Times New Roman" w:eastAsia="楷体" w:cs="Times New Roman"/>
          <w:b w:val="0"/>
          <w:bCs w:val="0"/>
          <w:color w:val="0000FF"/>
          <w:kern w:val="2"/>
          <w:sz w:val="21"/>
          <w:szCs w:val="21"/>
          <w:highlight w:val="yellow"/>
          <w:lang w:val="en-US" w:eastAsia="zh-CN" w:bidi="ar-SA"/>
        </w:rPr>
      </w:pPr>
    </w:p>
    <w:sectPr>
      <w:headerReference r:id="rId6" w:type="default"/>
      <w:footerReference r:id="rId8" w:type="default"/>
      <w:headerReference r:id="rId7" w:type="even"/>
      <w:footerReference r:id="rId9" w:type="even"/>
      <w:pgSz w:w="11906" w:h="16838"/>
      <w:pgMar w:top="1440" w:right="1800" w:bottom="1440" w:left="1800" w:header="851" w:footer="992" w:gutter="0"/>
      <w:cols w:space="720" w:num="1"/>
      <w:docGrid w:type="linesAndChar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汉仪大宋简">
    <w:altName w:val="黑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40001" w:csb1="00000000"/>
  </w:font>
  <w:font w:name="Plotter">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CF76">
    <w:pPr>
      <w:pStyle w:val="52"/>
      <w:jc w:val="center"/>
      <w:rPr>
        <w:b/>
      </w:rPr>
    </w:pPr>
    <w:r>
      <w:rPr>
        <w:b/>
      </w:rPr>
      <w:fldChar w:fldCharType="begin"/>
    </w:r>
    <w:r>
      <w:rPr>
        <w:b/>
      </w:rPr>
      <w:instrText xml:space="preserve"> PAGE   \* MERGEFORMAT </w:instrText>
    </w:r>
    <w:r>
      <w:rPr>
        <w:b/>
      </w:rPr>
      <w:fldChar w:fldCharType="separate"/>
    </w:r>
    <w:r>
      <w:rPr>
        <w:b/>
        <w:lang w:val="zh-CN"/>
      </w:rPr>
      <w:t>3</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B6EB5">
    <w:pPr>
      <w:pStyle w:val="52"/>
      <w:jc w:val="center"/>
      <w:rPr>
        <w:b/>
      </w:rPr>
    </w:pPr>
    <w:r>
      <w:rPr>
        <w:b/>
      </w:rPr>
      <w:fldChar w:fldCharType="begin"/>
    </w:r>
    <w:r>
      <w:rPr>
        <w:b/>
      </w:rPr>
      <w:instrText xml:space="preserve"> PAGE   \* MERGEFORMAT </w:instrText>
    </w:r>
    <w:r>
      <w:rPr>
        <w:b/>
      </w:rPr>
      <w:fldChar w:fldCharType="separate"/>
    </w:r>
    <w:r>
      <w:rPr>
        <w:b/>
        <w:lang w:val="zh-CN"/>
      </w:rPr>
      <w:t>23</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116A">
    <w:pPr>
      <w:pStyle w:val="52"/>
      <w:jc w:val="center"/>
      <w:rPr>
        <w:b/>
      </w:rPr>
    </w:pPr>
    <w:r>
      <w:rPr>
        <w:b/>
      </w:rPr>
      <w:fldChar w:fldCharType="begin"/>
    </w:r>
    <w:r>
      <w:rPr>
        <w:b/>
      </w:rPr>
      <w:instrText xml:space="preserve"> PAGE   \* MERGEFORMAT </w:instrText>
    </w:r>
    <w:r>
      <w:rPr>
        <w:b/>
      </w:rPr>
      <w:fldChar w:fldCharType="separate"/>
    </w:r>
    <w:r>
      <w:rPr>
        <w:b/>
        <w:lang w:val="zh-CN"/>
      </w:rPr>
      <w:t>24</w:t>
    </w:r>
    <w:r>
      <w:rPr>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2BB79">
    <w:pPr>
      <w:pStyle w:val="52"/>
      <w:framePr w:wrap="around" w:vAnchor="text" w:hAnchor="margin" w:xAlign="center" w:y="1"/>
      <w:rPr>
        <w:rStyle w:val="88"/>
      </w:rPr>
    </w:pPr>
    <w:r>
      <w:fldChar w:fldCharType="begin"/>
    </w:r>
    <w:r>
      <w:rPr>
        <w:rStyle w:val="88"/>
      </w:rPr>
      <w:instrText xml:space="preserve">PAGE  </w:instrText>
    </w:r>
    <w:r>
      <w:fldChar w:fldCharType="separate"/>
    </w:r>
    <w:r>
      <w:rPr>
        <w:rStyle w:val="88"/>
      </w:rPr>
      <w:t>25</w:t>
    </w:r>
    <w:r>
      <w:fldChar w:fldCharType="end"/>
    </w:r>
  </w:p>
  <w:p w14:paraId="429B2EC6">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9053">
    <w:pPr>
      <w:pStyle w:val="52"/>
      <w:framePr w:wrap="around" w:vAnchor="text" w:hAnchor="margin" w:xAlign="center" w:y="1"/>
      <w:rPr>
        <w:rStyle w:val="88"/>
      </w:rPr>
    </w:pPr>
    <w:r>
      <w:fldChar w:fldCharType="begin"/>
    </w:r>
    <w:r>
      <w:rPr>
        <w:rStyle w:val="88"/>
      </w:rPr>
      <w:instrText xml:space="preserve">PAGE  </w:instrText>
    </w:r>
    <w:r>
      <w:fldChar w:fldCharType="end"/>
    </w:r>
  </w:p>
  <w:p w14:paraId="70526650">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F878">
    <w:pPr>
      <w:pStyle w:val="5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B054">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E65B0"/>
    <w:multiLevelType w:val="singleLevel"/>
    <w:tmpl w:val="D2DE65B0"/>
    <w:lvl w:ilvl="0" w:tentative="0">
      <w:start w:val="2"/>
      <w:numFmt w:val="decimal"/>
      <w:lvlText w:val="%1."/>
      <w:lvlJc w:val="left"/>
      <w:pPr>
        <w:tabs>
          <w:tab w:val="left" w:pos="312"/>
        </w:tabs>
      </w:pPr>
    </w:lvl>
  </w:abstractNum>
  <w:abstractNum w:abstractNumId="1">
    <w:nsid w:val="F6BE4549"/>
    <w:multiLevelType w:val="singleLevel"/>
    <w:tmpl w:val="F6BE4549"/>
    <w:lvl w:ilvl="0" w:tentative="0">
      <w:start w:val="2"/>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pStyle w:val="62"/>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pStyle w:val="3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ascii="楷体_GB2312" w:eastAsia="楷体_GB2312"/>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B"/>
    <w:multiLevelType w:val="multilevel"/>
    <w:tmpl w:val="0000000B"/>
    <w:lvl w:ilvl="0" w:tentative="0">
      <w:start w:val="2"/>
      <w:numFmt w:val="decimal"/>
      <w:lvlText w:val="%1"/>
      <w:lvlJc w:val="left"/>
      <w:pPr>
        <w:tabs>
          <w:tab w:val="left" w:pos="480"/>
        </w:tabs>
        <w:ind w:left="480" w:hanging="360"/>
      </w:pPr>
      <w:rPr>
        <w:rFonts w:hint="default"/>
      </w:rPr>
    </w:lvl>
    <w:lvl w:ilvl="1" w:tentative="0">
      <w:start w:val="2"/>
      <w:numFmt w:val="decimal"/>
      <w:isLgl/>
      <w:lvlText w:val="%1.%2"/>
      <w:lvlJc w:val="left"/>
      <w:pPr>
        <w:tabs>
          <w:tab w:val="left" w:pos="480"/>
        </w:tabs>
        <w:ind w:left="480" w:hanging="360"/>
      </w:pPr>
      <w:rPr>
        <w:rFonts w:hint="default"/>
      </w:rPr>
    </w:lvl>
    <w:lvl w:ilvl="2" w:tentative="0">
      <w:start w:val="1"/>
      <w:numFmt w:val="decimal"/>
      <w:pStyle w:val="190"/>
      <w:isLgl/>
      <w:lvlText w:val="%1.%2.%3"/>
      <w:lvlJc w:val="left"/>
      <w:pPr>
        <w:tabs>
          <w:tab w:val="left" w:pos="840"/>
        </w:tabs>
        <w:ind w:left="840" w:hanging="720"/>
      </w:pPr>
      <w:rPr>
        <w:rFonts w:hint="default"/>
      </w:rPr>
    </w:lvl>
    <w:lvl w:ilvl="3" w:tentative="0">
      <w:start w:val="1"/>
      <w:numFmt w:val="decimal"/>
      <w:isLgl/>
      <w:lvlText w:val="%1.%2.%3.%4"/>
      <w:lvlJc w:val="left"/>
      <w:pPr>
        <w:tabs>
          <w:tab w:val="left" w:pos="1200"/>
        </w:tabs>
        <w:ind w:left="1200" w:hanging="1080"/>
      </w:pPr>
      <w:rPr>
        <w:rFonts w:hint="default"/>
      </w:rPr>
    </w:lvl>
    <w:lvl w:ilvl="4" w:tentative="0">
      <w:start w:val="1"/>
      <w:numFmt w:val="decimal"/>
      <w:isLgl/>
      <w:lvlText w:val="%1.%2.%3.%4.%5"/>
      <w:lvlJc w:val="left"/>
      <w:pPr>
        <w:tabs>
          <w:tab w:val="left" w:pos="1200"/>
        </w:tabs>
        <w:ind w:left="1200" w:hanging="1080"/>
      </w:pPr>
      <w:rPr>
        <w:rFonts w:hint="default"/>
      </w:rPr>
    </w:lvl>
    <w:lvl w:ilvl="5" w:tentative="0">
      <w:start w:val="1"/>
      <w:numFmt w:val="decimal"/>
      <w:isLgl/>
      <w:lvlText w:val="%1.%2.%3.%4.%5.%6"/>
      <w:lvlJc w:val="left"/>
      <w:pPr>
        <w:tabs>
          <w:tab w:val="left" w:pos="1560"/>
        </w:tabs>
        <w:ind w:left="1560" w:hanging="1440"/>
      </w:pPr>
      <w:rPr>
        <w:rFonts w:hint="default"/>
      </w:rPr>
    </w:lvl>
    <w:lvl w:ilvl="6" w:tentative="0">
      <w:start w:val="1"/>
      <w:numFmt w:val="decimal"/>
      <w:isLgl/>
      <w:lvlText w:val="%1.%2.%3.%4.%5.%6.%7"/>
      <w:lvlJc w:val="left"/>
      <w:pPr>
        <w:tabs>
          <w:tab w:val="left" w:pos="1920"/>
        </w:tabs>
        <w:ind w:left="1920" w:hanging="1800"/>
      </w:pPr>
      <w:rPr>
        <w:rFonts w:hint="default"/>
      </w:rPr>
    </w:lvl>
    <w:lvl w:ilvl="7" w:tentative="0">
      <w:start w:val="1"/>
      <w:numFmt w:val="decimal"/>
      <w:isLgl/>
      <w:lvlText w:val="%1.%2.%3.%4.%5.%6.%7.%8"/>
      <w:lvlJc w:val="left"/>
      <w:pPr>
        <w:tabs>
          <w:tab w:val="left" w:pos="1920"/>
        </w:tabs>
        <w:ind w:left="1920" w:hanging="1800"/>
      </w:pPr>
      <w:rPr>
        <w:rFonts w:hint="default"/>
      </w:rPr>
    </w:lvl>
    <w:lvl w:ilvl="8" w:tentative="0">
      <w:start w:val="1"/>
      <w:numFmt w:val="decimal"/>
      <w:isLgl/>
      <w:lvlText w:val="%1.%2.%3.%4.%5.%6.%7.%8.%9"/>
      <w:lvlJc w:val="left"/>
      <w:pPr>
        <w:tabs>
          <w:tab w:val="left" w:pos="2280"/>
        </w:tabs>
        <w:ind w:left="2280" w:hanging="2160"/>
      </w:pPr>
      <w:rPr>
        <w:rFonts w:hint="default"/>
      </w:rPr>
    </w:lvl>
  </w:abstractNum>
  <w:abstractNum w:abstractNumId="5">
    <w:nsid w:val="0000000C"/>
    <w:multiLevelType w:val="multilevel"/>
    <w:tmpl w:val="0000000C"/>
    <w:lvl w:ilvl="0" w:tentative="0">
      <w:start w:val="1"/>
      <w:numFmt w:val="decimal"/>
      <w:lvlText w:val="%1"/>
      <w:lvlJc w:val="left"/>
      <w:pPr>
        <w:tabs>
          <w:tab w:val="left" w:pos="480"/>
        </w:tabs>
        <w:ind w:left="480" w:hanging="480"/>
      </w:pPr>
      <w:rPr>
        <w:rFonts w:hint="default" w:hAnsi="Arial"/>
      </w:rPr>
    </w:lvl>
    <w:lvl w:ilvl="1" w:tentative="0">
      <w:start w:val="1"/>
      <w:numFmt w:val="decimal"/>
      <w:pStyle w:val="295"/>
      <w:lvlText w:val="%1.%2"/>
      <w:lvlJc w:val="left"/>
      <w:pPr>
        <w:tabs>
          <w:tab w:val="left" w:pos="480"/>
        </w:tabs>
        <w:ind w:left="0" w:firstLine="0"/>
      </w:pPr>
      <w:rPr>
        <w:rFonts w:hint="default" w:hAnsi="Arial"/>
      </w:rPr>
    </w:lvl>
    <w:lvl w:ilvl="2" w:tentative="0">
      <w:start w:val="1"/>
      <w:numFmt w:val="decimal"/>
      <w:pStyle w:val="194"/>
      <w:lvlText w:val="%1.%2.%3"/>
      <w:lvlJc w:val="left"/>
      <w:pPr>
        <w:tabs>
          <w:tab w:val="left" w:pos="720"/>
        </w:tabs>
        <w:ind w:left="720" w:hanging="720"/>
      </w:pPr>
      <w:rPr>
        <w:rFonts w:hint="default" w:hAnsi="Arial"/>
      </w:rPr>
    </w:lvl>
    <w:lvl w:ilvl="3" w:tentative="0">
      <w:start w:val="1"/>
      <w:numFmt w:val="decimal"/>
      <w:lvlText w:val="%1.%2.%3.%4"/>
      <w:lvlJc w:val="left"/>
      <w:pPr>
        <w:tabs>
          <w:tab w:val="left" w:pos="1080"/>
        </w:tabs>
        <w:ind w:left="1080" w:hanging="1080"/>
      </w:pPr>
      <w:rPr>
        <w:rFonts w:hint="default" w:hAnsi="Arial"/>
      </w:rPr>
    </w:lvl>
    <w:lvl w:ilvl="4" w:tentative="0">
      <w:start w:val="1"/>
      <w:numFmt w:val="decimal"/>
      <w:lvlText w:val="%1.%2.%3.%4.%5"/>
      <w:lvlJc w:val="left"/>
      <w:pPr>
        <w:tabs>
          <w:tab w:val="left" w:pos="1080"/>
        </w:tabs>
        <w:ind w:left="1080" w:hanging="1080"/>
      </w:pPr>
      <w:rPr>
        <w:rFonts w:hint="default" w:hAnsi="Arial"/>
      </w:rPr>
    </w:lvl>
    <w:lvl w:ilvl="5" w:tentative="0">
      <w:start w:val="1"/>
      <w:numFmt w:val="decimal"/>
      <w:lvlText w:val="%1.%2.%3.%4.%5.%6"/>
      <w:lvlJc w:val="left"/>
      <w:pPr>
        <w:tabs>
          <w:tab w:val="left" w:pos="1440"/>
        </w:tabs>
        <w:ind w:left="1440" w:hanging="1440"/>
      </w:pPr>
      <w:rPr>
        <w:rFonts w:hint="default" w:hAnsi="Arial"/>
      </w:rPr>
    </w:lvl>
    <w:lvl w:ilvl="6" w:tentative="0">
      <w:start w:val="1"/>
      <w:numFmt w:val="decimal"/>
      <w:lvlText w:val="%1.%2.%3.%4.%5.%6.%7"/>
      <w:lvlJc w:val="left"/>
      <w:pPr>
        <w:tabs>
          <w:tab w:val="left" w:pos="1800"/>
        </w:tabs>
        <w:ind w:left="1800" w:hanging="1800"/>
      </w:pPr>
      <w:rPr>
        <w:rFonts w:hint="default" w:hAnsi="Arial"/>
      </w:rPr>
    </w:lvl>
    <w:lvl w:ilvl="7" w:tentative="0">
      <w:start w:val="1"/>
      <w:numFmt w:val="decimal"/>
      <w:lvlText w:val="%1.%2.%3.%4.%5.%6.%7.%8"/>
      <w:lvlJc w:val="left"/>
      <w:pPr>
        <w:tabs>
          <w:tab w:val="left" w:pos="1800"/>
        </w:tabs>
        <w:ind w:left="1800" w:hanging="1800"/>
      </w:pPr>
      <w:rPr>
        <w:rFonts w:hint="default" w:hAnsi="Arial"/>
      </w:rPr>
    </w:lvl>
    <w:lvl w:ilvl="8" w:tentative="0">
      <w:start w:val="1"/>
      <w:numFmt w:val="decimal"/>
      <w:lvlText w:val="%1.%2.%3.%4.%5.%6.%7.%8.%9"/>
      <w:lvlJc w:val="left"/>
      <w:pPr>
        <w:tabs>
          <w:tab w:val="left" w:pos="2160"/>
        </w:tabs>
        <w:ind w:left="2160" w:hanging="2160"/>
      </w:pPr>
      <w:rPr>
        <w:rFonts w:hint="default" w:hAnsi="Arial"/>
      </w:rPr>
    </w:lvl>
  </w:abstractNum>
  <w:abstractNum w:abstractNumId="6">
    <w:nsid w:val="00000010"/>
    <w:multiLevelType w:val="multilevel"/>
    <w:tmpl w:val="00000010"/>
    <w:lvl w:ilvl="0" w:tentative="0">
      <w:start w:val="4"/>
      <w:numFmt w:val="decimal"/>
      <w:pStyle w:val="15"/>
      <w:lvlText w:val="%1"/>
      <w:lvlJc w:val="left"/>
      <w:pPr>
        <w:tabs>
          <w:tab w:val="left" w:pos="480"/>
        </w:tabs>
        <w:ind w:left="480" w:hanging="36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7">
    <w:nsid w:val="00000011"/>
    <w:multiLevelType w:val="singleLevel"/>
    <w:tmpl w:val="00000011"/>
    <w:lvl w:ilvl="0" w:tentative="0">
      <w:start w:val="3"/>
      <w:numFmt w:val="decimal"/>
      <w:pStyle w:val="37"/>
      <w:suff w:val="space"/>
      <w:lvlText w:val="%1."/>
      <w:lvlJc w:val="left"/>
    </w:lvl>
  </w:abstractNum>
  <w:abstractNum w:abstractNumId="8">
    <w:nsid w:val="0A7F56DF"/>
    <w:multiLevelType w:val="singleLevel"/>
    <w:tmpl w:val="0A7F56DF"/>
    <w:lvl w:ilvl="0" w:tentative="0">
      <w:start w:val="5"/>
      <w:numFmt w:val="chineseCounting"/>
      <w:suff w:val="space"/>
      <w:lvlText w:val="第%1章"/>
      <w:lvlJc w:val="left"/>
      <w:rPr>
        <w:rFonts w:hint="eastAsia"/>
      </w:rPr>
    </w:lvl>
  </w:abstractNum>
  <w:abstractNum w:abstractNumId="9">
    <w:nsid w:val="1282D585"/>
    <w:multiLevelType w:val="singleLevel"/>
    <w:tmpl w:val="1282D585"/>
    <w:lvl w:ilvl="0" w:tentative="0">
      <w:start w:val="2"/>
      <w:numFmt w:val="decimal"/>
      <w:suff w:val="nothing"/>
      <w:lvlText w:val="（%1）"/>
      <w:lvlJc w:val="left"/>
    </w:lvl>
  </w:abstractNum>
  <w:abstractNum w:abstractNumId="10">
    <w:nsid w:val="1DB565FD"/>
    <w:multiLevelType w:val="multilevel"/>
    <w:tmpl w:val="1DB565FD"/>
    <w:lvl w:ilvl="0" w:tentative="0">
      <w:start w:val="5"/>
      <w:numFmt w:val="decimal"/>
      <w:pStyle w:val="18"/>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22520CE4"/>
    <w:multiLevelType w:val="singleLevel"/>
    <w:tmpl w:val="22520CE4"/>
    <w:lvl w:ilvl="0" w:tentative="0">
      <w:start w:val="1"/>
      <w:numFmt w:val="decimal"/>
      <w:suff w:val="nothing"/>
      <w:lvlText w:val="（%1）"/>
      <w:lvlJc w:val="left"/>
    </w:lvl>
  </w:abstractNum>
  <w:abstractNum w:abstractNumId="12">
    <w:nsid w:val="2ACE64E3"/>
    <w:multiLevelType w:val="multilevel"/>
    <w:tmpl w:val="2ACE64E3"/>
    <w:lvl w:ilvl="0" w:tentative="0">
      <w:start w:val="1"/>
      <w:numFmt w:val="chineseCountingThousand"/>
      <w:pStyle w:val="297"/>
      <w:lvlText w:val="%1."/>
      <w:lvlJc w:val="left"/>
      <w:pPr>
        <w:tabs>
          <w:tab w:val="left" w:pos="720"/>
        </w:tabs>
        <w:ind w:left="0" w:firstLine="0"/>
      </w:pPr>
      <w:rPr>
        <w:rFonts w:hint="eastAsia"/>
      </w:rPr>
    </w:lvl>
    <w:lvl w:ilvl="1" w:tentative="0">
      <w:start w:val="1"/>
      <w:numFmt w:val="decimal"/>
      <w:pStyle w:val="261"/>
      <w:lvlText w:val="%2."/>
      <w:lvlJc w:val="left"/>
      <w:pPr>
        <w:tabs>
          <w:tab w:val="left" w:pos="360"/>
        </w:tabs>
        <w:ind w:left="0" w:firstLine="0"/>
      </w:pPr>
      <w:rPr>
        <w:rFonts w:hint="eastAsia"/>
        <w:b w:val="0"/>
      </w:rPr>
    </w:lvl>
    <w:lvl w:ilvl="2" w:tentative="0">
      <w:start w:val="2"/>
      <w:numFmt w:val="japaneseCounting"/>
      <w:pStyle w:val="275"/>
      <w:lvlText w:val="%3．"/>
      <w:lvlJc w:val="left"/>
      <w:pPr>
        <w:tabs>
          <w:tab w:val="left" w:pos="1700"/>
        </w:tabs>
        <w:ind w:left="170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269"/>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5193764"/>
    <w:multiLevelType w:val="multilevel"/>
    <w:tmpl w:val="35193764"/>
    <w:lvl w:ilvl="0" w:tentative="0">
      <w:start w:val="1"/>
      <w:numFmt w:val="decimal"/>
      <w:pStyle w:val="207"/>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229"/>
      <w:lvlText w:val="%4."/>
      <w:lvlJc w:val="left"/>
      <w:pPr>
        <w:tabs>
          <w:tab w:val="left" w:pos="2160"/>
        </w:tabs>
        <w:ind w:left="2160" w:hanging="420"/>
      </w:pPr>
    </w:lvl>
    <w:lvl w:ilvl="4" w:tentative="0">
      <w:start w:val="1"/>
      <w:numFmt w:val="lowerLetter"/>
      <w:pStyle w:val="308"/>
      <w:lvlText w:val="%5)"/>
      <w:lvlJc w:val="left"/>
      <w:pPr>
        <w:tabs>
          <w:tab w:val="left" w:pos="2580"/>
        </w:tabs>
        <w:ind w:left="2580" w:hanging="420"/>
      </w:pPr>
    </w:lvl>
    <w:lvl w:ilvl="5" w:tentative="0">
      <w:start w:val="1"/>
      <w:numFmt w:val="lowerRoman"/>
      <w:pStyle w:val="231"/>
      <w:lvlText w:val="%6."/>
      <w:lvlJc w:val="right"/>
      <w:pPr>
        <w:tabs>
          <w:tab w:val="left" w:pos="3000"/>
        </w:tabs>
        <w:ind w:left="3000" w:hanging="420"/>
      </w:pPr>
    </w:lvl>
    <w:lvl w:ilvl="6" w:tentative="0">
      <w:start w:val="1"/>
      <w:numFmt w:val="decimal"/>
      <w:pStyle w:val="224"/>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8DF7314"/>
    <w:multiLevelType w:val="multilevel"/>
    <w:tmpl w:val="38DF7314"/>
    <w:lvl w:ilvl="0" w:tentative="0">
      <w:start w:val="1"/>
      <w:numFmt w:val="decimal"/>
      <w:suff w:val="space"/>
      <w:lvlText w:val="%1."/>
      <w:lvlJc w:val="left"/>
      <w:pPr>
        <w:ind w:left="525" w:hanging="525"/>
      </w:pPr>
      <w:rPr>
        <w:rFonts w:hint="default"/>
      </w:rPr>
    </w:lvl>
    <w:lvl w:ilvl="1" w:tentative="0">
      <w:start w:val="1"/>
      <w:numFmt w:val="decimal"/>
      <w:lvlText w:val="%1.%2."/>
      <w:lvlJc w:val="left"/>
      <w:pPr>
        <w:tabs>
          <w:tab w:val="left" w:pos="525"/>
        </w:tabs>
        <w:ind w:left="525" w:hanging="525"/>
      </w:pPr>
      <w:rPr>
        <w:rFonts w:hint="default" w:ascii="Times New Roman" w:hAnsi="Times New Roman" w:eastAsia="宋体"/>
      </w:rPr>
    </w:lvl>
    <w:lvl w:ilvl="2" w:tentative="0">
      <w:start w:val="1"/>
      <w:numFmt w:val="decimal"/>
      <w:lvlText w:val="%1.%2.%3."/>
      <w:lvlJc w:val="left"/>
      <w:pPr>
        <w:tabs>
          <w:tab w:val="left" w:pos="0"/>
        </w:tabs>
        <w:ind w:left="0" w:firstLine="0"/>
      </w:pPr>
      <w:rPr>
        <w:rFonts w:hint="default" w:ascii="Times New Roman" w:hAnsi="Times New Roman" w:eastAsia="宋体"/>
      </w:rPr>
    </w:lvl>
    <w:lvl w:ilvl="3" w:tentative="0">
      <w:start w:val="1"/>
      <w:numFmt w:val="lowerLetter"/>
      <w:lvlText w:val="%1.%2.%3.%4."/>
      <w:lvlJc w:val="left"/>
      <w:pPr>
        <w:tabs>
          <w:tab w:val="left" w:pos="1080"/>
        </w:tabs>
        <w:ind w:left="1080" w:hanging="1080"/>
      </w:pPr>
      <w:rPr>
        <w:rFonts w:hint="default"/>
      </w:rPr>
    </w:lvl>
    <w:lvl w:ilvl="4" w:tentative="0">
      <w:start w:val="1"/>
      <w:numFmt w:val="lowerLetter"/>
      <w:pStyle w:val="6"/>
      <w:suff w:val="nothing"/>
      <w:lvlText w:val="%5."/>
      <w:lvlJc w:val="left"/>
      <w:pPr>
        <w:ind w:left="0" w:firstLine="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3CB53608"/>
    <w:multiLevelType w:val="multilevel"/>
    <w:tmpl w:val="3CB53608"/>
    <w:lvl w:ilvl="0" w:tentative="0">
      <w:start w:val="1"/>
      <w:numFmt w:val="bullet"/>
      <w:pStyle w:val="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6">
    <w:nsid w:val="3D6C89C5"/>
    <w:multiLevelType w:val="singleLevel"/>
    <w:tmpl w:val="3D6C89C5"/>
    <w:lvl w:ilvl="0" w:tentative="0">
      <w:start w:val="2"/>
      <w:numFmt w:val="decimal"/>
      <w:lvlText w:val="%1."/>
      <w:lvlJc w:val="left"/>
      <w:pPr>
        <w:tabs>
          <w:tab w:val="left" w:pos="312"/>
        </w:tabs>
      </w:pPr>
    </w:lvl>
  </w:abstractNum>
  <w:abstractNum w:abstractNumId="17">
    <w:nsid w:val="407E65F9"/>
    <w:multiLevelType w:val="multilevel"/>
    <w:tmpl w:val="407E65F9"/>
    <w:lvl w:ilvl="0" w:tentative="0">
      <w:start w:val="1"/>
      <w:numFmt w:val="none"/>
      <w:pStyle w:val="26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470E934C"/>
    <w:multiLevelType w:val="singleLevel"/>
    <w:tmpl w:val="470E934C"/>
    <w:lvl w:ilvl="0" w:tentative="0">
      <w:start w:val="9"/>
      <w:numFmt w:val="chineseCounting"/>
      <w:suff w:val="nothing"/>
      <w:lvlText w:val="%1、"/>
      <w:lvlJc w:val="left"/>
      <w:rPr>
        <w:rFonts w:hint="eastAsia"/>
      </w:rPr>
    </w:lvl>
  </w:abstractNum>
  <w:abstractNum w:abstractNumId="19">
    <w:nsid w:val="4BA717AE"/>
    <w:multiLevelType w:val="multilevel"/>
    <w:tmpl w:val="4BA717AE"/>
    <w:lvl w:ilvl="0" w:tentative="0">
      <w:start w:val="1"/>
      <w:numFmt w:val="decimal"/>
      <w:pStyle w:val="13"/>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975516"/>
    <w:multiLevelType w:val="multilevel"/>
    <w:tmpl w:val="4D975516"/>
    <w:lvl w:ilvl="0" w:tentative="0">
      <w:start w:val="1"/>
      <w:numFmt w:val="decimal"/>
      <w:lvlText w:val="%1."/>
      <w:lvlJc w:val="left"/>
      <w:pPr>
        <w:tabs>
          <w:tab w:val="left" w:pos="900"/>
        </w:tabs>
        <w:ind w:left="0" w:firstLine="480"/>
      </w:pPr>
      <w:rPr>
        <w:rFonts w:hint="eastAsia"/>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4D9A4374"/>
    <w:multiLevelType w:val="multilevel"/>
    <w:tmpl w:val="4D9A4374"/>
    <w:lvl w:ilvl="0" w:tentative="0">
      <w:start w:val="1"/>
      <w:numFmt w:val="decimal"/>
      <w:pStyle w:val="45"/>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1F4095E"/>
    <w:multiLevelType w:val="multilevel"/>
    <w:tmpl w:val="61F4095E"/>
    <w:lvl w:ilvl="0" w:tentative="0">
      <w:start w:val="1"/>
      <w:numFmt w:val="decimal"/>
      <w:pStyle w:val="33"/>
      <w:lvlText w:val="%1."/>
      <w:lvlJc w:val="left"/>
      <w:pPr>
        <w:tabs>
          <w:tab w:val="left" w:pos="36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25B7756"/>
    <w:multiLevelType w:val="singleLevel"/>
    <w:tmpl w:val="625B7756"/>
    <w:lvl w:ilvl="0" w:tentative="0">
      <w:start w:val="1"/>
      <w:numFmt w:val="decimal"/>
      <w:pStyle w:val="289"/>
      <w:lvlText w:val="%1、"/>
      <w:legacy w:legacy="1" w:legacySpace="0" w:legacyIndent="492"/>
      <w:lvlJc w:val="left"/>
      <w:pPr>
        <w:ind w:left="948" w:hanging="492"/>
      </w:pPr>
      <w:rPr>
        <w:rFonts w:hint="default" w:ascii="Times New Roman" w:hAnsi="Times New Roman"/>
        <w:b w:val="0"/>
        <w:i w:val="0"/>
        <w:sz w:val="24"/>
        <w:u w:val="none"/>
      </w:rPr>
    </w:lvl>
  </w:abstractNum>
  <w:abstractNum w:abstractNumId="24">
    <w:nsid w:val="79CA15B3"/>
    <w:multiLevelType w:val="multilevel"/>
    <w:tmpl w:val="79CA15B3"/>
    <w:lvl w:ilvl="0" w:tentative="0">
      <w:start w:val="1"/>
      <w:numFmt w:val="bullet"/>
      <w:pStyle w:val="2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4"/>
  </w:num>
  <w:num w:numId="2">
    <w:abstractNumId w:val="19"/>
  </w:num>
  <w:num w:numId="3">
    <w:abstractNumId w:val="6"/>
  </w:num>
  <w:num w:numId="4">
    <w:abstractNumId w:val="10"/>
  </w:num>
  <w:num w:numId="5">
    <w:abstractNumId w:val="24"/>
  </w:num>
  <w:num w:numId="6">
    <w:abstractNumId w:val="3"/>
  </w:num>
  <w:num w:numId="7">
    <w:abstractNumId w:val="22"/>
  </w:num>
  <w:num w:numId="8">
    <w:abstractNumId w:val="7"/>
  </w:num>
  <w:num w:numId="9">
    <w:abstractNumId w:val="15"/>
  </w:num>
  <w:num w:numId="10">
    <w:abstractNumId w:val="21"/>
  </w:num>
  <w:num w:numId="11">
    <w:abstractNumId w:val="2"/>
  </w:num>
  <w:num w:numId="12">
    <w:abstractNumId w:val="4"/>
  </w:num>
  <w:num w:numId="13">
    <w:abstractNumId w:val="5"/>
  </w:num>
  <w:num w:numId="14">
    <w:abstractNumId w:val="13"/>
  </w:num>
  <w:num w:numId="15">
    <w:abstractNumId w:val="12"/>
  </w:num>
  <w:num w:numId="16">
    <w:abstractNumId w:val="17"/>
  </w:num>
  <w:num w:numId="17">
    <w:abstractNumId w:val="23"/>
  </w:num>
  <w:num w:numId="18">
    <w:abstractNumId w:val="1"/>
  </w:num>
  <w:num w:numId="19">
    <w:abstractNumId w:val="9"/>
  </w:num>
  <w:num w:numId="20">
    <w:abstractNumId w:val="11"/>
  </w:num>
  <w:num w:numId="21">
    <w:abstractNumId w:val="16"/>
  </w:num>
  <w:num w:numId="22">
    <w:abstractNumId w:val="0"/>
  </w:num>
  <w:num w:numId="23">
    <w:abstractNumId w:val="20"/>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CA2735"/>
    <w:rsid w:val="00037A4F"/>
    <w:rsid w:val="00056FD2"/>
    <w:rsid w:val="00057B2C"/>
    <w:rsid w:val="000A033E"/>
    <w:rsid w:val="000D7B76"/>
    <w:rsid w:val="00106EE3"/>
    <w:rsid w:val="00110A37"/>
    <w:rsid w:val="001364E8"/>
    <w:rsid w:val="00137F59"/>
    <w:rsid w:val="00143866"/>
    <w:rsid w:val="001461A1"/>
    <w:rsid w:val="001562F2"/>
    <w:rsid w:val="0016054C"/>
    <w:rsid w:val="0017158B"/>
    <w:rsid w:val="00175477"/>
    <w:rsid w:val="00175A97"/>
    <w:rsid w:val="0019220D"/>
    <w:rsid w:val="00196C99"/>
    <w:rsid w:val="001E3E97"/>
    <w:rsid w:val="001F0750"/>
    <w:rsid w:val="001F44E1"/>
    <w:rsid w:val="002048A8"/>
    <w:rsid w:val="00215275"/>
    <w:rsid w:val="00217693"/>
    <w:rsid w:val="00223F2C"/>
    <w:rsid w:val="002258A6"/>
    <w:rsid w:val="00233918"/>
    <w:rsid w:val="00247E90"/>
    <w:rsid w:val="00266177"/>
    <w:rsid w:val="00271211"/>
    <w:rsid w:val="002A3DA7"/>
    <w:rsid w:val="002A62BB"/>
    <w:rsid w:val="002B172C"/>
    <w:rsid w:val="002C0499"/>
    <w:rsid w:val="002E24FD"/>
    <w:rsid w:val="002E496D"/>
    <w:rsid w:val="002E6870"/>
    <w:rsid w:val="00305DA3"/>
    <w:rsid w:val="00321A6F"/>
    <w:rsid w:val="00327C2E"/>
    <w:rsid w:val="00333C70"/>
    <w:rsid w:val="00336814"/>
    <w:rsid w:val="003467CC"/>
    <w:rsid w:val="00350047"/>
    <w:rsid w:val="003579DF"/>
    <w:rsid w:val="00377DBB"/>
    <w:rsid w:val="00382722"/>
    <w:rsid w:val="00386570"/>
    <w:rsid w:val="003953A5"/>
    <w:rsid w:val="00396DB0"/>
    <w:rsid w:val="003A31E1"/>
    <w:rsid w:val="003E7277"/>
    <w:rsid w:val="004011D8"/>
    <w:rsid w:val="0041534D"/>
    <w:rsid w:val="00445902"/>
    <w:rsid w:val="004473EF"/>
    <w:rsid w:val="00452425"/>
    <w:rsid w:val="00454EDB"/>
    <w:rsid w:val="004564C8"/>
    <w:rsid w:val="0046375D"/>
    <w:rsid w:val="00476C2E"/>
    <w:rsid w:val="00480CAB"/>
    <w:rsid w:val="00482711"/>
    <w:rsid w:val="00486C9F"/>
    <w:rsid w:val="004B153A"/>
    <w:rsid w:val="004B327F"/>
    <w:rsid w:val="004B4695"/>
    <w:rsid w:val="004B4FA9"/>
    <w:rsid w:val="004D4DFE"/>
    <w:rsid w:val="004E5427"/>
    <w:rsid w:val="00502898"/>
    <w:rsid w:val="00505949"/>
    <w:rsid w:val="00517295"/>
    <w:rsid w:val="00531B4F"/>
    <w:rsid w:val="005434AB"/>
    <w:rsid w:val="00566DDB"/>
    <w:rsid w:val="00570E43"/>
    <w:rsid w:val="00574A6E"/>
    <w:rsid w:val="005B015A"/>
    <w:rsid w:val="005E5609"/>
    <w:rsid w:val="006474A3"/>
    <w:rsid w:val="00674CDB"/>
    <w:rsid w:val="00676879"/>
    <w:rsid w:val="0067761A"/>
    <w:rsid w:val="00680EA9"/>
    <w:rsid w:val="00681514"/>
    <w:rsid w:val="006818B3"/>
    <w:rsid w:val="00691162"/>
    <w:rsid w:val="00692B00"/>
    <w:rsid w:val="00693053"/>
    <w:rsid w:val="006F7125"/>
    <w:rsid w:val="007139E3"/>
    <w:rsid w:val="00733BDD"/>
    <w:rsid w:val="00744C21"/>
    <w:rsid w:val="00753B1F"/>
    <w:rsid w:val="00761327"/>
    <w:rsid w:val="00761483"/>
    <w:rsid w:val="007640BB"/>
    <w:rsid w:val="00773848"/>
    <w:rsid w:val="007762FE"/>
    <w:rsid w:val="00777130"/>
    <w:rsid w:val="007A152F"/>
    <w:rsid w:val="007C443A"/>
    <w:rsid w:val="007C577E"/>
    <w:rsid w:val="007E09C2"/>
    <w:rsid w:val="007F4835"/>
    <w:rsid w:val="00832BF3"/>
    <w:rsid w:val="00840FBB"/>
    <w:rsid w:val="00867883"/>
    <w:rsid w:val="008A1592"/>
    <w:rsid w:val="008A4006"/>
    <w:rsid w:val="008A5954"/>
    <w:rsid w:val="008B0808"/>
    <w:rsid w:val="008B374D"/>
    <w:rsid w:val="008E1F70"/>
    <w:rsid w:val="008E28AB"/>
    <w:rsid w:val="008E43AF"/>
    <w:rsid w:val="008F12E8"/>
    <w:rsid w:val="008F37CF"/>
    <w:rsid w:val="008F72FD"/>
    <w:rsid w:val="00906045"/>
    <w:rsid w:val="00940260"/>
    <w:rsid w:val="00943B4D"/>
    <w:rsid w:val="0098144E"/>
    <w:rsid w:val="009B228D"/>
    <w:rsid w:val="009B61F9"/>
    <w:rsid w:val="009C09C9"/>
    <w:rsid w:val="009D17B7"/>
    <w:rsid w:val="00A056F1"/>
    <w:rsid w:val="00A11676"/>
    <w:rsid w:val="00A23ECD"/>
    <w:rsid w:val="00A360D7"/>
    <w:rsid w:val="00A47DF0"/>
    <w:rsid w:val="00A637FD"/>
    <w:rsid w:val="00A872B2"/>
    <w:rsid w:val="00AA26BD"/>
    <w:rsid w:val="00AB1A93"/>
    <w:rsid w:val="00AB549D"/>
    <w:rsid w:val="00AB6235"/>
    <w:rsid w:val="00AD67D3"/>
    <w:rsid w:val="00AF36BF"/>
    <w:rsid w:val="00AF69ED"/>
    <w:rsid w:val="00B14DAC"/>
    <w:rsid w:val="00B2711C"/>
    <w:rsid w:val="00B606C0"/>
    <w:rsid w:val="00B63F3F"/>
    <w:rsid w:val="00B70AC3"/>
    <w:rsid w:val="00B71354"/>
    <w:rsid w:val="00B71BE0"/>
    <w:rsid w:val="00B74F3E"/>
    <w:rsid w:val="00B9798C"/>
    <w:rsid w:val="00BB59C1"/>
    <w:rsid w:val="00BC6165"/>
    <w:rsid w:val="00BE526E"/>
    <w:rsid w:val="00C07E9E"/>
    <w:rsid w:val="00C11670"/>
    <w:rsid w:val="00C13F09"/>
    <w:rsid w:val="00C55921"/>
    <w:rsid w:val="00C73F9E"/>
    <w:rsid w:val="00C74861"/>
    <w:rsid w:val="00C74D8C"/>
    <w:rsid w:val="00CA2735"/>
    <w:rsid w:val="00CA6866"/>
    <w:rsid w:val="00CB1B10"/>
    <w:rsid w:val="00CB556F"/>
    <w:rsid w:val="00CB7C02"/>
    <w:rsid w:val="00CF0DF4"/>
    <w:rsid w:val="00D03BF9"/>
    <w:rsid w:val="00D120D4"/>
    <w:rsid w:val="00D163DE"/>
    <w:rsid w:val="00D27AF1"/>
    <w:rsid w:val="00D27D73"/>
    <w:rsid w:val="00D3657C"/>
    <w:rsid w:val="00D45912"/>
    <w:rsid w:val="00D5740D"/>
    <w:rsid w:val="00D61F23"/>
    <w:rsid w:val="00D6316D"/>
    <w:rsid w:val="00D72219"/>
    <w:rsid w:val="00D8330B"/>
    <w:rsid w:val="00DA1B2D"/>
    <w:rsid w:val="00DB13FD"/>
    <w:rsid w:val="00E01C0A"/>
    <w:rsid w:val="00E03553"/>
    <w:rsid w:val="00E04319"/>
    <w:rsid w:val="00E1054D"/>
    <w:rsid w:val="00E47070"/>
    <w:rsid w:val="00E5254E"/>
    <w:rsid w:val="00E54021"/>
    <w:rsid w:val="00E73F17"/>
    <w:rsid w:val="00E74092"/>
    <w:rsid w:val="00E828B2"/>
    <w:rsid w:val="00E95915"/>
    <w:rsid w:val="00E96D32"/>
    <w:rsid w:val="00EA40E8"/>
    <w:rsid w:val="00EB3131"/>
    <w:rsid w:val="00EB734B"/>
    <w:rsid w:val="00F01BBF"/>
    <w:rsid w:val="00F0357D"/>
    <w:rsid w:val="00F03F57"/>
    <w:rsid w:val="00F14C08"/>
    <w:rsid w:val="00F240BB"/>
    <w:rsid w:val="00F30B80"/>
    <w:rsid w:val="00F370AB"/>
    <w:rsid w:val="00F46E36"/>
    <w:rsid w:val="00F62A1F"/>
    <w:rsid w:val="00F63716"/>
    <w:rsid w:val="00F74530"/>
    <w:rsid w:val="00F75ECF"/>
    <w:rsid w:val="00F77344"/>
    <w:rsid w:val="00F9425C"/>
    <w:rsid w:val="00F9769A"/>
    <w:rsid w:val="00FA66A6"/>
    <w:rsid w:val="00FA6BF2"/>
    <w:rsid w:val="00FC0F78"/>
    <w:rsid w:val="00FD7EB5"/>
    <w:rsid w:val="00FD7EC0"/>
    <w:rsid w:val="00FE4D50"/>
    <w:rsid w:val="011B0745"/>
    <w:rsid w:val="01227D26"/>
    <w:rsid w:val="012A6BDB"/>
    <w:rsid w:val="01565C22"/>
    <w:rsid w:val="015754F6"/>
    <w:rsid w:val="015F10D2"/>
    <w:rsid w:val="01927B3B"/>
    <w:rsid w:val="01A00C4B"/>
    <w:rsid w:val="01A544B3"/>
    <w:rsid w:val="01EA0118"/>
    <w:rsid w:val="02147484"/>
    <w:rsid w:val="02184C85"/>
    <w:rsid w:val="021F05BC"/>
    <w:rsid w:val="023C4E17"/>
    <w:rsid w:val="024E31B3"/>
    <w:rsid w:val="02571C51"/>
    <w:rsid w:val="025E7767"/>
    <w:rsid w:val="0271663F"/>
    <w:rsid w:val="02A66735"/>
    <w:rsid w:val="02E01C47"/>
    <w:rsid w:val="036839EA"/>
    <w:rsid w:val="041B280B"/>
    <w:rsid w:val="04287C5D"/>
    <w:rsid w:val="04827A15"/>
    <w:rsid w:val="04BD38C2"/>
    <w:rsid w:val="04C64E6C"/>
    <w:rsid w:val="04D37589"/>
    <w:rsid w:val="0542684A"/>
    <w:rsid w:val="0555714A"/>
    <w:rsid w:val="05A625A8"/>
    <w:rsid w:val="05A73EC7"/>
    <w:rsid w:val="06255BC2"/>
    <w:rsid w:val="065F4F06"/>
    <w:rsid w:val="067B3A34"/>
    <w:rsid w:val="06930F4A"/>
    <w:rsid w:val="06F37A6F"/>
    <w:rsid w:val="07035F04"/>
    <w:rsid w:val="08161C67"/>
    <w:rsid w:val="08256699"/>
    <w:rsid w:val="082A3662"/>
    <w:rsid w:val="083126DF"/>
    <w:rsid w:val="083E2F6B"/>
    <w:rsid w:val="08A13C26"/>
    <w:rsid w:val="08B911B5"/>
    <w:rsid w:val="08C6543B"/>
    <w:rsid w:val="08DF474E"/>
    <w:rsid w:val="09000221"/>
    <w:rsid w:val="096D2066"/>
    <w:rsid w:val="099E1F14"/>
    <w:rsid w:val="099E3CC2"/>
    <w:rsid w:val="09B53F36"/>
    <w:rsid w:val="09B71227"/>
    <w:rsid w:val="09D81AE8"/>
    <w:rsid w:val="09DC0C8E"/>
    <w:rsid w:val="09EF2CC8"/>
    <w:rsid w:val="0A0A75A9"/>
    <w:rsid w:val="0A466107"/>
    <w:rsid w:val="0A9F4195"/>
    <w:rsid w:val="0AA435CA"/>
    <w:rsid w:val="0AB87005"/>
    <w:rsid w:val="0AD53350"/>
    <w:rsid w:val="0AE225A2"/>
    <w:rsid w:val="0B3514F3"/>
    <w:rsid w:val="0B56460F"/>
    <w:rsid w:val="0BC06709"/>
    <w:rsid w:val="0BE671F7"/>
    <w:rsid w:val="0C64649A"/>
    <w:rsid w:val="0CC27359"/>
    <w:rsid w:val="0CF125AB"/>
    <w:rsid w:val="0D6A51F1"/>
    <w:rsid w:val="0D7F205C"/>
    <w:rsid w:val="0DA13447"/>
    <w:rsid w:val="0DB54028"/>
    <w:rsid w:val="0DCC719B"/>
    <w:rsid w:val="0DF31A30"/>
    <w:rsid w:val="0DF742E8"/>
    <w:rsid w:val="0E2624D8"/>
    <w:rsid w:val="0E67321C"/>
    <w:rsid w:val="0E6C406F"/>
    <w:rsid w:val="0E8108E7"/>
    <w:rsid w:val="0EE77EB9"/>
    <w:rsid w:val="0F000F7B"/>
    <w:rsid w:val="0F1753CE"/>
    <w:rsid w:val="0F8751F8"/>
    <w:rsid w:val="0FAF1EF8"/>
    <w:rsid w:val="0FF54858"/>
    <w:rsid w:val="105C0433"/>
    <w:rsid w:val="105E064F"/>
    <w:rsid w:val="10786D59"/>
    <w:rsid w:val="10A51DDA"/>
    <w:rsid w:val="10D522C2"/>
    <w:rsid w:val="10EB7FAA"/>
    <w:rsid w:val="110A7E8F"/>
    <w:rsid w:val="114F36F1"/>
    <w:rsid w:val="1185313C"/>
    <w:rsid w:val="11965BC6"/>
    <w:rsid w:val="122338FE"/>
    <w:rsid w:val="123B251C"/>
    <w:rsid w:val="126604B9"/>
    <w:rsid w:val="128A572B"/>
    <w:rsid w:val="129739A4"/>
    <w:rsid w:val="12B6087D"/>
    <w:rsid w:val="13180F89"/>
    <w:rsid w:val="133236CD"/>
    <w:rsid w:val="134E49AB"/>
    <w:rsid w:val="137A57A0"/>
    <w:rsid w:val="139E2814"/>
    <w:rsid w:val="13BF1404"/>
    <w:rsid w:val="13C609E5"/>
    <w:rsid w:val="141D612B"/>
    <w:rsid w:val="14503AC7"/>
    <w:rsid w:val="14812B5E"/>
    <w:rsid w:val="14956609"/>
    <w:rsid w:val="149C7998"/>
    <w:rsid w:val="14B95E54"/>
    <w:rsid w:val="14C667C2"/>
    <w:rsid w:val="15113EE2"/>
    <w:rsid w:val="15261988"/>
    <w:rsid w:val="152D1358"/>
    <w:rsid w:val="15460730"/>
    <w:rsid w:val="157533D5"/>
    <w:rsid w:val="15785D0F"/>
    <w:rsid w:val="15973956"/>
    <w:rsid w:val="159B4E2C"/>
    <w:rsid w:val="15A44D56"/>
    <w:rsid w:val="16164CFD"/>
    <w:rsid w:val="163360DA"/>
    <w:rsid w:val="163D0D06"/>
    <w:rsid w:val="165A2CFD"/>
    <w:rsid w:val="168842DC"/>
    <w:rsid w:val="168C1346"/>
    <w:rsid w:val="16A41A7D"/>
    <w:rsid w:val="16E302B6"/>
    <w:rsid w:val="17585921"/>
    <w:rsid w:val="17A27AB6"/>
    <w:rsid w:val="17CE19C2"/>
    <w:rsid w:val="17D2722C"/>
    <w:rsid w:val="17E86A50"/>
    <w:rsid w:val="17F51E15"/>
    <w:rsid w:val="181F06C4"/>
    <w:rsid w:val="183D7FFA"/>
    <w:rsid w:val="184335C9"/>
    <w:rsid w:val="18561C0B"/>
    <w:rsid w:val="18B665BC"/>
    <w:rsid w:val="18F946F6"/>
    <w:rsid w:val="1901601B"/>
    <w:rsid w:val="19092B40"/>
    <w:rsid w:val="191F46F3"/>
    <w:rsid w:val="196842EC"/>
    <w:rsid w:val="196A02C6"/>
    <w:rsid w:val="197131A1"/>
    <w:rsid w:val="19873C3C"/>
    <w:rsid w:val="199D3F96"/>
    <w:rsid w:val="19A90B8D"/>
    <w:rsid w:val="19E35721"/>
    <w:rsid w:val="1A0811FB"/>
    <w:rsid w:val="1A100546"/>
    <w:rsid w:val="1A366198"/>
    <w:rsid w:val="1A3C36EC"/>
    <w:rsid w:val="1A411735"/>
    <w:rsid w:val="1A564145"/>
    <w:rsid w:val="1A935DA8"/>
    <w:rsid w:val="1AA24EEA"/>
    <w:rsid w:val="1AB25F58"/>
    <w:rsid w:val="1AF45E9F"/>
    <w:rsid w:val="1B34092A"/>
    <w:rsid w:val="1B5A7BFD"/>
    <w:rsid w:val="1B5D0A97"/>
    <w:rsid w:val="1B6034CD"/>
    <w:rsid w:val="1B7C7BDB"/>
    <w:rsid w:val="1B970EB9"/>
    <w:rsid w:val="1BAA0BEC"/>
    <w:rsid w:val="1C330BE1"/>
    <w:rsid w:val="1D1D0F4A"/>
    <w:rsid w:val="1DE946BC"/>
    <w:rsid w:val="1E022EB7"/>
    <w:rsid w:val="1E214A6A"/>
    <w:rsid w:val="1E234C86"/>
    <w:rsid w:val="1E4A2212"/>
    <w:rsid w:val="1E5866DD"/>
    <w:rsid w:val="1E7B23CC"/>
    <w:rsid w:val="1EAE454F"/>
    <w:rsid w:val="1F1D7927"/>
    <w:rsid w:val="1F1E01B7"/>
    <w:rsid w:val="1F4C6ED4"/>
    <w:rsid w:val="1FA57DDF"/>
    <w:rsid w:val="1FCF574B"/>
    <w:rsid w:val="202F7912"/>
    <w:rsid w:val="2075373F"/>
    <w:rsid w:val="209459C7"/>
    <w:rsid w:val="20E3682E"/>
    <w:rsid w:val="20E57FD0"/>
    <w:rsid w:val="217355DC"/>
    <w:rsid w:val="217C060D"/>
    <w:rsid w:val="21AB121A"/>
    <w:rsid w:val="21FA5CFD"/>
    <w:rsid w:val="22333BBA"/>
    <w:rsid w:val="22986441"/>
    <w:rsid w:val="22DA18C6"/>
    <w:rsid w:val="231B417D"/>
    <w:rsid w:val="23712C4B"/>
    <w:rsid w:val="241C63FF"/>
    <w:rsid w:val="2443792B"/>
    <w:rsid w:val="245060A9"/>
    <w:rsid w:val="247753E3"/>
    <w:rsid w:val="2503311B"/>
    <w:rsid w:val="2519732B"/>
    <w:rsid w:val="254C338F"/>
    <w:rsid w:val="255B007C"/>
    <w:rsid w:val="25695674"/>
    <w:rsid w:val="25783B09"/>
    <w:rsid w:val="257D2ECD"/>
    <w:rsid w:val="257D4C7B"/>
    <w:rsid w:val="25B85CB3"/>
    <w:rsid w:val="25C428AA"/>
    <w:rsid w:val="25DB521D"/>
    <w:rsid w:val="25FA2770"/>
    <w:rsid w:val="26420287"/>
    <w:rsid w:val="26834513"/>
    <w:rsid w:val="271E2302"/>
    <w:rsid w:val="272B680C"/>
    <w:rsid w:val="277D5407"/>
    <w:rsid w:val="27800A53"/>
    <w:rsid w:val="279F6AFD"/>
    <w:rsid w:val="27C43035"/>
    <w:rsid w:val="27DF51BC"/>
    <w:rsid w:val="27EB05C2"/>
    <w:rsid w:val="283755B5"/>
    <w:rsid w:val="28506677"/>
    <w:rsid w:val="287C746C"/>
    <w:rsid w:val="288527C5"/>
    <w:rsid w:val="28946A76"/>
    <w:rsid w:val="290F6532"/>
    <w:rsid w:val="29296853"/>
    <w:rsid w:val="294F6C39"/>
    <w:rsid w:val="296D5007"/>
    <w:rsid w:val="297C0FE2"/>
    <w:rsid w:val="299B25D9"/>
    <w:rsid w:val="29A94291"/>
    <w:rsid w:val="29CE019B"/>
    <w:rsid w:val="2A0357C4"/>
    <w:rsid w:val="2A5F0DF4"/>
    <w:rsid w:val="2A7356CD"/>
    <w:rsid w:val="2A924D25"/>
    <w:rsid w:val="2A9B6B57"/>
    <w:rsid w:val="2B051482"/>
    <w:rsid w:val="2B165956"/>
    <w:rsid w:val="2B2C196A"/>
    <w:rsid w:val="2B375890"/>
    <w:rsid w:val="2B5B5A5F"/>
    <w:rsid w:val="2B5E554F"/>
    <w:rsid w:val="2BA70CA4"/>
    <w:rsid w:val="2BA74B51"/>
    <w:rsid w:val="2BAE6763"/>
    <w:rsid w:val="2BB043A5"/>
    <w:rsid w:val="2BB1567F"/>
    <w:rsid w:val="2BBD122B"/>
    <w:rsid w:val="2BD355F5"/>
    <w:rsid w:val="2BD5153A"/>
    <w:rsid w:val="2BF447CA"/>
    <w:rsid w:val="2BF553F0"/>
    <w:rsid w:val="2BFA4D5D"/>
    <w:rsid w:val="2C047EA4"/>
    <w:rsid w:val="2C0E2AD1"/>
    <w:rsid w:val="2C2F7D0E"/>
    <w:rsid w:val="2C8E59C0"/>
    <w:rsid w:val="2CCB6C14"/>
    <w:rsid w:val="2D594220"/>
    <w:rsid w:val="2D662499"/>
    <w:rsid w:val="2D6F57F1"/>
    <w:rsid w:val="2D766B80"/>
    <w:rsid w:val="2D855015"/>
    <w:rsid w:val="2DCC2C44"/>
    <w:rsid w:val="2DD67085"/>
    <w:rsid w:val="2DDB2E87"/>
    <w:rsid w:val="2E05014B"/>
    <w:rsid w:val="2E114AFB"/>
    <w:rsid w:val="2E3C2032"/>
    <w:rsid w:val="2EBB2AEF"/>
    <w:rsid w:val="2ED55B28"/>
    <w:rsid w:val="2EE61AE3"/>
    <w:rsid w:val="2F725125"/>
    <w:rsid w:val="2FB058FC"/>
    <w:rsid w:val="2FB120F1"/>
    <w:rsid w:val="2FCA31B3"/>
    <w:rsid w:val="2FD933F6"/>
    <w:rsid w:val="2FF3270A"/>
    <w:rsid w:val="306265F6"/>
    <w:rsid w:val="30711881"/>
    <w:rsid w:val="30B11C7D"/>
    <w:rsid w:val="30C73B59"/>
    <w:rsid w:val="30D50061"/>
    <w:rsid w:val="31186D98"/>
    <w:rsid w:val="315171E7"/>
    <w:rsid w:val="31600648"/>
    <w:rsid w:val="319D62CF"/>
    <w:rsid w:val="32290665"/>
    <w:rsid w:val="323D78A5"/>
    <w:rsid w:val="32400870"/>
    <w:rsid w:val="325B6344"/>
    <w:rsid w:val="328C1DAB"/>
    <w:rsid w:val="32933D30"/>
    <w:rsid w:val="3301752F"/>
    <w:rsid w:val="33124078"/>
    <w:rsid w:val="332E1CAB"/>
    <w:rsid w:val="33492641"/>
    <w:rsid w:val="33694A91"/>
    <w:rsid w:val="338A5811"/>
    <w:rsid w:val="33A51F6D"/>
    <w:rsid w:val="33B01B02"/>
    <w:rsid w:val="33C00C6B"/>
    <w:rsid w:val="33E03C17"/>
    <w:rsid w:val="33E505BB"/>
    <w:rsid w:val="341222FE"/>
    <w:rsid w:val="34136C7E"/>
    <w:rsid w:val="34192013"/>
    <w:rsid w:val="35373099"/>
    <w:rsid w:val="35374E47"/>
    <w:rsid w:val="354263DC"/>
    <w:rsid w:val="35630F94"/>
    <w:rsid w:val="35AB1391"/>
    <w:rsid w:val="35AD40EA"/>
    <w:rsid w:val="35B446E9"/>
    <w:rsid w:val="35E84393"/>
    <w:rsid w:val="35FE3BB6"/>
    <w:rsid w:val="364517E5"/>
    <w:rsid w:val="3657463D"/>
    <w:rsid w:val="366C6D72"/>
    <w:rsid w:val="36AC716F"/>
    <w:rsid w:val="36C7044C"/>
    <w:rsid w:val="36F14699"/>
    <w:rsid w:val="37070373"/>
    <w:rsid w:val="37215DAE"/>
    <w:rsid w:val="373F4487"/>
    <w:rsid w:val="379B04EC"/>
    <w:rsid w:val="37AD7642"/>
    <w:rsid w:val="37ED7BD2"/>
    <w:rsid w:val="381B777D"/>
    <w:rsid w:val="38B72CB1"/>
    <w:rsid w:val="38EA0422"/>
    <w:rsid w:val="39241B86"/>
    <w:rsid w:val="39374A4B"/>
    <w:rsid w:val="394538AA"/>
    <w:rsid w:val="39724B9F"/>
    <w:rsid w:val="39A607ED"/>
    <w:rsid w:val="39B93779"/>
    <w:rsid w:val="39C96289"/>
    <w:rsid w:val="39CB0253"/>
    <w:rsid w:val="39E60E84"/>
    <w:rsid w:val="3AE23F23"/>
    <w:rsid w:val="3B337E5E"/>
    <w:rsid w:val="3B3D6F2F"/>
    <w:rsid w:val="3B9D352A"/>
    <w:rsid w:val="3BE73F39"/>
    <w:rsid w:val="3BF14CA3"/>
    <w:rsid w:val="3C846F59"/>
    <w:rsid w:val="3C9C1AF5"/>
    <w:rsid w:val="3CA60CB4"/>
    <w:rsid w:val="3CA628B2"/>
    <w:rsid w:val="3CC05722"/>
    <w:rsid w:val="3CC33464"/>
    <w:rsid w:val="3D0A1093"/>
    <w:rsid w:val="3D424389"/>
    <w:rsid w:val="3D475E43"/>
    <w:rsid w:val="3D5D11C3"/>
    <w:rsid w:val="3D6E487E"/>
    <w:rsid w:val="3D8F7ADF"/>
    <w:rsid w:val="3DB14A2F"/>
    <w:rsid w:val="3DEF3EBC"/>
    <w:rsid w:val="3E0F0E0C"/>
    <w:rsid w:val="3E3276D0"/>
    <w:rsid w:val="3E642A25"/>
    <w:rsid w:val="3EAD7F28"/>
    <w:rsid w:val="3EC82FB3"/>
    <w:rsid w:val="3F073ADC"/>
    <w:rsid w:val="3F43263A"/>
    <w:rsid w:val="3F874C1D"/>
    <w:rsid w:val="3FBA0B4E"/>
    <w:rsid w:val="3FBA6DA0"/>
    <w:rsid w:val="3FCC262F"/>
    <w:rsid w:val="3FE13186"/>
    <w:rsid w:val="40267F92"/>
    <w:rsid w:val="403326AF"/>
    <w:rsid w:val="40567DF8"/>
    <w:rsid w:val="405B6FE7"/>
    <w:rsid w:val="406550FB"/>
    <w:rsid w:val="406960D0"/>
    <w:rsid w:val="40A23390"/>
    <w:rsid w:val="40AD2461"/>
    <w:rsid w:val="411F5E68"/>
    <w:rsid w:val="4134048C"/>
    <w:rsid w:val="41693E4B"/>
    <w:rsid w:val="41735459"/>
    <w:rsid w:val="41A93669"/>
    <w:rsid w:val="41EC3EDC"/>
    <w:rsid w:val="422045C0"/>
    <w:rsid w:val="422E312E"/>
    <w:rsid w:val="423F17DF"/>
    <w:rsid w:val="42621029"/>
    <w:rsid w:val="42750D5C"/>
    <w:rsid w:val="42A11B51"/>
    <w:rsid w:val="42AB6E74"/>
    <w:rsid w:val="42D00689"/>
    <w:rsid w:val="42DE13A1"/>
    <w:rsid w:val="42EA174A"/>
    <w:rsid w:val="43242AEC"/>
    <w:rsid w:val="43557285"/>
    <w:rsid w:val="439B2A45"/>
    <w:rsid w:val="43B65DBF"/>
    <w:rsid w:val="43CA50D8"/>
    <w:rsid w:val="446A0BF7"/>
    <w:rsid w:val="44B518E4"/>
    <w:rsid w:val="44D37FBC"/>
    <w:rsid w:val="44F52628"/>
    <w:rsid w:val="45124F88"/>
    <w:rsid w:val="452E3851"/>
    <w:rsid w:val="453C3DB3"/>
    <w:rsid w:val="457B2B2E"/>
    <w:rsid w:val="4587202D"/>
    <w:rsid w:val="458B2C8D"/>
    <w:rsid w:val="459736E0"/>
    <w:rsid w:val="45D4223E"/>
    <w:rsid w:val="45FB2652"/>
    <w:rsid w:val="45FC4BF9"/>
    <w:rsid w:val="461B6DA9"/>
    <w:rsid w:val="46405B25"/>
    <w:rsid w:val="464E3D9E"/>
    <w:rsid w:val="465825CF"/>
    <w:rsid w:val="468772B0"/>
    <w:rsid w:val="46F30DEA"/>
    <w:rsid w:val="474927B8"/>
    <w:rsid w:val="47653A95"/>
    <w:rsid w:val="4783216D"/>
    <w:rsid w:val="47A10846"/>
    <w:rsid w:val="480768FB"/>
    <w:rsid w:val="48315726"/>
    <w:rsid w:val="483D231C"/>
    <w:rsid w:val="48A57EC2"/>
    <w:rsid w:val="48D12A65"/>
    <w:rsid w:val="48D32C81"/>
    <w:rsid w:val="48FC3F85"/>
    <w:rsid w:val="4941408E"/>
    <w:rsid w:val="4944592C"/>
    <w:rsid w:val="49836455"/>
    <w:rsid w:val="498D4320"/>
    <w:rsid w:val="49BF7EAB"/>
    <w:rsid w:val="49E228E2"/>
    <w:rsid w:val="49F42EAF"/>
    <w:rsid w:val="4B0B18E3"/>
    <w:rsid w:val="4B241572"/>
    <w:rsid w:val="4B34152E"/>
    <w:rsid w:val="4B38326F"/>
    <w:rsid w:val="4B941D1B"/>
    <w:rsid w:val="4BC15012"/>
    <w:rsid w:val="4BE160AD"/>
    <w:rsid w:val="4BE96317"/>
    <w:rsid w:val="4BF80526"/>
    <w:rsid w:val="4C005A69"/>
    <w:rsid w:val="4C2D0725"/>
    <w:rsid w:val="4C586A2F"/>
    <w:rsid w:val="4C804ECE"/>
    <w:rsid w:val="4CA90E33"/>
    <w:rsid w:val="4CE27936"/>
    <w:rsid w:val="4D331DEF"/>
    <w:rsid w:val="4D4B0FAE"/>
    <w:rsid w:val="4D572DEE"/>
    <w:rsid w:val="4DA51819"/>
    <w:rsid w:val="4DCE3A17"/>
    <w:rsid w:val="4DEE5E67"/>
    <w:rsid w:val="4E446209"/>
    <w:rsid w:val="4EA2737D"/>
    <w:rsid w:val="4EB33338"/>
    <w:rsid w:val="4EBB21ED"/>
    <w:rsid w:val="4EC92B5C"/>
    <w:rsid w:val="4F3F2E1E"/>
    <w:rsid w:val="4F42290E"/>
    <w:rsid w:val="4F9273F2"/>
    <w:rsid w:val="4FA72ADE"/>
    <w:rsid w:val="4FB8672C"/>
    <w:rsid w:val="4FBB6D3C"/>
    <w:rsid w:val="50020532"/>
    <w:rsid w:val="501222E0"/>
    <w:rsid w:val="50451C1E"/>
    <w:rsid w:val="50697F20"/>
    <w:rsid w:val="50A001D9"/>
    <w:rsid w:val="50A82C45"/>
    <w:rsid w:val="50C874A7"/>
    <w:rsid w:val="50F225CA"/>
    <w:rsid w:val="51165E00"/>
    <w:rsid w:val="513D4CBA"/>
    <w:rsid w:val="516E4669"/>
    <w:rsid w:val="520420FD"/>
    <w:rsid w:val="524E151E"/>
    <w:rsid w:val="524F15CA"/>
    <w:rsid w:val="52581373"/>
    <w:rsid w:val="525C04FF"/>
    <w:rsid w:val="5264494A"/>
    <w:rsid w:val="52AE4F6C"/>
    <w:rsid w:val="52B607D8"/>
    <w:rsid w:val="532742F5"/>
    <w:rsid w:val="5353489B"/>
    <w:rsid w:val="537312E8"/>
    <w:rsid w:val="53795188"/>
    <w:rsid w:val="5382777D"/>
    <w:rsid w:val="538E6122"/>
    <w:rsid w:val="53AF7BC5"/>
    <w:rsid w:val="53D61877"/>
    <w:rsid w:val="541C5EB7"/>
    <w:rsid w:val="5424337C"/>
    <w:rsid w:val="5455279C"/>
    <w:rsid w:val="54694499"/>
    <w:rsid w:val="546D471F"/>
    <w:rsid w:val="54EB1352"/>
    <w:rsid w:val="54F21CA7"/>
    <w:rsid w:val="55023A8F"/>
    <w:rsid w:val="552D54C7"/>
    <w:rsid w:val="554F1ABB"/>
    <w:rsid w:val="55A0038E"/>
    <w:rsid w:val="55E71B19"/>
    <w:rsid w:val="55FF50B5"/>
    <w:rsid w:val="56D94287"/>
    <w:rsid w:val="575256B8"/>
    <w:rsid w:val="579D4B86"/>
    <w:rsid w:val="57DB56AE"/>
    <w:rsid w:val="57E44CAE"/>
    <w:rsid w:val="581E5B87"/>
    <w:rsid w:val="588A621B"/>
    <w:rsid w:val="58CA38EB"/>
    <w:rsid w:val="59103135"/>
    <w:rsid w:val="59305585"/>
    <w:rsid w:val="595E6596"/>
    <w:rsid w:val="597162CA"/>
    <w:rsid w:val="59F111B9"/>
    <w:rsid w:val="59F41174"/>
    <w:rsid w:val="5A2055FA"/>
    <w:rsid w:val="5A426345"/>
    <w:rsid w:val="5A494B51"/>
    <w:rsid w:val="5A51190E"/>
    <w:rsid w:val="5AA77AC9"/>
    <w:rsid w:val="5AAB30CF"/>
    <w:rsid w:val="5AB87F28"/>
    <w:rsid w:val="5ADA7E9F"/>
    <w:rsid w:val="5B03526B"/>
    <w:rsid w:val="5B0867BA"/>
    <w:rsid w:val="5B280C0A"/>
    <w:rsid w:val="5B4F7D7A"/>
    <w:rsid w:val="5B503CBD"/>
    <w:rsid w:val="5B6B0AF7"/>
    <w:rsid w:val="5B745BFD"/>
    <w:rsid w:val="5B7C4AB2"/>
    <w:rsid w:val="5B953DC6"/>
    <w:rsid w:val="5BAD6997"/>
    <w:rsid w:val="5BC95F7C"/>
    <w:rsid w:val="5C381321"/>
    <w:rsid w:val="5C423F4D"/>
    <w:rsid w:val="5C4F21C6"/>
    <w:rsid w:val="5C6043D4"/>
    <w:rsid w:val="5CA70254"/>
    <w:rsid w:val="5CCD7CBB"/>
    <w:rsid w:val="5CE648D9"/>
    <w:rsid w:val="5D047455"/>
    <w:rsid w:val="5D094A6B"/>
    <w:rsid w:val="5D4A4757"/>
    <w:rsid w:val="5D543F38"/>
    <w:rsid w:val="5D5A0E23"/>
    <w:rsid w:val="5D665A1A"/>
    <w:rsid w:val="5D713FD0"/>
    <w:rsid w:val="5DAF5613"/>
    <w:rsid w:val="5DE92203"/>
    <w:rsid w:val="5DED613B"/>
    <w:rsid w:val="5DEF5A0F"/>
    <w:rsid w:val="5E08326E"/>
    <w:rsid w:val="5E27175F"/>
    <w:rsid w:val="5E31427A"/>
    <w:rsid w:val="5E9B5EC7"/>
    <w:rsid w:val="5EA52572"/>
    <w:rsid w:val="5EC077F0"/>
    <w:rsid w:val="5F0A0861"/>
    <w:rsid w:val="5F427C71"/>
    <w:rsid w:val="5F465B03"/>
    <w:rsid w:val="5F4F0E5B"/>
    <w:rsid w:val="5F8D0423"/>
    <w:rsid w:val="5F9F3465"/>
    <w:rsid w:val="5FA56CCD"/>
    <w:rsid w:val="5FC353A5"/>
    <w:rsid w:val="5FED41D0"/>
    <w:rsid w:val="60327E35"/>
    <w:rsid w:val="605E6E7C"/>
    <w:rsid w:val="60AA6BE2"/>
    <w:rsid w:val="60BD1DF5"/>
    <w:rsid w:val="60E27AAD"/>
    <w:rsid w:val="60F5158E"/>
    <w:rsid w:val="61E57855"/>
    <w:rsid w:val="620D46B6"/>
    <w:rsid w:val="62A96AD4"/>
    <w:rsid w:val="62B351E0"/>
    <w:rsid w:val="62C127B5"/>
    <w:rsid w:val="62C3746A"/>
    <w:rsid w:val="62FB09B2"/>
    <w:rsid w:val="63281EAF"/>
    <w:rsid w:val="633C72A8"/>
    <w:rsid w:val="6367789D"/>
    <w:rsid w:val="63AC7EFE"/>
    <w:rsid w:val="63AF67C3"/>
    <w:rsid w:val="644B5969"/>
    <w:rsid w:val="64550596"/>
    <w:rsid w:val="645C1924"/>
    <w:rsid w:val="646524FE"/>
    <w:rsid w:val="65031DA0"/>
    <w:rsid w:val="6549634D"/>
    <w:rsid w:val="654E3963"/>
    <w:rsid w:val="65674A25"/>
    <w:rsid w:val="657809E0"/>
    <w:rsid w:val="65AB4D65"/>
    <w:rsid w:val="65C07C91"/>
    <w:rsid w:val="66285829"/>
    <w:rsid w:val="665F35C7"/>
    <w:rsid w:val="66652D12"/>
    <w:rsid w:val="6686712D"/>
    <w:rsid w:val="66DB2FD4"/>
    <w:rsid w:val="66E8021D"/>
    <w:rsid w:val="66FA0FC1"/>
    <w:rsid w:val="6740552D"/>
    <w:rsid w:val="676905E0"/>
    <w:rsid w:val="677551D7"/>
    <w:rsid w:val="67A518E1"/>
    <w:rsid w:val="67AD4F04"/>
    <w:rsid w:val="67B449F3"/>
    <w:rsid w:val="6804595C"/>
    <w:rsid w:val="682C160E"/>
    <w:rsid w:val="68464DC5"/>
    <w:rsid w:val="68667A61"/>
    <w:rsid w:val="68AD09A1"/>
    <w:rsid w:val="68C06926"/>
    <w:rsid w:val="68FE2FAA"/>
    <w:rsid w:val="69224EEB"/>
    <w:rsid w:val="69561038"/>
    <w:rsid w:val="697F233D"/>
    <w:rsid w:val="69B63885"/>
    <w:rsid w:val="69CA10DE"/>
    <w:rsid w:val="69E5416A"/>
    <w:rsid w:val="69E95A08"/>
    <w:rsid w:val="69F15165"/>
    <w:rsid w:val="6A6B0B13"/>
    <w:rsid w:val="6A963EF8"/>
    <w:rsid w:val="6AAB53B4"/>
    <w:rsid w:val="6AB62FE4"/>
    <w:rsid w:val="6ADE3093"/>
    <w:rsid w:val="6AF208ED"/>
    <w:rsid w:val="6B416B67"/>
    <w:rsid w:val="6B5A0DF3"/>
    <w:rsid w:val="6B6E4275"/>
    <w:rsid w:val="6B9E0A74"/>
    <w:rsid w:val="6BA22313"/>
    <w:rsid w:val="6BB81B36"/>
    <w:rsid w:val="6C054650"/>
    <w:rsid w:val="6C9C05D1"/>
    <w:rsid w:val="6CCB3AEB"/>
    <w:rsid w:val="6D417909"/>
    <w:rsid w:val="6DC5678C"/>
    <w:rsid w:val="6E0C43BB"/>
    <w:rsid w:val="6E0C6169"/>
    <w:rsid w:val="6E0F5B3A"/>
    <w:rsid w:val="6E2D3047"/>
    <w:rsid w:val="6E5460DB"/>
    <w:rsid w:val="6E625B2F"/>
    <w:rsid w:val="6E6E472E"/>
    <w:rsid w:val="6E731D44"/>
    <w:rsid w:val="6E82467D"/>
    <w:rsid w:val="6E9F2B3A"/>
    <w:rsid w:val="6EB237C4"/>
    <w:rsid w:val="6ED924EF"/>
    <w:rsid w:val="6EF2710D"/>
    <w:rsid w:val="6F2B6766"/>
    <w:rsid w:val="6F2B72B3"/>
    <w:rsid w:val="6FB22D40"/>
    <w:rsid w:val="6FC56866"/>
    <w:rsid w:val="6FE078AE"/>
    <w:rsid w:val="70076BE8"/>
    <w:rsid w:val="7060279C"/>
    <w:rsid w:val="70645DE9"/>
    <w:rsid w:val="707965EB"/>
    <w:rsid w:val="708A15C7"/>
    <w:rsid w:val="70A73F27"/>
    <w:rsid w:val="70BA1EAD"/>
    <w:rsid w:val="70D2369A"/>
    <w:rsid w:val="70E84C6C"/>
    <w:rsid w:val="71243975"/>
    <w:rsid w:val="71595E48"/>
    <w:rsid w:val="717E112C"/>
    <w:rsid w:val="719941B8"/>
    <w:rsid w:val="71BE7C2C"/>
    <w:rsid w:val="71E93AAB"/>
    <w:rsid w:val="72457C55"/>
    <w:rsid w:val="725325B9"/>
    <w:rsid w:val="726D7B93"/>
    <w:rsid w:val="72A42E14"/>
    <w:rsid w:val="72B01389"/>
    <w:rsid w:val="72B50C69"/>
    <w:rsid w:val="72D75819"/>
    <w:rsid w:val="72E77CF8"/>
    <w:rsid w:val="732165E7"/>
    <w:rsid w:val="73373C88"/>
    <w:rsid w:val="737A3F0B"/>
    <w:rsid w:val="73C03C7E"/>
    <w:rsid w:val="74273CFD"/>
    <w:rsid w:val="74790C7E"/>
    <w:rsid w:val="74EC0AA3"/>
    <w:rsid w:val="74F048B6"/>
    <w:rsid w:val="74F140BB"/>
    <w:rsid w:val="752B15CB"/>
    <w:rsid w:val="753366D1"/>
    <w:rsid w:val="75363ACC"/>
    <w:rsid w:val="753D12FE"/>
    <w:rsid w:val="753F749A"/>
    <w:rsid w:val="754C3CA4"/>
    <w:rsid w:val="75640639"/>
    <w:rsid w:val="75932CCC"/>
    <w:rsid w:val="75D94B83"/>
    <w:rsid w:val="761738FD"/>
    <w:rsid w:val="762A3062"/>
    <w:rsid w:val="76793238"/>
    <w:rsid w:val="76B4739E"/>
    <w:rsid w:val="76C81FFD"/>
    <w:rsid w:val="76D90BB3"/>
    <w:rsid w:val="76EB7264"/>
    <w:rsid w:val="76EC6B38"/>
    <w:rsid w:val="77291B3A"/>
    <w:rsid w:val="77846D70"/>
    <w:rsid w:val="77AE3DED"/>
    <w:rsid w:val="77F5604F"/>
    <w:rsid w:val="78B47B29"/>
    <w:rsid w:val="78C04B89"/>
    <w:rsid w:val="78C55892"/>
    <w:rsid w:val="79295E21"/>
    <w:rsid w:val="796555C0"/>
    <w:rsid w:val="79BB168A"/>
    <w:rsid w:val="79C14719"/>
    <w:rsid w:val="79C913B2"/>
    <w:rsid w:val="79E208EE"/>
    <w:rsid w:val="7A0D5743"/>
    <w:rsid w:val="7A100D8F"/>
    <w:rsid w:val="7A5D76C5"/>
    <w:rsid w:val="7B2F16E9"/>
    <w:rsid w:val="7B4E7DC1"/>
    <w:rsid w:val="7BA43E85"/>
    <w:rsid w:val="7BC367FE"/>
    <w:rsid w:val="7BD61B65"/>
    <w:rsid w:val="7BDD2EF3"/>
    <w:rsid w:val="7BF1074D"/>
    <w:rsid w:val="7C09018C"/>
    <w:rsid w:val="7C531797"/>
    <w:rsid w:val="7C815F74"/>
    <w:rsid w:val="7C823C92"/>
    <w:rsid w:val="7D3A75EB"/>
    <w:rsid w:val="7D4274B2"/>
    <w:rsid w:val="7D5176F5"/>
    <w:rsid w:val="7D635C7A"/>
    <w:rsid w:val="7D8775BA"/>
    <w:rsid w:val="7DB54128"/>
    <w:rsid w:val="7DC8058B"/>
    <w:rsid w:val="7E0E3838"/>
    <w:rsid w:val="7E4E00D8"/>
    <w:rsid w:val="7E50008F"/>
    <w:rsid w:val="7E5E656D"/>
    <w:rsid w:val="7E663674"/>
    <w:rsid w:val="7E7F28D7"/>
    <w:rsid w:val="7E8104AE"/>
    <w:rsid w:val="7E954A46"/>
    <w:rsid w:val="7ECD54A1"/>
    <w:rsid w:val="7EDE145C"/>
    <w:rsid w:val="7F0F7867"/>
    <w:rsid w:val="7F7E49ED"/>
    <w:rsid w:val="7F871AF4"/>
    <w:rsid w:val="7FC56178"/>
    <w:rsid w:val="7FE9455C"/>
    <w:rsid w:val="7FEC1957"/>
    <w:rsid w:val="7FFE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2"/>
    <w:autoRedefine/>
    <w:qFormat/>
    <w:uiPriority w:val="0"/>
    <w:pPr>
      <w:keepNext/>
      <w:snapToGrid w:val="0"/>
      <w:spacing w:line="360" w:lineRule="atLeast"/>
      <w:outlineLvl w:val="0"/>
    </w:pPr>
    <w:rPr>
      <w:rFonts w:ascii="宋体" w:hAnsi="Times New Roman" w:eastAsia="宋体" w:cs="Times New Roman"/>
      <w:kern w:val="0"/>
      <w:sz w:val="28"/>
      <w:szCs w:val="20"/>
    </w:rPr>
  </w:style>
  <w:style w:type="paragraph" w:styleId="2">
    <w:name w:val="heading 2"/>
    <w:basedOn w:val="1"/>
    <w:next w:val="1"/>
    <w:link w:val="10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4"/>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105"/>
    <w:autoRedefine/>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6">
    <w:name w:val="heading 5"/>
    <w:basedOn w:val="1"/>
    <w:next w:val="1"/>
    <w:link w:val="106"/>
    <w:autoRedefine/>
    <w:qFormat/>
    <w:uiPriority w:val="0"/>
    <w:pPr>
      <w:keepNext/>
      <w:keepLines/>
      <w:numPr>
        <w:ilvl w:val="4"/>
        <w:numId w:val="1"/>
      </w:numPr>
      <w:adjustRightInd w:val="0"/>
      <w:spacing w:line="360" w:lineRule="auto"/>
      <w:ind w:right="100" w:rightChars="100"/>
      <w:textAlignment w:val="baseline"/>
      <w:outlineLvl w:val="4"/>
    </w:pPr>
    <w:rPr>
      <w:rFonts w:ascii="Times New Roman" w:hAnsi="Times New Roman" w:eastAsia="宋体" w:cs="Times New Roman"/>
      <w:bCs/>
      <w:kern w:val="0"/>
      <w:sz w:val="20"/>
      <w:szCs w:val="21"/>
    </w:rPr>
  </w:style>
  <w:style w:type="paragraph" w:styleId="7">
    <w:name w:val="heading 6"/>
    <w:basedOn w:val="1"/>
    <w:next w:val="1"/>
    <w:link w:val="107"/>
    <w:autoRedefine/>
    <w:qFormat/>
    <w:uiPriority w:val="0"/>
    <w:pPr>
      <w:keepNext/>
      <w:keepLines/>
      <w:spacing w:before="240" w:after="64" w:line="320" w:lineRule="auto"/>
      <w:outlineLvl w:val="5"/>
    </w:pPr>
    <w:rPr>
      <w:rFonts w:ascii="Arial" w:hAnsi="Arial" w:eastAsia="黑体" w:cs="Times New Roman"/>
      <w:b/>
      <w:bCs/>
      <w:kern w:val="0"/>
      <w:sz w:val="24"/>
      <w:szCs w:val="24"/>
    </w:rPr>
  </w:style>
  <w:style w:type="paragraph" w:styleId="8">
    <w:name w:val="heading 7"/>
    <w:basedOn w:val="1"/>
    <w:next w:val="1"/>
    <w:link w:val="108"/>
    <w:autoRedefine/>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9">
    <w:name w:val="heading 8"/>
    <w:basedOn w:val="1"/>
    <w:next w:val="1"/>
    <w:link w:val="109"/>
    <w:autoRedefine/>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0">
    <w:name w:val="heading 9"/>
    <w:basedOn w:val="1"/>
    <w:next w:val="1"/>
    <w:link w:val="110"/>
    <w:autoRedefine/>
    <w:qFormat/>
    <w:uiPriority w:val="0"/>
    <w:pPr>
      <w:keepNext/>
      <w:keepLines/>
      <w:spacing w:before="240" w:after="64" w:line="320" w:lineRule="auto"/>
      <w:outlineLvl w:val="8"/>
    </w:pPr>
    <w:rPr>
      <w:rFonts w:ascii="Arial" w:hAnsi="Arial" w:eastAsia="黑体" w:cs="Times New Roman"/>
      <w:kern w:val="0"/>
      <w:sz w:val="20"/>
      <w:szCs w:val="21"/>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260" w:hanging="420"/>
    </w:pPr>
    <w:rPr>
      <w:rFonts w:ascii="Times New Roman" w:hAnsi="Times New Roman" w:eastAsia="宋体" w:cs="Times New Roman"/>
      <w:szCs w:val="24"/>
    </w:rPr>
  </w:style>
  <w:style w:type="paragraph" w:styleId="12">
    <w:name w:val="toc 7"/>
    <w:basedOn w:val="1"/>
    <w:next w:val="1"/>
    <w:autoRedefine/>
    <w:qFormat/>
    <w:uiPriority w:val="0"/>
    <w:pPr>
      <w:ind w:left="2520" w:leftChars="1200"/>
    </w:pPr>
    <w:rPr>
      <w:rFonts w:ascii="Times New Roman" w:hAnsi="Times New Roman" w:eastAsia="宋体" w:cs="Times New Roman"/>
      <w:sz w:val="28"/>
      <w:szCs w:val="20"/>
    </w:rPr>
  </w:style>
  <w:style w:type="paragraph" w:styleId="13">
    <w:name w:val="List Number 2"/>
    <w:basedOn w:val="1"/>
    <w:autoRedefine/>
    <w:qFormat/>
    <w:uiPriority w:val="0"/>
    <w:pPr>
      <w:numPr>
        <w:ilvl w:val="0"/>
        <w:numId w:val="2"/>
      </w:numPr>
      <w:tabs>
        <w:tab w:val="left" w:pos="780"/>
        <w:tab w:val="clear" w:pos="900"/>
      </w:tabs>
    </w:pPr>
    <w:rPr>
      <w:rFonts w:ascii="Times New Roman" w:hAnsi="Times New Roman" w:eastAsia="宋体" w:cs="Times New Roman"/>
      <w:szCs w:val="24"/>
    </w:rPr>
  </w:style>
  <w:style w:type="paragraph" w:styleId="14">
    <w:name w:val="Note Heading"/>
    <w:basedOn w:val="1"/>
    <w:next w:val="1"/>
    <w:link w:val="111"/>
    <w:autoRedefine/>
    <w:qFormat/>
    <w:uiPriority w:val="0"/>
    <w:pPr>
      <w:jc w:val="center"/>
    </w:pPr>
    <w:rPr>
      <w:rFonts w:ascii="Times New Roman" w:hAnsi="Times New Roman" w:eastAsia="宋体" w:cs="Times New Roman"/>
      <w:kern w:val="0"/>
      <w:sz w:val="20"/>
      <w:szCs w:val="24"/>
    </w:rPr>
  </w:style>
  <w:style w:type="paragraph" w:styleId="15">
    <w:name w:val="List Bullet 4"/>
    <w:basedOn w:val="1"/>
    <w:autoRedefine/>
    <w:qFormat/>
    <w:uiPriority w:val="0"/>
    <w:pPr>
      <w:numPr>
        <w:ilvl w:val="0"/>
        <w:numId w:val="3"/>
      </w:numPr>
      <w:tabs>
        <w:tab w:val="left" w:pos="1620"/>
        <w:tab w:val="clear" w:pos="480"/>
      </w:tabs>
    </w:pPr>
    <w:rPr>
      <w:rFonts w:ascii="Times New Roman" w:hAnsi="Times New Roman" w:eastAsia="宋体" w:cs="Times New Roman"/>
      <w:szCs w:val="24"/>
    </w:rPr>
  </w:style>
  <w:style w:type="paragraph" w:styleId="16">
    <w:name w:val="index 8"/>
    <w:basedOn w:val="1"/>
    <w:next w:val="1"/>
    <w:autoRedefine/>
    <w:qFormat/>
    <w:uiPriority w:val="0"/>
    <w:pPr>
      <w:ind w:left="1400" w:leftChars="1400"/>
    </w:pPr>
    <w:rPr>
      <w:rFonts w:ascii="Times New Roman" w:hAnsi="Times New Roman" w:eastAsia="仿宋_GB2312" w:cs="Times New Roman"/>
      <w:sz w:val="28"/>
      <w:szCs w:val="24"/>
    </w:rPr>
  </w:style>
  <w:style w:type="paragraph" w:styleId="17">
    <w:name w:val="E-mail Signature"/>
    <w:basedOn w:val="1"/>
    <w:link w:val="112"/>
    <w:autoRedefine/>
    <w:qFormat/>
    <w:uiPriority w:val="0"/>
    <w:rPr>
      <w:rFonts w:ascii="Times New Roman" w:hAnsi="Times New Roman" w:eastAsia="宋体" w:cs="Times New Roman"/>
      <w:kern w:val="0"/>
      <w:sz w:val="20"/>
      <w:szCs w:val="24"/>
    </w:rPr>
  </w:style>
  <w:style w:type="paragraph" w:styleId="18">
    <w:name w:val="List Number"/>
    <w:basedOn w:val="1"/>
    <w:autoRedefine/>
    <w:qFormat/>
    <w:uiPriority w:val="0"/>
    <w:pPr>
      <w:numPr>
        <w:ilvl w:val="0"/>
        <w:numId w:val="4"/>
      </w:numPr>
    </w:pPr>
    <w:rPr>
      <w:rFonts w:ascii="Times New Roman" w:hAnsi="Times New Roman" w:eastAsia="宋体" w:cs="Times New Roman"/>
      <w:szCs w:val="24"/>
    </w:rPr>
  </w:style>
  <w:style w:type="paragraph" w:styleId="19">
    <w:name w:val="Normal Indent"/>
    <w:basedOn w:val="1"/>
    <w:link w:val="113"/>
    <w:autoRedefine/>
    <w:qFormat/>
    <w:uiPriority w:val="0"/>
    <w:pPr>
      <w:ind w:firstLine="420"/>
    </w:pPr>
    <w:rPr>
      <w:rFonts w:ascii="Times New Roman" w:hAnsi="Times New Roman" w:eastAsia="宋体" w:cs="Times New Roman"/>
      <w:kern w:val="0"/>
      <w:sz w:val="24"/>
      <w:szCs w:val="20"/>
    </w:rPr>
  </w:style>
  <w:style w:type="paragraph" w:styleId="20">
    <w:name w:val="caption"/>
    <w:basedOn w:val="1"/>
    <w:next w:val="1"/>
    <w:autoRedefine/>
    <w:qFormat/>
    <w:uiPriority w:val="0"/>
    <w:pPr>
      <w:spacing w:before="152" w:after="160"/>
    </w:pPr>
    <w:rPr>
      <w:rFonts w:ascii="Arial" w:hAnsi="Arial" w:eastAsia="黑体" w:cs="Times New Roman"/>
      <w:sz w:val="20"/>
      <w:szCs w:val="20"/>
    </w:rPr>
  </w:style>
  <w:style w:type="paragraph" w:styleId="21">
    <w:name w:val="index 5"/>
    <w:basedOn w:val="1"/>
    <w:next w:val="1"/>
    <w:autoRedefine/>
    <w:qFormat/>
    <w:uiPriority w:val="0"/>
    <w:pPr>
      <w:ind w:left="800" w:leftChars="800"/>
    </w:pPr>
    <w:rPr>
      <w:rFonts w:ascii="Times New Roman" w:hAnsi="Times New Roman" w:eastAsia="仿宋_GB2312" w:cs="Times New Roman"/>
      <w:sz w:val="28"/>
      <w:szCs w:val="24"/>
    </w:rPr>
  </w:style>
  <w:style w:type="paragraph" w:styleId="22">
    <w:name w:val="List Bullet"/>
    <w:basedOn w:val="1"/>
    <w:autoRedefine/>
    <w:qFormat/>
    <w:uiPriority w:val="0"/>
    <w:pPr>
      <w:numPr>
        <w:ilvl w:val="0"/>
        <w:numId w:val="5"/>
      </w:numPr>
      <w:tabs>
        <w:tab w:val="left" w:pos="360"/>
        <w:tab w:val="clear" w:pos="900"/>
      </w:tabs>
    </w:pPr>
    <w:rPr>
      <w:rFonts w:ascii="Times New Roman" w:hAnsi="Times New Roman" w:eastAsia="宋体" w:cs="Times New Roman"/>
      <w:szCs w:val="24"/>
    </w:rPr>
  </w:style>
  <w:style w:type="paragraph" w:styleId="23">
    <w:name w:val="envelope address"/>
    <w:basedOn w:val="1"/>
    <w:autoRedefine/>
    <w:qFormat/>
    <w:uiPriority w:val="0"/>
    <w:pPr>
      <w:snapToGrid w:val="0"/>
      <w:ind w:left="2880"/>
    </w:pPr>
    <w:rPr>
      <w:rFonts w:ascii="Arial" w:hAnsi="Arial" w:eastAsia="宋体" w:cs="Arial"/>
      <w:sz w:val="24"/>
      <w:szCs w:val="24"/>
    </w:rPr>
  </w:style>
  <w:style w:type="paragraph" w:styleId="24">
    <w:name w:val="Document Map"/>
    <w:basedOn w:val="1"/>
    <w:link w:val="114"/>
    <w:autoRedefine/>
    <w:qFormat/>
    <w:uiPriority w:val="0"/>
    <w:pPr>
      <w:shd w:val="clear" w:color="auto" w:fill="000080"/>
    </w:pPr>
    <w:rPr>
      <w:rFonts w:ascii="Times New Roman" w:hAnsi="Times New Roman" w:eastAsia="宋体" w:cs="Times New Roman"/>
      <w:kern w:val="0"/>
      <w:sz w:val="28"/>
      <w:szCs w:val="20"/>
    </w:rPr>
  </w:style>
  <w:style w:type="paragraph" w:styleId="25">
    <w:name w:val="annotation text"/>
    <w:basedOn w:val="1"/>
    <w:link w:val="115"/>
    <w:autoRedefine/>
    <w:qFormat/>
    <w:uiPriority w:val="99"/>
    <w:pPr>
      <w:jc w:val="left"/>
    </w:pPr>
    <w:rPr>
      <w:rFonts w:ascii="Times New Roman" w:hAnsi="Times New Roman" w:eastAsia="宋体" w:cs="Times New Roman"/>
      <w:kern w:val="0"/>
      <w:sz w:val="20"/>
      <w:szCs w:val="24"/>
    </w:rPr>
  </w:style>
  <w:style w:type="paragraph" w:styleId="26">
    <w:name w:val="index 6"/>
    <w:basedOn w:val="1"/>
    <w:next w:val="1"/>
    <w:autoRedefine/>
    <w:qFormat/>
    <w:uiPriority w:val="0"/>
    <w:pPr>
      <w:ind w:left="1000" w:leftChars="1000"/>
    </w:pPr>
    <w:rPr>
      <w:rFonts w:ascii="Times New Roman" w:hAnsi="Times New Roman" w:eastAsia="仿宋_GB2312" w:cs="Times New Roman"/>
      <w:sz w:val="28"/>
      <w:szCs w:val="24"/>
    </w:rPr>
  </w:style>
  <w:style w:type="paragraph" w:styleId="27">
    <w:name w:val="Salutation"/>
    <w:basedOn w:val="1"/>
    <w:next w:val="1"/>
    <w:link w:val="116"/>
    <w:autoRedefine/>
    <w:qFormat/>
    <w:uiPriority w:val="0"/>
    <w:rPr>
      <w:rFonts w:ascii="Times New Roman" w:hAnsi="Times New Roman" w:eastAsia="宋体" w:cs="Times New Roman"/>
      <w:kern w:val="0"/>
      <w:sz w:val="20"/>
      <w:szCs w:val="24"/>
    </w:rPr>
  </w:style>
  <w:style w:type="paragraph" w:styleId="28">
    <w:name w:val="Body Text 3"/>
    <w:basedOn w:val="1"/>
    <w:link w:val="117"/>
    <w:autoRedefine/>
    <w:qFormat/>
    <w:uiPriority w:val="0"/>
    <w:pPr>
      <w:spacing w:after="120"/>
    </w:pPr>
    <w:rPr>
      <w:rFonts w:ascii="Times New Roman" w:hAnsi="Times New Roman" w:eastAsia="宋体" w:cs="Times New Roman"/>
      <w:kern w:val="0"/>
      <w:sz w:val="16"/>
      <w:szCs w:val="16"/>
    </w:rPr>
  </w:style>
  <w:style w:type="paragraph" w:styleId="29">
    <w:name w:val="Closing"/>
    <w:basedOn w:val="1"/>
    <w:link w:val="118"/>
    <w:autoRedefine/>
    <w:qFormat/>
    <w:uiPriority w:val="0"/>
    <w:pPr>
      <w:ind w:left="4320"/>
    </w:pPr>
    <w:rPr>
      <w:rFonts w:ascii="Times New Roman" w:hAnsi="Times New Roman" w:eastAsia="宋体" w:cs="Times New Roman"/>
      <w:kern w:val="0"/>
      <w:sz w:val="20"/>
      <w:szCs w:val="24"/>
    </w:rPr>
  </w:style>
  <w:style w:type="paragraph" w:styleId="30">
    <w:name w:val="List Bullet 3"/>
    <w:basedOn w:val="1"/>
    <w:autoRedefine/>
    <w:qFormat/>
    <w:uiPriority w:val="0"/>
    <w:pPr>
      <w:numPr>
        <w:ilvl w:val="0"/>
        <w:numId w:val="6"/>
      </w:numPr>
      <w:tabs>
        <w:tab w:val="left" w:pos="1200"/>
      </w:tabs>
    </w:pPr>
    <w:rPr>
      <w:rFonts w:ascii="Times New Roman" w:hAnsi="Times New Roman" w:eastAsia="宋体" w:cs="Times New Roman"/>
      <w:szCs w:val="24"/>
    </w:rPr>
  </w:style>
  <w:style w:type="paragraph" w:styleId="31">
    <w:name w:val="Body Text"/>
    <w:basedOn w:val="1"/>
    <w:link w:val="119"/>
    <w:autoRedefine/>
    <w:qFormat/>
    <w:uiPriority w:val="0"/>
    <w:pPr>
      <w:jc w:val="left"/>
    </w:pPr>
    <w:rPr>
      <w:rFonts w:ascii="宋体" w:hAnsi="Times New Roman" w:eastAsia="宋体" w:cs="Times New Roman"/>
      <w:kern w:val="0"/>
      <w:sz w:val="28"/>
      <w:szCs w:val="20"/>
    </w:rPr>
  </w:style>
  <w:style w:type="paragraph" w:styleId="32">
    <w:name w:val="Body Text Indent"/>
    <w:basedOn w:val="1"/>
    <w:link w:val="120"/>
    <w:autoRedefine/>
    <w:qFormat/>
    <w:uiPriority w:val="0"/>
    <w:pPr>
      <w:spacing w:line="700" w:lineRule="exact"/>
      <w:ind w:left="960"/>
    </w:pPr>
    <w:rPr>
      <w:rFonts w:ascii="Times New Roman" w:hAnsi="Times New Roman" w:eastAsia="宋体" w:cs="Times New Roman"/>
      <w:kern w:val="0"/>
      <w:sz w:val="44"/>
      <w:szCs w:val="20"/>
    </w:rPr>
  </w:style>
  <w:style w:type="paragraph" w:styleId="33">
    <w:name w:val="List Number 3"/>
    <w:basedOn w:val="1"/>
    <w:autoRedefine/>
    <w:qFormat/>
    <w:uiPriority w:val="0"/>
    <w:pPr>
      <w:numPr>
        <w:ilvl w:val="0"/>
        <w:numId w:val="7"/>
      </w:numPr>
      <w:tabs>
        <w:tab w:val="left" w:pos="1200"/>
        <w:tab w:val="clear" w:pos="360"/>
      </w:tabs>
    </w:pPr>
    <w:rPr>
      <w:rFonts w:ascii="Times New Roman" w:hAnsi="Times New Roman" w:eastAsia="宋体" w:cs="Times New Roman"/>
      <w:szCs w:val="24"/>
    </w:rPr>
  </w:style>
  <w:style w:type="paragraph" w:styleId="34">
    <w:name w:val="List 2"/>
    <w:basedOn w:val="1"/>
    <w:autoRedefine/>
    <w:qFormat/>
    <w:uiPriority w:val="0"/>
    <w:pPr>
      <w:ind w:left="840" w:hanging="420"/>
    </w:pPr>
    <w:rPr>
      <w:rFonts w:ascii="Times New Roman" w:hAnsi="Times New Roman" w:eastAsia="宋体" w:cs="Times New Roman"/>
      <w:szCs w:val="24"/>
    </w:rPr>
  </w:style>
  <w:style w:type="paragraph" w:styleId="35">
    <w:name w:val="List Continue"/>
    <w:basedOn w:val="1"/>
    <w:autoRedefine/>
    <w:qFormat/>
    <w:uiPriority w:val="0"/>
    <w:pPr>
      <w:spacing w:after="120"/>
      <w:ind w:left="420"/>
    </w:pPr>
    <w:rPr>
      <w:rFonts w:ascii="Times New Roman" w:hAnsi="Times New Roman" w:eastAsia="宋体" w:cs="Times New Roman"/>
      <w:szCs w:val="24"/>
    </w:rPr>
  </w:style>
  <w:style w:type="paragraph" w:styleId="36">
    <w:name w:val="Block Text"/>
    <w:basedOn w:val="1"/>
    <w:autoRedefine/>
    <w:qFormat/>
    <w:uiPriority w:val="0"/>
    <w:pPr>
      <w:spacing w:after="120"/>
      <w:ind w:left="1440" w:right="1440"/>
    </w:pPr>
    <w:rPr>
      <w:rFonts w:ascii="Times New Roman" w:hAnsi="Times New Roman" w:eastAsia="宋体" w:cs="Times New Roman"/>
      <w:szCs w:val="24"/>
    </w:rPr>
  </w:style>
  <w:style w:type="paragraph" w:styleId="37">
    <w:name w:val="List Bullet 2"/>
    <w:basedOn w:val="1"/>
    <w:autoRedefine/>
    <w:qFormat/>
    <w:uiPriority w:val="0"/>
    <w:pPr>
      <w:numPr>
        <w:ilvl w:val="0"/>
        <w:numId w:val="8"/>
      </w:numPr>
      <w:tabs>
        <w:tab w:val="left" w:pos="780"/>
      </w:tabs>
    </w:pPr>
    <w:rPr>
      <w:rFonts w:ascii="Times New Roman" w:hAnsi="Times New Roman" w:eastAsia="宋体" w:cs="Times New Roman"/>
      <w:szCs w:val="24"/>
    </w:rPr>
  </w:style>
  <w:style w:type="paragraph" w:styleId="38">
    <w:name w:val="HTML Address"/>
    <w:basedOn w:val="1"/>
    <w:link w:val="121"/>
    <w:autoRedefine/>
    <w:qFormat/>
    <w:uiPriority w:val="0"/>
    <w:rPr>
      <w:rFonts w:ascii="Times New Roman" w:hAnsi="Times New Roman" w:eastAsia="宋体" w:cs="Times New Roman"/>
      <w:i/>
      <w:iCs/>
      <w:kern w:val="0"/>
      <w:sz w:val="20"/>
      <w:szCs w:val="24"/>
    </w:rPr>
  </w:style>
  <w:style w:type="paragraph" w:styleId="39">
    <w:name w:val="index 4"/>
    <w:basedOn w:val="1"/>
    <w:next w:val="1"/>
    <w:autoRedefine/>
    <w:qFormat/>
    <w:uiPriority w:val="0"/>
    <w:pPr>
      <w:ind w:left="600" w:leftChars="600"/>
    </w:pPr>
    <w:rPr>
      <w:rFonts w:ascii="Times New Roman" w:hAnsi="Times New Roman" w:eastAsia="仿宋_GB2312" w:cs="Times New Roman"/>
      <w:sz w:val="28"/>
      <w:szCs w:val="24"/>
    </w:rPr>
  </w:style>
  <w:style w:type="paragraph" w:styleId="40">
    <w:name w:val="toc 5"/>
    <w:basedOn w:val="1"/>
    <w:next w:val="1"/>
    <w:autoRedefine/>
    <w:qFormat/>
    <w:uiPriority w:val="0"/>
    <w:pPr>
      <w:ind w:left="1680" w:leftChars="800"/>
    </w:pPr>
    <w:rPr>
      <w:rFonts w:ascii="Times New Roman" w:hAnsi="Times New Roman" w:eastAsia="宋体" w:cs="Times New Roman"/>
      <w:sz w:val="28"/>
      <w:szCs w:val="20"/>
    </w:rPr>
  </w:style>
  <w:style w:type="paragraph" w:styleId="41">
    <w:name w:val="toc 3"/>
    <w:basedOn w:val="1"/>
    <w:next w:val="1"/>
    <w:autoRedefine/>
    <w:qFormat/>
    <w:uiPriority w:val="39"/>
    <w:pPr>
      <w:ind w:left="840" w:leftChars="400"/>
    </w:pPr>
    <w:rPr>
      <w:rFonts w:ascii="Times New Roman" w:hAnsi="Times New Roman" w:eastAsia="宋体" w:cs="Times New Roman"/>
      <w:sz w:val="28"/>
      <w:szCs w:val="20"/>
    </w:rPr>
  </w:style>
  <w:style w:type="paragraph" w:styleId="42">
    <w:name w:val="Plain Text"/>
    <w:basedOn w:val="1"/>
    <w:next w:val="43"/>
    <w:link w:val="123"/>
    <w:autoRedefine/>
    <w:qFormat/>
    <w:uiPriority w:val="0"/>
    <w:pPr>
      <w:spacing w:line="360" w:lineRule="auto"/>
    </w:pPr>
    <w:rPr>
      <w:rFonts w:ascii="宋体" w:hAnsi="Courier New" w:eastAsia="宋体" w:cs="Times New Roman"/>
      <w:kern w:val="0"/>
      <w:sz w:val="20"/>
      <w:szCs w:val="20"/>
    </w:rPr>
  </w:style>
  <w:style w:type="paragraph" w:customStyle="1" w:styleId="43">
    <w:name w:val="样式 表内文字 + 段前: 1.2 磅 段后: 0.1 磅"/>
    <w:basedOn w:val="1"/>
    <w:autoRedefine/>
    <w:qFormat/>
    <w:uiPriority w:val="0"/>
    <w:pPr>
      <w:widowControl/>
      <w:spacing w:line="0" w:lineRule="atLeast"/>
      <w:ind w:firstLine="200"/>
      <w:jc w:val="center"/>
    </w:pPr>
    <w:rPr>
      <w:rFonts w:ascii="宋体" w:hAnsi="宋体" w:eastAsia="宋体" w:cs="宋体"/>
      <w:kern w:val="0"/>
      <w:sz w:val="28"/>
      <w:szCs w:val="20"/>
    </w:rPr>
  </w:style>
  <w:style w:type="paragraph" w:styleId="44">
    <w:name w:val="List Bullet 5"/>
    <w:basedOn w:val="1"/>
    <w:autoRedefine/>
    <w:qFormat/>
    <w:uiPriority w:val="0"/>
    <w:pPr>
      <w:numPr>
        <w:ilvl w:val="0"/>
        <w:numId w:val="9"/>
      </w:numPr>
      <w:tabs>
        <w:tab w:val="left" w:pos="2040"/>
        <w:tab w:val="clear" w:pos="900"/>
      </w:tabs>
    </w:pPr>
    <w:rPr>
      <w:rFonts w:ascii="Times New Roman" w:hAnsi="Times New Roman" w:eastAsia="宋体" w:cs="Times New Roman"/>
      <w:szCs w:val="24"/>
    </w:rPr>
  </w:style>
  <w:style w:type="paragraph" w:styleId="45">
    <w:name w:val="List Number 4"/>
    <w:basedOn w:val="1"/>
    <w:autoRedefine/>
    <w:qFormat/>
    <w:uiPriority w:val="0"/>
    <w:pPr>
      <w:numPr>
        <w:ilvl w:val="0"/>
        <w:numId w:val="10"/>
      </w:numPr>
      <w:tabs>
        <w:tab w:val="left" w:pos="1620"/>
        <w:tab w:val="clear" w:pos="360"/>
      </w:tabs>
    </w:pPr>
    <w:rPr>
      <w:rFonts w:ascii="Times New Roman" w:hAnsi="Times New Roman" w:eastAsia="宋体" w:cs="Times New Roman"/>
      <w:szCs w:val="24"/>
    </w:rPr>
  </w:style>
  <w:style w:type="paragraph" w:styleId="46">
    <w:name w:val="toc 8"/>
    <w:basedOn w:val="1"/>
    <w:next w:val="1"/>
    <w:autoRedefine/>
    <w:qFormat/>
    <w:uiPriority w:val="0"/>
    <w:pPr>
      <w:ind w:left="2940" w:leftChars="1400"/>
    </w:pPr>
    <w:rPr>
      <w:rFonts w:ascii="Times New Roman" w:hAnsi="Times New Roman" w:eastAsia="宋体" w:cs="Times New Roman"/>
      <w:sz w:val="28"/>
      <w:szCs w:val="20"/>
    </w:rPr>
  </w:style>
  <w:style w:type="paragraph" w:styleId="47">
    <w:name w:val="index 3"/>
    <w:basedOn w:val="1"/>
    <w:next w:val="1"/>
    <w:autoRedefine/>
    <w:qFormat/>
    <w:uiPriority w:val="0"/>
    <w:pPr>
      <w:ind w:left="400" w:leftChars="400"/>
    </w:pPr>
    <w:rPr>
      <w:rFonts w:ascii="Times New Roman" w:hAnsi="Times New Roman" w:eastAsia="仿宋_GB2312" w:cs="Times New Roman"/>
      <w:sz w:val="28"/>
      <w:szCs w:val="24"/>
    </w:rPr>
  </w:style>
  <w:style w:type="paragraph" w:styleId="48">
    <w:name w:val="Date"/>
    <w:basedOn w:val="1"/>
    <w:next w:val="1"/>
    <w:link w:val="124"/>
    <w:autoRedefine/>
    <w:qFormat/>
    <w:uiPriority w:val="0"/>
    <w:rPr>
      <w:rFonts w:ascii="Times New Roman" w:hAnsi="Times New Roman" w:eastAsia="宋体" w:cs="Times New Roman"/>
      <w:kern w:val="0"/>
      <w:sz w:val="28"/>
      <w:szCs w:val="20"/>
    </w:rPr>
  </w:style>
  <w:style w:type="paragraph" w:styleId="49">
    <w:name w:val="Body Text Indent 2"/>
    <w:basedOn w:val="1"/>
    <w:link w:val="125"/>
    <w:autoRedefine/>
    <w:qFormat/>
    <w:uiPriority w:val="0"/>
    <w:pPr>
      <w:snapToGrid w:val="0"/>
      <w:spacing w:line="560" w:lineRule="atLeast"/>
      <w:ind w:firstLine="540"/>
    </w:pPr>
    <w:rPr>
      <w:rFonts w:ascii="Times New Roman" w:hAnsi="Times New Roman" w:eastAsia="宋体" w:cs="Times New Roman"/>
      <w:kern w:val="0"/>
      <w:sz w:val="28"/>
      <w:szCs w:val="20"/>
    </w:rPr>
  </w:style>
  <w:style w:type="paragraph" w:styleId="50">
    <w:name w:val="List Continue 5"/>
    <w:basedOn w:val="1"/>
    <w:autoRedefine/>
    <w:qFormat/>
    <w:uiPriority w:val="0"/>
    <w:pPr>
      <w:spacing w:after="120"/>
      <w:ind w:left="2100"/>
    </w:pPr>
    <w:rPr>
      <w:rFonts w:ascii="Times New Roman" w:hAnsi="Times New Roman" w:eastAsia="宋体" w:cs="Times New Roman"/>
      <w:szCs w:val="24"/>
    </w:rPr>
  </w:style>
  <w:style w:type="paragraph" w:styleId="51">
    <w:name w:val="Balloon Text"/>
    <w:basedOn w:val="1"/>
    <w:link w:val="126"/>
    <w:autoRedefine/>
    <w:qFormat/>
    <w:uiPriority w:val="0"/>
    <w:rPr>
      <w:rFonts w:ascii="Times New Roman" w:hAnsi="Times New Roman" w:eastAsia="宋体" w:cs="Times New Roman"/>
      <w:kern w:val="0"/>
      <w:sz w:val="18"/>
      <w:szCs w:val="18"/>
    </w:rPr>
  </w:style>
  <w:style w:type="paragraph" w:styleId="52">
    <w:name w:val="footer"/>
    <w:basedOn w:val="1"/>
    <w:link w:val="127"/>
    <w:autoRedefine/>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53">
    <w:name w:val="envelope return"/>
    <w:basedOn w:val="1"/>
    <w:autoRedefine/>
    <w:qFormat/>
    <w:uiPriority w:val="0"/>
    <w:pPr>
      <w:snapToGrid w:val="0"/>
    </w:pPr>
    <w:rPr>
      <w:rFonts w:ascii="Arial" w:hAnsi="Arial" w:eastAsia="宋体" w:cs="Arial"/>
      <w:szCs w:val="24"/>
    </w:rPr>
  </w:style>
  <w:style w:type="paragraph" w:styleId="54">
    <w:name w:val="header"/>
    <w:basedOn w:val="1"/>
    <w:link w:val="128"/>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55">
    <w:name w:val="Signature"/>
    <w:basedOn w:val="1"/>
    <w:link w:val="129"/>
    <w:autoRedefine/>
    <w:qFormat/>
    <w:uiPriority w:val="0"/>
    <w:pPr>
      <w:ind w:left="4320"/>
    </w:pPr>
    <w:rPr>
      <w:rFonts w:ascii="Times New Roman" w:hAnsi="Times New Roman" w:eastAsia="宋体" w:cs="Times New Roman"/>
      <w:kern w:val="0"/>
      <w:sz w:val="20"/>
      <w:szCs w:val="24"/>
    </w:rPr>
  </w:style>
  <w:style w:type="paragraph" w:styleId="56">
    <w:name w:val="toc 1"/>
    <w:basedOn w:val="1"/>
    <w:next w:val="1"/>
    <w:autoRedefine/>
    <w:qFormat/>
    <w:uiPriority w:val="39"/>
    <w:pPr>
      <w:spacing w:line="180" w:lineRule="auto"/>
      <w:jc w:val="center"/>
    </w:pPr>
    <w:rPr>
      <w:rFonts w:ascii="Times New Roman" w:hAnsi="Times New Roman" w:eastAsia="宋体" w:cs="Times New Roman"/>
      <w:sz w:val="30"/>
      <w:szCs w:val="30"/>
    </w:rPr>
  </w:style>
  <w:style w:type="paragraph" w:styleId="57">
    <w:name w:val="List Continue 4"/>
    <w:basedOn w:val="1"/>
    <w:qFormat/>
    <w:uiPriority w:val="0"/>
    <w:pPr>
      <w:spacing w:after="120"/>
      <w:ind w:left="1680"/>
    </w:pPr>
    <w:rPr>
      <w:rFonts w:ascii="Times New Roman" w:hAnsi="Times New Roman" w:eastAsia="宋体" w:cs="Times New Roman"/>
      <w:szCs w:val="24"/>
    </w:rPr>
  </w:style>
  <w:style w:type="paragraph" w:styleId="58">
    <w:name w:val="toc 4"/>
    <w:basedOn w:val="1"/>
    <w:next w:val="1"/>
    <w:qFormat/>
    <w:uiPriority w:val="0"/>
    <w:pPr>
      <w:ind w:left="1260" w:leftChars="600"/>
    </w:pPr>
    <w:rPr>
      <w:rFonts w:ascii="Times New Roman" w:hAnsi="Times New Roman" w:eastAsia="宋体" w:cs="Times New Roman"/>
      <w:sz w:val="28"/>
      <w:szCs w:val="20"/>
    </w:rPr>
  </w:style>
  <w:style w:type="paragraph" w:styleId="59">
    <w:name w:val="index heading"/>
    <w:basedOn w:val="1"/>
    <w:next w:val="60"/>
    <w:qFormat/>
    <w:uiPriority w:val="0"/>
    <w:rPr>
      <w:rFonts w:ascii="Times New Roman" w:hAnsi="Times New Roman" w:eastAsia="仿宋_GB2312" w:cs="Times New Roman"/>
      <w:sz w:val="28"/>
      <w:szCs w:val="24"/>
    </w:rPr>
  </w:style>
  <w:style w:type="paragraph" w:styleId="60">
    <w:name w:val="index 1"/>
    <w:basedOn w:val="1"/>
    <w:next w:val="1"/>
    <w:unhideWhenUsed/>
    <w:qFormat/>
    <w:uiPriority w:val="0"/>
    <w:rPr>
      <w:rFonts w:ascii="Times New Roman" w:hAnsi="Times New Roman" w:eastAsia="宋体" w:cs="Times New Roman"/>
      <w:sz w:val="28"/>
      <w:szCs w:val="20"/>
    </w:rPr>
  </w:style>
  <w:style w:type="paragraph" w:styleId="61">
    <w:name w:val="Subtitle"/>
    <w:basedOn w:val="1"/>
    <w:link w:val="130"/>
    <w:qFormat/>
    <w:uiPriority w:val="0"/>
    <w:pPr>
      <w:spacing w:before="240" w:after="60" w:line="312" w:lineRule="auto"/>
      <w:jc w:val="center"/>
      <w:outlineLvl w:val="1"/>
    </w:pPr>
    <w:rPr>
      <w:rFonts w:ascii="Arial" w:hAnsi="Arial" w:eastAsia="宋体" w:cs="Times New Roman"/>
      <w:b/>
      <w:bCs/>
      <w:kern w:val="28"/>
      <w:sz w:val="32"/>
      <w:szCs w:val="32"/>
    </w:rPr>
  </w:style>
  <w:style w:type="paragraph" w:styleId="62">
    <w:name w:val="List Number 5"/>
    <w:basedOn w:val="1"/>
    <w:qFormat/>
    <w:uiPriority w:val="0"/>
    <w:pPr>
      <w:numPr>
        <w:ilvl w:val="0"/>
        <w:numId w:val="11"/>
      </w:numPr>
      <w:tabs>
        <w:tab w:val="left" w:pos="2040"/>
        <w:tab w:val="clear" w:pos="360"/>
      </w:tabs>
    </w:pPr>
    <w:rPr>
      <w:rFonts w:ascii="Times New Roman" w:hAnsi="Times New Roman" w:eastAsia="宋体" w:cs="Times New Roman"/>
      <w:szCs w:val="24"/>
    </w:rPr>
  </w:style>
  <w:style w:type="paragraph" w:styleId="63">
    <w:name w:val="List"/>
    <w:basedOn w:val="1"/>
    <w:autoRedefine/>
    <w:qFormat/>
    <w:uiPriority w:val="0"/>
    <w:pPr>
      <w:ind w:left="420" w:hanging="420"/>
    </w:pPr>
    <w:rPr>
      <w:rFonts w:ascii="Times New Roman" w:hAnsi="Times New Roman" w:eastAsia="宋体" w:cs="Times New Roman"/>
      <w:szCs w:val="24"/>
    </w:rPr>
  </w:style>
  <w:style w:type="paragraph" w:styleId="64">
    <w:name w:val="toc 6"/>
    <w:basedOn w:val="1"/>
    <w:next w:val="1"/>
    <w:qFormat/>
    <w:uiPriority w:val="0"/>
    <w:pPr>
      <w:ind w:left="2100" w:leftChars="1000"/>
    </w:pPr>
    <w:rPr>
      <w:rFonts w:ascii="Times New Roman" w:hAnsi="Times New Roman" w:eastAsia="宋体" w:cs="Times New Roman"/>
      <w:sz w:val="28"/>
      <w:szCs w:val="20"/>
    </w:rPr>
  </w:style>
  <w:style w:type="paragraph" w:styleId="65">
    <w:name w:val="List 5"/>
    <w:basedOn w:val="1"/>
    <w:qFormat/>
    <w:uiPriority w:val="0"/>
    <w:pPr>
      <w:ind w:left="2100" w:hanging="420"/>
    </w:pPr>
    <w:rPr>
      <w:rFonts w:ascii="Times New Roman" w:hAnsi="Times New Roman" w:eastAsia="宋体" w:cs="Times New Roman"/>
      <w:szCs w:val="24"/>
    </w:rPr>
  </w:style>
  <w:style w:type="paragraph" w:styleId="66">
    <w:name w:val="Body Text Indent 3"/>
    <w:basedOn w:val="1"/>
    <w:link w:val="131"/>
    <w:qFormat/>
    <w:uiPriority w:val="0"/>
    <w:pPr>
      <w:spacing w:after="120"/>
      <w:ind w:left="420"/>
    </w:pPr>
    <w:rPr>
      <w:rFonts w:ascii="Times New Roman" w:hAnsi="Times New Roman" w:eastAsia="宋体" w:cs="Times New Roman"/>
      <w:kern w:val="0"/>
      <w:sz w:val="16"/>
      <w:szCs w:val="16"/>
    </w:rPr>
  </w:style>
  <w:style w:type="paragraph" w:styleId="67">
    <w:name w:val="index 7"/>
    <w:basedOn w:val="1"/>
    <w:next w:val="1"/>
    <w:qFormat/>
    <w:uiPriority w:val="0"/>
    <w:pPr>
      <w:ind w:left="1200" w:leftChars="1200"/>
    </w:pPr>
    <w:rPr>
      <w:rFonts w:ascii="Times New Roman" w:hAnsi="Times New Roman" w:eastAsia="仿宋_GB2312" w:cs="Times New Roman"/>
      <w:sz w:val="28"/>
      <w:szCs w:val="24"/>
    </w:rPr>
  </w:style>
  <w:style w:type="paragraph" w:styleId="68">
    <w:name w:val="index 9"/>
    <w:basedOn w:val="1"/>
    <w:next w:val="1"/>
    <w:qFormat/>
    <w:uiPriority w:val="0"/>
    <w:pPr>
      <w:ind w:left="1600" w:leftChars="1600"/>
    </w:pPr>
    <w:rPr>
      <w:rFonts w:ascii="Times New Roman" w:hAnsi="Times New Roman" w:eastAsia="仿宋_GB2312" w:cs="Times New Roman"/>
      <w:sz w:val="28"/>
      <w:szCs w:val="24"/>
    </w:rPr>
  </w:style>
  <w:style w:type="paragraph" w:styleId="69">
    <w:name w:val="table of figures"/>
    <w:basedOn w:val="1"/>
    <w:next w:val="1"/>
    <w:autoRedefine/>
    <w:qFormat/>
    <w:uiPriority w:val="0"/>
    <w:pPr>
      <w:ind w:left="200" w:leftChars="200" w:hanging="200" w:hangingChars="200"/>
    </w:pPr>
    <w:rPr>
      <w:rFonts w:ascii="Times New Roman" w:hAnsi="Times New Roman" w:eastAsia="宋体" w:cs="Times New Roman"/>
      <w:szCs w:val="24"/>
    </w:rPr>
  </w:style>
  <w:style w:type="paragraph" w:styleId="70">
    <w:name w:val="toc 2"/>
    <w:basedOn w:val="1"/>
    <w:next w:val="1"/>
    <w:autoRedefine/>
    <w:qFormat/>
    <w:uiPriority w:val="39"/>
    <w:pPr>
      <w:tabs>
        <w:tab w:val="right" w:leader="dot" w:pos="9061"/>
      </w:tabs>
      <w:adjustRightInd w:val="0"/>
      <w:snapToGrid w:val="0"/>
      <w:spacing w:line="276" w:lineRule="auto"/>
      <w:jc w:val="center"/>
    </w:pPr>
    <w:rPr>
      <w:rFonts w:ascii="Times New Roman" w:hAnsi="Times New Roman" w:eastAsia="宋体" w:cs="Times New Roman"/>
      <w:sz w:val="28"/>
      <w:szCs w:val="20"/>
    </w:rPr>
  </w:style>
  <w:style w:type="paragraph" w:styleId="71">
    <w:name w:val="toc 9"/>
    <w:basedOn w:val="1"/>
    <w:next w:val="1"/>
    <w:qFormat/>
    <w:uiPriority w:val="0"/>
    <w:pPr>
      <w:ind w:left="3360" w:leftChars="1600"/>
    </w:pPr>
    <w:rPr>
      <w:rFonts w:ascii="Times New Roman" w:hAnsi="Times New Roman" w:eastAsia="宋体" w:cs="Times New Roman"/>
      <w:sz w:val="28"/>
      <w:szCs w:val="20"/>
    </w:rPr>
  </w:style>
  <w:style w:type="paragraph" w:styleId="72">
    <w:name w:val="Body Text 2"/>
    <w:basedOn w:val="1"/>
    <w:link w:val="132"/>
    <w:qFormat/>
    <w:uiPriority w:val="0"/>
    <w:pPr>
      <w:spacing w:after="120" w:line="480" w:lineRule="auto"/>
    </w:pPr>
    <w:rPr>
      <w:rFonts w:ascii="Times New Roman" w:hAnsi="Times New Roman" w:eastAsia="宋体" w:cs="Times New Roman"/>
      <w:kern w:val="0"/>
      <w:sz w:val="28"/>
      <w:szCs w:val="20"/>
    </w:rPr>
  </w:style>
  <w:style w:type="paragraph" w:styleId="73">
    <w:name w:val="List 4"/>
    <w:basedOn w:val="1"/>
    <w:qFormat/>
    <w:uiPriority w:val="0"/>
    <w:pPr>
      <w:ind w:left="1680" w:hanging="420"/>
    </w:pPr>
    <w:rPr>
      <w:rFonts w:ascii="Times New Roman" w:hAnsi="Times New Roman" w:eastAsia="宋体" w:cs="Times New Roman"/>
      <w:szCs w:val="24"/>
    </w:rPr>
  </w:style>
  <w:style w:type="paragraph" w:styleId="74">
    <w:name w:val="List Continue 2"/>
    <w:basedOn w:val="1"/>
    <w:qFormat/>
    <w:uiPriority w:val="0"/>
    <w:pPr>
      <w:spacing w:after="120"/>
      <w:ind w:left="840"/>
    </w:pPr>
    <w:rPr>
      <w:rFonts w:ascii="Times New Roman" w:hAnsi="Times New Roman" w:eastAsia="宋体" w:cs="Times New Roman"/>
      <w:szCs w:val="24"/>
    </w:rPr>
  </w:style>
  <w:style w:type="paragraph" w:styleId="75">
    <w:name w:val="Message Header"/>
    <w:basedOn w:val="1"/>
    <w:link w:val="133"/>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宋体" w:cs="Times New Roman"/>
      <w:kern w:val="0"/>
      <w:sz w:val="24"/>
      <w:szCs w:val="24"/>
    </w:rPr>
  </w:style>
  <w:style w:type="paragraph" w:styleId="76">
    <w:name w:val="HTML Preformatted"/>
    <w:basedOn w:val="1"/>
    <w:link w:val="135"/>
    <w:autoRedefine/>
    <w:qFormat/>
    <w:uiPriority w:val="0"/>
    <w:rPr>
      <w:rFonts w:ascii="Courier New" w:hAnsi="Courier New" w:eastAsia="宋体" w:cs="Times New Roman"/>
      <w:kern w:val="0"/>
      <w:sz w:val="20"/>
      <w:szCs w:val="20"/>
    </w:rPr>
  </w:style>
  <w:style w:type="paragraph" w:styleId="77">
    <w:name w:val="Normal (Web)"/>
    <w:basedOn w:val="1"/>
    <w:autoRedefine/>
    <w:qFormat/>
    <w:uiPriority w:val="0"/>
    <w:rPr>
      <w:rFonts w:ascii="Times New Roman" w:hAnsi="Times New Roman" w:eastAsia="宋体" w:cs="Times New Roman"/>
      <w:sz w:val="24"/>
      <w:szCs w:val="24"/>
    </w:rPr>
  </w:style>
  <w:style w:type="paragraph" w:styleId="78">
    <w:name w:val="List Continue 3"/>
    <w:basedOn w:val="1"/>
    <w:autoRedefine/>
    <w:qFormat/>
    <w:uiPriority w:val="0"/>
    <w:pPr>
      <w:spacing w:after="120"/>
      <w:ind w:left="1260"/>
    </w:pPr>
    <w:rPr>
      <w:rFonts w:ascii="Times New Roman" w:hAnsi="Times New Roman" w:eastAsia="宋体" w:cs="Times New Roman"/>
      <w:szCs w:val="24"/>
    </w:rPr>
  </w:style>
  <w:style w:type="paragraph" w:styleId="79">
    <w:name w:val="index 2"/>
    <w:basedOn w:val="1"/>
    <w:next w:val="1"/>
    <w:autoRedefine/>
    <w:qFormat/>
    <w:uiPriority w:val="0"/>
    <w:pPr>
      <w:ind w:left="200" w:leftChars="200"/>
    </w:pPr>
    <w:rPr>
      <w:rFonts w:ascii="Times New Roman" w:hAnsi="Times New Roman" w:eastAsia="仿宋_GB2312" w:cs="Times New Roman"/>
      <w:sz w:val="28"/>
      <w:szCs w:val="24"/>
    </w:rPr>
  </w:style>
  <w:style w:type="paragraph" w:styleId="80">
    <w:name w:val="Title"/>
    <w:basedOn w:val="1"/>
    <w:link w:val="136"/>
    <w:autoRedefine/>
    <w:qFormat/>
    <w:uiPriority w:val="0"/>
    <w:pPr>
      <w:widowControl/>
      <w:spacing w:before="240" w:after="60" w:line="530" w:lineRule="exact"/>
      <w:ind w:firstLine="567"/>
      <w:jc w:val="center"/>
      <w:outlineLvl w:val="0"/>
    </w:pPr>
    <w:rPr>
      <w:rFonts w:ascii="Arial" w:hAnsi="Arial" w:eastAsia="仿宋_GB2312" w:cs="Times New Roman"/>
      <w:b/>
      <w:kern w:val="0"/>
      <w:sz w:val="32"/>
      <w:szCs w:val="20"/>
    </w:rPr>
  </w:style>
  <w:style w:type="paragraph" w:styleId="81">
    <w:name w:val="annotation subject"/>
    <w:basedOn w:val="25"/>
    <w:next w:val="25"/>
    <w:link w:val="137"/>
    <w:autoRedefine/>
    <w:qFormat/>
    <w:uiPriority w:val="0"/>
    <w:rPr>
      <w:b/>
      <w:bCs/>
    </w:rPr>
  </w:style>
  <w:style w:type="paragraph" w:styleId="82">
    <w:name w:val="Body Text First Indent"/>
    <w:basedOn w:val="31"/>
    <w:link w:val="138"/>
    <w:qFormat/>
    <w:uiPriority w:val="0"/>
    <w:pPr>
      <w:spacing w:after="120"/>
      <w:ind w:firstLine="420"/>
      <w:jc w:val="both"/>
    </w:pPr>
    <w:rPr>
      <w:rFonts w:ascii="Times New Roman"/>
      <w:szCs w:val="24"/>
    </w:rPr>
  </w:style>
  <w:style w:type="paragraph" w:styleId="83">
    <w:name w:val="Body Text First Indent 2"/>
    <w:basedOn w:val="32"/>
    <w:link w:val="139"/>
    <w:autoRedefine/>
    <w:qFormat/>
    <w:uiPriority w:val="0"/>
    <w:pPr>
      <w:spacing w:after="120" w:line="240" w:lineRule="auto"/>
      <w:ind w:left="420" w:firstLine="420"/>
    </w:pPr>
    <w:rPr>
      <w:szCs w:val="24"/>
    </w:rPr>
  </w:style>
  <w:style w:type="table" w:styleId="85">
    <w:name w:val="Table Grid"/>
    <w:basedOn w:val="8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7">
    <w:name w:val="Strong"/>
    <w:autoRedefine/>
    <w:qFormat/>
    <w:uiPriority w:val="0"/>
    <w:rPr>
      <w:b/>
      <w:bCs/>
    </w:rPr>
  </w:style>
  <w:style w:type="character" w:styleId="88">
    <w:name w:val="page number"/>
    <w:basedOn w:val="86"/>
    <w:qFormat/>
    <w:uiPriority w:val="0"/>
  </w:style>
  <w:style w:type="character" w:styleId="89">
    <w:name w:val="FollowedHyperlink"/>
    <w:unhideWhenUsed/>
    <w:qFormat/>
    <w:uiPriority w:val="99"/>
    <w:rPr>
      <w:color w:val="954F72"/>
      <w:u w:val="single"/>
    </w:rPr>
  </w:style>
  <w:style w:type="character" w:styleId="90">
    <w:name w:val="Emphasis"/>
    <w:autoRedefine/>
    <w:qFormat/>
    <w:uiPriority w:val="0"/>
    <w:rPr>
      <w:rFonts w:ascii="Arial Black" w:hAnsi="Arial Black" w:eastAsia="黑体"/>
      <w:b/>
      <w:spacing w:val="0"/>
      <w:sz w:val="21"/>
      <w:lang w:eastAsia="zh-CN"/>
    </w:rPr>
  </w:style>
  <w:style w:type="character" w:styleId="91">
    <w:name w:val="line number"/>
    <w:basedOn w:val="86"/>
    <w:qFormat/>
    <w:uiPriority w:val="0"/>
  </w:style>
  <w:style w:type="character" w:styleId="92">
    <w:name w:val="HTML Definition"/>
    <w:qFormat/>
    <w:uiPriority w:val="0"/>
    <w:rPr>
      <w:i/>
      <w:iCs/>
    </w:rPr>
  </w:style>
  <w:style w:type="character" w:styleId="93">
    <w:name w:val="HTML Typewriter"/>
    <w:qFormat/>
    <w:uiPriority w:val="0"/>
    <w:rPr>
      <w:rFonts w:ascii="Courier New" w:hAnsi="Courier New" w:cs="Courier New"/>
      <w:sz w:val="20"/>
      <w:szCs w:val="20"/>
    </w:rPr>
  </w:style>
  <w:style w:type="character" w:styleId="94">
    <w:name w:val="HTML Acronym"/>
    <w:basedOn w:val="86"/>
    <w:qFormat/>
    <w:uiPriority w:val="0"/>
  </w:style>
  <w:style w:type="character" w:styleId="95">
    <w:name w:val="HTML Variable"/>
    <w:qFormat/>
    <w:uiPriority w:val="0"/>
    <w:rPr>
      <w:i/>
      <w:iCs/>
    </w:rPr>
  </w:style>
  <w:style w:type="character" w:styleId="96">
    <w:name w:val="Hyperlink"/>
    <w:qFormat/>
    <w:uiPriority w:val="99"/>
    <w:rPr>
      <w:color w:val="0000FF"/>
      <w:u w:val="single"/>
    </w:rPr>
  </w:style>
  <w:style w:type="character" w:styleId="97">
    <w:name w:val="HTML Code"/>
    <w:autoRedefine/>
    <w:qFormat/>
    <w:uiPriority w:val="0"/>
    <w:rPr>
      <w:rFonts w:ascii="Courier New" w:hAnsi="Courier New" w:cs="Courier New"/>
      <w:sz w:val="20"/>
      <w:szCs w:val="20"/>
    </w:rPr>
  </w:style>
  <w:style w:type="character" w:styleId="98">
    <w:name w:val="annotation reference"/>
    <w:qFormat/>
    <w:uiPriority w:val="99"/>
    <w:rPr>
      <w:sz w:val="21"/>
      <w:szCs w:val="21"/>
    </w:rPr>
  </w:style>
  <w:style w:type="character" w:styleId="99">
    <w:name w:val="HTML Cite"/>
    <w:qFormat/>
    <w:uiPriority w:val="0"/>
    <w:rPr>
      <w:i/>
      <w:iCs/>
    </w:rPr>
  </w:style>
  <w:style w:type="character" w:styleId="100">
    <w:name w:val="HTML Keyboard"/>
    <w:qFormat/>
    <w:uiPriority w:val="0"/>
    <w:rPr>
      <w:rFonts w:ascii="Courier New" w:hAnsi="Courier New" w:cs="Courier New"/>
      <w:sz w:val="20"/>
      <w:szCs w:val="20"/>
    </w:rPr>
  </w:style>
  <w:style w:type="character" w:styleId="101">
    <w:name w:val="HTML Sample"/>
    <w:qFormat/>
    <w:uiPriority w:val="0"/>
    <w:rPr>
      <w:rFonts w:ascii="Courier New" w:hAnsi="Courier New" w:cs="Courier New"/>
    </w:rPr>
  </w:style>
  <w:style w:type="character" w:customStyle="1" w:styleId="102">
    <w:name w:val="标题 1 字符"/>
    <w:basedOn w:val="86"/>
    <w:link w:val="3"/>
    <w:qFormat/>
    <w:uiPriority w:val="0"/>
    <w:rPr>
      <w:rFonts w:ascii="宋体" w:hAnsi="Times New Roman" w:eastAsia="宋体" w:cs="Times New Roman"/>
      <w:kern w:val="0"/>
      <w:sz w:val="28"/>
      <w:szCs w:val="20"/>
    </w:rPr>
  </w:style>
  <w:style w:type="character" w:customStyle="1" w:styleId="103">
    <w:name w:val="标题 2 字符"/>
    <w:basedOn w:val="86"/>
    <w:link w:val="2"/>
    <w:qFormat/>
    <w:uiPriority w:val="0"/>
    <w:rPr>
      <w:rFonts w:asciiTheme="majorHAnsi" w:hAnsiTheme="majorHAnsi" w:eastAsiaTheme="majorEastAsia" w:cstheme="majorBidi"/>
      <w:b/>
      <w:bCs/>
      <w:sz w:val="32"/>
      <w:szCs w:val="32"/>
    </w:rPr>
  </w:style>
  <w:style w:type="character" w:customStyle="1" w:styleId="104">
    <w:name w:val="标题 3 字符"/>
    <w:basedOn w:val="86"/>
    <w:link w:val="4"/>
    <w:qFormat/>
    <w:uiPriority w:val="0"/>
    <w:rPr>
      <w:rFonts w:ascii="Times New Roman" w:hAnsi="Times New Roman" w:eastAsia="宋体" w:cs="Times New Roman"/>
      <w:b/>
      <w:bCs/>
      <w:kern w:val="0"/>
      <w:sz w:val="32"/>
      <w:szCs w:val="32"/>
    </w:rPr>
  </w:style>
  <w:style w:type="character" w:customStyle="1" w:styleId="105">
    <w:name w:val="标题 4 字符"/>
    <w:basedOn w:val="86"/>
    <w:link w:val="5"/>
    <w:qFormat/>
    <w:uiPriority w:val="0"/>
    <w:rPr>
      <w:rFonts w:ascii="Arial" w:hAnsi="Arial" w:eastAsia="黑体" w:cs="Times New Roman"/>
      <w:b/>
      <w:bCs/>
      <w:kern w:val="0"/>
      <w:sz w:val="28"/>
      <w:szCs w:val="28"/>
    </w:rPr>
  </w:style>
  <w:style w:type="character" w:customStyle="1" w:styleId="106">
    <w:name w:val="标题 5 字符"/>
    <w:basedOn w:val="86"/>
    <w:link w:val="6"/>
    <w:qFormat/>
    <w:uiPriority w:val="0"/>
    <w:rPr>
      <w:rFonts w:ascii="Times New Roman" w:hAnsi="Times New Roman" w:eastAsia="宋体" w:cs="Times New Roman"/>
      <w:bCs/>
      <w:kern w:val="0"/>
      <w:sz w:val="20"/>
      <w:szCs w:val="21"/>
    </w:rPr>
  </w:style>
  <w:style w:type="character" w:customStyle="1" w:styleId="107">
    <w:name w:val="标题 6 字符"/>
    <w:basedOn w:val="86"/>
    <w:link w:val="7"/>
    <w:qFormat/>
    <w:uiPriority w:val="0"/>
    <w:rPr>
      <w:rFonts w:ascii="Arial" w:hAnsi="Arial" w:eastAsia="黑体" w:cs="Times New Roman"/>
      <w:b/>
      <w:bCs/>
      <w:kern w:val="0"/>
      <w:sz w:val="24"/>
      <w:szCs w:val="24"/>
    </w:rPr>
  </w:style>
  <w:style w:type="character" w:customStyle="1" w:styleId="108">
    <w:name w:val="标题 7 字符"/>
    <w:basedOn w:val="86"/>
    <w:link w:val="8"/>
    <w:qFormat/>
    <w:uiPriority w:val="0"/>
    <w:rPr>
      <w:rFonts w:ascii="Times New Roman" w:hAnsi="Times New Roman" w:eastAsia="宋体" w:cs="Times New Roman"/>
      <w:b/>
      <w:bCs/>
      <w:kern w:val="0"/>
      <w:sz w:val="24"/>
      <w:szCs w:val="24"/>
    </w:rPr>
  </w:style>
  <w:style w:type="character" w:customStyle="1" w:styleId="109">
    <w:name w:val="标题 8 字符"/>
    <w:basedOn w:val="86"/>
    <w:link w:val="9"/>
    <w:qFormat/>
    <w:uiPriority w:val="0"/>
    <w:rPr>
      <w:rFonts w:ascii="Arial" w:hAnsi="Arial" w:eastAsia="黑体" w:cs="Times New Roman"/>
      <w:kern w:val="0"/>
      <w:sz w:val="24"/>
      <w:szCs w:val="24"/>
    </w:rPr>
  </w:style>
  <w:style w:type="character" w:customStyle="1" w:styleId="110">
    <w:name w:val="标题 9 字符"/>
    <w:basedOn w:val="86"/>
    <w:link w:val="10"/>
    <w:qFormat/>
    <w:uiPriority w:val="0"/>
    <w:rPr>
      <w:rFonts w:ascii="Arial" w:hAnsi="Arial" w:eastAsia="黑体" w:cs="Times New Roman"/>
      <w:kern w:val="0"/>
      <w:sz w:val="20"/>
      <w:szCs w:val="21"/>
    </w:rPr>
  </w:style>
  <w:style w:type="character" w:customStyle="1" w:styleId="111">
    <w:name w:val="注释标题 字符"/>
    <w:basedOn w:val="86"/>
    <w:link w:val="14"/>
    <w:qFormat/>
    <w:uiPriority w:val="0"/>
    <w:rPr>
      <w:rFonts w:ascii="Times New Roman" w:hAnsi="Times New Roman" w:eastAsia="宋体" w:cs="Times New Roman"/>
      <w:kern w:val="0"/>
      <w:sz w:val="20"/>
      <w:szCs w:val="24"/>
    </w:rPr>
  </w:style>
  <w:style w:type="character" w:customStyle="1" w:styleId="112">
    <w:name w:val="电子邮件签名 字符"/>
    <w:basedOn w:val="86"/>
    <w:link w:val="17"/>
    <w:qFormat/>
    <w:uiPriority w:val="0"/>
    <w:rPr>
      <w:rFonts w:ascii="Times New Roman" w:hAnsi="Times New Roman" w:eastAsia="宋体" w:cs="Times New Roman"/>
      <w:kern w:val="0"/>
      <w:sz w:val="20"/>
      <w:szCs w:val="24"/>
    </w:rPr>
  </w:style>
  <w:style w:type="character" w:customStyle="1" w:styleId="113">
    <w:name w:val="正文缩进 字符"/>
    <w:link w:val="19"/>
    <w:qFormat/>
    <w:uiPriority w:val="0"/>
    <w:rPr>
      <w:rFonts w:ascii="Times New Roman" w:hAnsi="Times New Roman" w:eastAsia="宋体" w:cs="Times New Roman"/>
      <w:kern w:val="0"/>
      <w:sz w:val="24"/>
      <w:szCs w:val="20"/>
    </w:rPr>
  </w:style>
  <w:style w:type="character" w:customStyle="1" w:styleId="114">
    <w:name w:val="文档结构图 字符"/>
    <w:basedOn w:val="86"/>
    <w:link w:val="24"/>
    <w:qFormat/>
    <w:uiPriority w:val="0"/>
    <w:rPr>
      <w:rFonts w:ascii="Times New Roman" w:hAnsi="Times New Roman" w:eastAsia="宋体" w:cs="Times New Roman"/>
      <w:kern w:val="0"/>
      <w:sz w:val="28"/>
      <w:szCs w:val="20"/>
      <w:shd w:val="clear" w:color="auto" w:fill="000080"/>
    </w:rPr>
  </w:style>
  <w:style w:type="character" w:customStyle="1" w:styleId="115">
    <w:name w:val="批注文字 字符"/>
    <w:basedOn w:val="86"/>
    <w:link w:val="25"/>
    <w:autoRedefine/>
    <w:qFormat/>
    <w:uiPriority w:val="99"/>
    <w:rPr>
      <w:rFonts w:ascii="Times New Roman" w:hAnsi="Times New Roman" w:eastAsia="宋体" w:cs="Times New Roman"/>
      <w:kern w:val="0"/>
      <w:sz w:val="20"/>
      <w:szCs w:val="24"/>
    </w:rPr>
  </w:style>
  <w:style w:type="character" w:customStyle="1" w:styleId="116">
    <w:name w:val="称呼 字符"/>
    <w:basedOn w:val="86"/>
    <w:link w:val="27"/>
    <w:qFormat/>
    <w:uiPriority w:val="0"/>
    <w:rPr>
      <w:rFonts w:ascii="Times New Roman" w:hAnsi="Times New Roman" w:eastAsia="宋体" w:cs="Times New Roman"/>
      <w:kern w:val="0"/>
      <w:sz w:val="20"/>
      <w:szCs w:val="24"/>
    </w:rPr>
  </w:style>
  <w:style w:type="character" w:customStyle="1" w:styleId="117">
    <w:name w:val="正文文本 3 字符"/>
    <w:basedOn w:val="86"/>
    <w:link w:val="28"/>
    <w:qFormat/>
    <w:uiPriority w:val="0"/>
    <w:rPr>
      <w:rFonts w:ascii="Times New Roman" w:hAnsi="Times New Roman" w:eastAsia="宋体" w:cs="Times New Roman"/>
      <w:kern w:val="0"/>
      <w:sz w:val="16"/>
      <w:szCs w:val="16"/>
    </w:rPr>
  </w:style>
  <w:style w:type="character" w:customStyle="1" w:styleId="118">
    <w:name w:val="结束语 字符"/>
    <w:basedOn w:val="86"/>
    <w:link w:val="29"/>
    <w:qFormat/>
    <w:uiPriority w:val="0"/>
    <w:rPr>
      <w:rFonts w:ascii="Times New Roman" w:hAnsi="Times New Roman" w:eastAsia="宋体" w:cs="Times New Roman"/>
      <w:kern w:val="0"/>
      <w:sz w:val="20"/>
      <w:szCs w:val="24"/>
    </w:rPr>
  </w:style>
  <w:style w:type="character" w:customStyle="1" w:styleId="119">
    <w:name w:val="正文文本 字符"/>
    <w:basedOn w:val="86"/>
    <w:link w:val="31"/>
    <w:qFormat/>
    <w:uiPriority w:val="0"/>
    <w:rPr>
      <w:rFonts w:ascii="宋体" w:hAnsi="Times New Roman" w:eastAsia="宋体" w:cs="Times New Roman"/>
      <w:kern w:val="0"/>
      <w:sz w:val="28"/>
      <w:szCs w:val="20"/>
    </w:rPr>
  </w:style>
  <w:style w:type="character" w:customStyle="1" w:styleId="120">
    <w:name w:val="正文文本缩进 字符"/>
    <w:basedOn w:val="86"/>
    <w:link w:val="32"/>
    <w:qFormat/>
    <w:uiPriority w:val="0"/>
    <w:rPr>
      <w:rFonts w:ascii="Times New Roman" w:hAnsi="Times New Roman" w:eastAsia="宋体" w:cs="Times New Roman"/>
      <w:kern w:val="0"/>
      <w:sz w:val="44"/>
      <w:szCs w:val="20"/>
    </w:rPr>
  </w:style>
  <w:style w:type="character" w:customStyle="1" w:styleId="121">
    <w:name w:val="HTML 地址 字符"/>
    <w:basedOn w:val="86"/>
    <w:link w:val="38"/>
    <w:qFormat/>
    <w:uiPriority w:val="0"/>
    <w:rPr>
      <w:rFonts w:ascii="Times New Roman" w:hAnsi="Times New Roman" w:eastAsia="宋体" w:cs="Times New Roman"/>
      <w:i/>
      <w:iCs/>
      <w:kern w:val="0"/>
      <w:sz w:val="20"/>
      <w:szCs w:val="24"/>
    </w:rPr>
  </w:style>
  <w:style w:type="character" w:customStyle="1" w:styleId="122">
    <w:name w:val="纯文本 字符"/>
    <w:basedOn w:val="86"/>
    <w:semiHidden/>
    <w:qFormat/>
    <w:uiPriority w:val="0"/>
    <w:rPr>
      <w:rFonts w:hAnsi="Courier New" w:cs="Courier New" w:asciiTheme="minorEastAsia"/>
    </w:rPr>
  </w:style>
  <w:style w:type="character" w:customStyle="1" w:styleId="123">
    <w:name w:val="纯文本 字符1"/>
    <w:link w:val="42"/>
    <w:qFormat/>
    <w:uiPriority w:val="0"/>
    <w:rPr>
      <w:rFonts w:ascii="宋体" w:hAnsi="Courier New" w:eastAsia="宋体" w:cs="Times New Roman"/>
      <w:kern w:val="0"/>
      <w:sz w:val="20"/>
      <w:szCs w:val="20"/>
    </w:rPr>
  </w:style>
  <w:style w:type="character" w:customStyle="1" w:styleId="124">
    <w:name w:val="日期 字符"/>
    <w:basedOn w:val="86"/>
    <w:link w:val="48"/>
    <w:qFormat/>
    <w:uiPriority w:val="0"/>
    <w:rPr>
      <w:rFonts w:ascii="Times New Roman" w:hAnsi="Times New Roman" w:eastAsia="宋体" w:cs="Times New Roman"/>
      <w:kern w:val="0"/>
      <w:sz w:val="28"/>
      <w:szCs w:val="20"/>
    </w:rPr>
  </w:style>
  <w:style w:type="character" w:customStyle="1" w:styleId="125">
    <w:name w:val="正文文本缩进 2 字符"/>
    <w:basedOn w:val="86"/>
    <w:link w:val="49"/>
    <w:qFormat/>
    <w:uiPriority w:val="0"/>
    <w:rPr>
      <w:rFonts w:ascii="Times New Roman" w:hAnsi="Times New Roman" w:eastAsia="宋体" w:cs="Times New Roman"/>
      <w:kern w:val="0"/>
      <w:sz w:val="28"/>
      <w:szCs w:val="20"/>
    </w:rPr>
  </w:style>
  <w:style w:type="character" w:customStyle="1" w:styleId="126">
    <w:name w:val="批注框文本 字符"/>
    <w:basedOn w:val="86"/>
    <w:link w:val="51"/>
    <w:autoRedefine/>
    <w:qFormat/>
    <w:uiPriority w:val="0"/>
    <w:rPr>
      <w:rFonts w:ascii="Times New Roman" w:hAnsi="Times New Roman" w:eastAsia="宋体" w:cs="Times New Roman"/>
      <w:kern w:val="0"/>
      <w:sz w:val="18"/>
      <w:szCs w:val="18"/>
    </w:rPr>
  </w:style>
  <w:style w:type="character" w:customStyle="1" w:styleId="127">
    <w:name w:val="页脚 字符"/>
    <w:basedOn w:val="86"/>
    <w:link w:val="52"/>
    <w:autoRedefine/>
    <w:qFormat/>
    <w:uiPriority w:val="99"/>
    <w:rPr>
      <w:rFonts w:ascii="Times New Roman" w:hAnsi="Times New Roman" w:eastAsia="宋体" w:cs="Times New Roman"/>
      <w:kern w:val="0"/>
      <w:sz w:val="18"/>
      <w:szCs w:val="20"/>
    </w:rPr>
  </w:style>
  <w:style w:type="character" w:customStyle="1" w:styleId="128">
    <w:name w:val="页眉 字符"/>
    <w:basedOn w:val="86"/>
    <w:link w:val="54"/>
    <w:autoRedefine/>
    <w:qFormat/>
    <w:uiPriority w:val="99"/>
    <w:rPr>
      <w:rFonts w:ascii="Times New Roman" w:hAnsi="Times New Roman" w:eastAsia="宋体" w:cs="Times New Roman"/>
      <w:kern w:val="0"/>
      <w:sz w:val="18"/>
      <w:szCs w:val="20"/>
    </w:rPr>
  </w:style>
  <w:style w:type="character" w:customStyle="1" w:styleId="129">
    <w:name w:val="签名 字符"/>
    <w:basedOn w:val="86"/>
    <w:link w:val="55"/>
    <w:autoRedefine/>
    <w:qFormat/>
    <w:uiPriority w:val="0"/>
    <w:rPr>
      <w:rFonts w:ascii="Times New Roman" w:hAnsi="Times New Roman" w:eastAsia="宋体" w:cs="Times New Roman"/>
      <w:kern w:val="0"/>
      <w:sz w:val="20"/>
      <w:szCs w:val="24"/>
    </w:rPr>
  </w:style>
  <w:style w:type="character" w:customStyle="1" w:styleId="130">
    <w:name w:val="副标题 字符"/>
    <w:basedOn w:val="86"/>
    <w:link w:val="61"/>
    <w:qFormat/>
    <w:uiPriority w:val="0"/>
    <w:rPr>
      <w:rFonts w:ascii="Arial" w:hAnsi="Arial" w:eastAsia="宋体" w:cs="Times New Roman"/>
      <w:b/>
      <w:bCs/>
      <w:kern w:val="28"/>
      <w:sz w:val="32"/>
      <w:szCs w:val="32"/>
    </w:rPr>
  </w:style>
  <w:style w:type="character" w:customStyle="1" w:styleId="131">
    <w:name w:val="正文文本缩进 3 字符"/>
    <w:basedOn w:val="86"/>
    <w:link w:val="66"/>
    <w:qFormat/>
    <w:uiPriority w:val="0"/>
    <w:rPr>
      <w:rFonts w:ascii="Times New Roman" w:hAnsi="Times New Roman" w:eastAsia="宋体" w:cs="Times New Roman"/>
      <w:kern w:val="0"/>
      <w:sz w:val="16"/>
      <w:szCs w:val="16"/>
    </w:rPr>
  </w:style>
  <w:style w:type="character" w:customStyle="1" w:styleId="132">
    <w:name w:val="正文文本 2 字符"/>
    <w:basedOn w:val="86"/>
    <w:link w:val="72"/>
    <w:qFormat/>
    <w:uiPriority w:val="0"/>
    <w:rPr>
      <w:rFonts w:ascii="Times New Roman" w:hAnsi="Times New Roman" w:eastAsia="宋体" w:cs="Times New Roman"/>
      <w:kern w:val="0"/>
      <w:sz w:val="28"/>
      <w:szCs w:val="20"/>
    </w:rPr>
  </w:style>
  <w:style w:type="character" w:customStyle="1" w:styleId="133">
    <w:name w:val="信息标题 字符"/>
    <w:basedOn w:val="86"/>
    <w:link w:val="75"/>
    <w:qFormat/>
    <w:uiPriority w:val="0"/>
    <w:rPr>
      <w:rFonts w:ascii="Arial" w:hAnsi="Arial" w:eastAsia="宋体" w:cs="Times New Roman"/>
      <w:kern w:val="0"/>
      <w:sz w:val="24"/>
      <w:szCs w:val="24"/>
      <w:shd w:val="pct20" w:color="auto" w:fill="auto"/>
    </w:rPr>
  </w:style>
  <w:style w:type="character" w:customStyle="1" w:styleId="134">
    <w:name w:val="HTML 预设格式 字符"/>
    <w:basedOn w:val="86"/>
    <w:qFormat/>
    <w:uiPriority w:val="99"/>
    <w:rPr>
      <w:rFonts w:ascii="Courier New" w:hAnsi="Courier New" w:cs="Courier New"/>
      <w:sz w:val="20"/>
      <w:szCs w:val="20"/>
    </w:rPr>
  </w:style>
  <w:style w:type="character" w:customStyle="1" w:styleId="135">
    <w:name w:val="HTML 预设格式 字符1"/>
    <w:link w:val="76"/>
    <w:autoRedefine/>
    <w:qFormat/>
    <w:uiPriority w:val="0"/>
    <w:rPr>
      <w:rFonts w:ascii="Courier New" w:hAnsi="Courier New" w:eastAsia="宋体" w:cs="Times New Roman"/>
      <w:kern w:val="0"/>
      <w:sz w:val="20"/>
      <w:szCs w:val="20"/>
    </w:rPr>
  </w:style>
  <w:style w:type="character" w:customStyle="1" w:styleId="136">
    <w:name w:val="标题 字符"/>
    <w:basedOn w:val="86"/>
    <w:link w:val="80"/>
    <w:autoRedefine/>
    <w:qFormat/>
    <w:uiPriority w:val="0"/>
    <w:rPr>
      <w:rFonts w:ascii="Arial" w:hAnsi="Arial" w:eastAsia="仿宋_GB2312" w:cs="Times New Roman"/>
      <w:b/>
      <w:kern w:val="0"/>
      <w:sz w:val="32"/>
      <w:szCs w:val="20"/>
    </w:rPr>
  </w:style>
  <w:style w:type="character" w:customStyle="1" w:styleId="137">
    <w:name w:val="批注主题 字符"/>
    <w:basedOn w:val="115"/>
    <w:link w:val="81"/>
    <w:qFormat/>
    <w:uiPriority w:val="0"/>
    <w:rPr>
      <w:rFonts w:ascii="Times New Roman" w:hAnsi="Times New Roman" w:eastAsia="宋体" w:cs="Times New Roman"/>
      <w:b/>
      <w:bCs/>
      <w:kern w:val="0"/>
      <w:sz w:val="20"/>
      <w:szCs w:val="24"/>
    </w:rPr>
  </w:style>
  <w:style w:type="character" w:customStyle="1" w:styleId="138">
    <w:name w:val="正文文本首行缩进 字符"/>
    <w:basedOn w:val="119"/>
    <w:link w:val="82"/>
    <w:qFormat/>
    <w:uiPriority w:val="0"/>
    <w:rPr>
      <w:rFonts w:ascii="Times New Roman" w:hAnsi="Times New Roman" w:eastAsia="宋体" w:cs="Times New Roman"/>
      <w:kern w:val="0"/>
      <w:sz w:val="28"/>
      <w:szCs w:val="24"/>
    </w:rPr>
  </w:style>
  <w:style w:type="character" w:customStyle="1" w:styleId="139">
    <w:name w:val="正文文本首行缩进 2 字符"/>
    <w:basedOn w:val="120"/>
    <w:link w:val="83"/>
    <w:qFormat/>
    <w:uiPriority w:val="0"/>
    <w:rPr>
      <w:rFonts w:ascii="Times New Roman" w:hAnsi="Times New Roman" w:eastAsia="宋体" w:cs="Times New Roman"/>
      <w:kern w:val="0"/>
      <w:sz w:val="44"/>
      <w:szCs w:val="24"/>
    </w:rPr>
  </w:style>
  <w:style w:type="character" w:customStyle="1" w:styleId="140">
    <w:name w:val="一级条标题 Char"/>
    <w:link w:val="141"/>
    <w:qFormat/>
    <w:uiPriority w:val="0"/>
    <w:rPr>
      <w:rFonts w:ascii="黑体" w:eastAsia="黑体"/>
    </w:rPr>
  </w:style>
  <w:style w:type="paragraph" w:customStyle="1" w:styleId="141">
    <w:name w:val="一级条标题"/>
    <w:basedOn w:val="142"/>
    <w:next w:val="4"/>
    <w:link w:val="140"/>
    <w:qFormat/>
    <w:uiPriority w:val="0"/>
    <w:pPr>
      <w:spacing w:beforeLines="0" w:afterLines="0"/>
      <w:outlineLvl w:val="2"/>
    </w:pPr>
    <w:rPr>
      <w:rFonts w:hAnsiTheme="minorHAnsi" w:cstheme="minorBidi"/>
    </w:rPr>
  </w:style>
  <w:style w:type="paragraph" w:customStyle="1" w:styleId="142">
    <w:name w:val="章标题"/>
    <w:next w:val="4"/>
    <w:link w:val="143"/>
    <w:qFormat/>
    <w:uiPriority w:val="0"/>
    <w:pPr>
      <w:spacing w:beforeLines="50" w:afterLines="50"/>
      <w:jc w:val="both"/>
      <w:outlineLvl w:val="1"/>
    </w:pPr>
    <w:rPr>
      <w:rFonts w:ascii="黑体" w:hAnsi="Times New Roman" w:eastAsia="黑体" w:cs="Times New Roman"/>
      <w:kern w:val="2"/>
      <w:sz w:val="21"/>
      <w:szCs w:val="22"/>
      <w:lang w:val="en-US" w:eastAsia="zh-CN" w:bidi="ar-SA"/>
    </w:rPr>
  </w:style>
  <w:style w:type="character" w:customStyle="1" w:styleId="143">
    <w:name w:val="章标题 Char"/>
    <w:link w:val="142"/>
    <w:qFormat/>
    <w:uiPriority w:val="0"/>
    <w:rPr>
      <w:rFonts w:ascii="黑体" w:hAnsi="Times New Roman" w:eastAsia="黑体" w:cs="Times New Roman"/>
    </w:rPr>
  </w:style>
  <w:style w:type="character" w:customStyle="1" w:styleId="144">
    <w:name w:val="正文1 Char"/>
    <w:link w:val="145"/>
    <w:qFormat/>
    <w:uiPriority w:val="0"/>
    <w:rPr>
      <w:rFonts w:cs="宋体"/>
      <w:sz w:val="24"/>
      <w:szCs w:val="24"/>
    </w:rPr>
  </w:style>
  <w:style w:type="paragraph" w:customStyle="1" w:styleId="145">
    <w:name w:val="正文1"/>
    <w:basedOn w:val="1"/>
    <w:link w:val="144"/>
    <w:qFormat/>
    <w:uiPriority w:val="0"/>
    <w:pPr>
      <w:widowControl/>
      <w:adjustRightInd w:val="0"/>
      <w:ind w:left="597" w:leftChars="186" w:hanging="2" w:hangingChars="1"/>
      <w:jc w:val="left"/>
    </w:pPr>
    <w:rPr>
      <w:rFonts w:cs="宋体"/>
      <w:sz w:val="24"/>
      <w:szCs w:val="24"/>
    </w:rPr>
  </w:style>
  <w:style w:type="character" w:customStyle="1" w:styleId="146">
    <w:name w:val="表内居两端对齐 Char"/>
    <w:link w:val="147"/>
    <w:qFormat/>
    <w:uiPriority w:val="0"/>
    <w:rPr>
      <w:rFonts w:cs="宋体"/>
      <w:sz w:val="18"/>
      <w:szCs w:val="18"/>
    </w:rPr>
  </w:style>
  <w:style w:type="paragraph" w:customStyle="1" w:styleId="147">
    <w:name w:val="表内居两端对齐"/>
    <w:basedOn w:val="148"/>
    <w:link w:val="146"/>
    <w:qFormat/>
    <w:uiPriority w:val="0"/>
    <w:pPr>
      <w:jc w:val="both"/>
    </w:pPr>
    <w:rPr>
      <w:rFonts w:cs="宋体" w:asciiTheme="minorHAnsi" w:hAnsiTheme="minorHAnsi" w:eastAsiaTheme="minorEastAsia"/>
      <w:kern w:val="2"/>
    </w:rPr>
  </w:style>
  <w:style w:type="paragraph" w:customStyle="1" w:styleId="148">
    <w:name w:val="表内居中小五"/>
    <w:basedOn w:val="1"/>
    <w:link w:val="149"/>
    <w:autoRedefine/>
    <w:qFormat/>
    <w:uiPriority w:val="0"/>
    <w:pPr>
      <w:jc w:val="center"/>
    </w:pPr>
    <w:rPr>
      <w:rFonts w:ascii="Times New Roman" w:hAnsi="Times New Roman" w:eastAsia="宋体" w:cs="Times New Roman"/>
      <w:kern w:val="0"/>
      <w:sz w:val="18"/>
      <w:szCs w:val="18"/>
    </w:rPr>
  </w:style>
  <w:style w:type="character" w:customStyle="1" w:styleId="149">
    <w:name w:val="表内居中小五 Char"/>
    <w:link w:val="148"/>
    <w:qFormat/>
    <w:uiPriority w:val="0"/>
    <w:rPr>
      <w:rFonts w:ascii="Times New Roman" w:hAnsi="Times New Roman" w:eastAsia="宋体" w:cs="Times New Roman"/>
      <w:kern w:val="0"/>
      <w:sz w:val="18"/>
      <w:szCs w:val="18"/>
    </w:rPr>
  </w:style>
  <w:style w:type="character" w:customStyle="1" w:styleId="150">
    <w:name w:val="标准正文{858D7CFB-ED40-4347-BF05-701D383B685F}"/>
    <w:link w:val="151"/>
    <w:qFormat/>
    <w:uiPriority w:val="0"/>
    <w:rPr>
      <w:rFonts w:ascii="宋体"/>
      <w:sz w:val="24"/>
    </w:rPr>
  </w:style>
  <w:style w:type="paragraph" w:customStyle="1" w:styleId="151">
    <w:name w:val="标准正文"/>
    <w:basedOn w:val="1"/>
    <w:link w:val="150"/>
    <w:autoRedefine/>
    <w:qFormat/>
    <w:uiPriority w:val="0"/>
    <w:pPr>
      <w:adjustRightInd w:val="0"/>
      <w:spacing w:line="360" w:lineRule="atLeast"/>
      <w:ind w:firstLine="454"/>
      <w:jc w:val="left"/>
      <w:textAlignment w:val="baseline"/>
    </w:pPr>
    <w:rPr>
      <w:rFonts w:ascii="宋体"/>
      <w:sz w:val="24"/>
    </w:rPr>
  </w:style>
  <w:style w:type="character" w:customStyle="1" w:styleId="152">
    <w:name w:val="正文 Char"/>
    <w:qFormat/>
    <w:uiPriority w:val="0"/>
    <w:rPr>
      <w:rFonts w:eastAsia="宋体" w:cs="宋体"/>
      <w:kern w:val="2"/>
      <w:sz w:val="21"/>
      <w:lang w:val="en-US" w:eastAsia="zh-CN" w:bidi="ar-SA"/>
    </w:rPr>
  </w:style>
  <w:style w:type="character" w:customStyle="1" w:styleId="153">
    <w:name w:val="articlebody21"/>
    <w:autoRedefine/>
    <w:qFormat/>
    <w:uiPriority w:val="0"/>
    <w:rPr>
      <w:rFonts w:hint="default"/>
      <w:sz w:val="21"/>
    </w:rPr>
  </w:style>
  <w:style w:type="character" w:customStyle="1" w:styleId="154">
    <w:name w:val="普通文字 Char1"/>
    <w:qFormat/>
    <w:locked/>
    <w:uiPriority w:val="0"/>
    <w:rPr>
      <w:rFonts w:hint="default" w:ascii="Courier New" w:hAnsi="Courier New" w:eastAsia="宋体" w:cs="Courier New"/>
      <w:kern w:val="2"/>
      <w:sz w:val="21"/>
      <w:lang w:val="en-US" w:eastAsia="zh-CN" w:bidi="ar-SA"/>
    </w:rPr>
  </w:style>
  <w:style w:type="character" w:customStyle="1" w:styleId="155">
    <w:name w:val="正文格式 Char"/>
    <w:link w:val="156"/>
    <w:qFormat/>
    <w:uiPriority w:val="0"/>
    <w:rPr>
      <w:rFonts w:ascii="宋体" w:hAnsi="宋体"/>
      <w:bCs/>
      <w:szCs w:val="21"/>
    </w:rPr>
  </w:style>
  <w:style w:type="paragraph" w:customStyle="1" w:styleId="156">
    <w:name w:val="正文格式"/>
    <w:basedOn w:val="1"/>
    <w:link w:val="155"/>
    <w:qFormat/>
    <w:uiPriority w:val="0"/>
    <w:pPr>
      <w:topLinePunct/>
      <w:ind w:firstLine="420" w:firstLineChars="200"/>
    </w:pPr>
    <w:rPr>
      <w:rFonts w:ascii="宋体" w:hAnsi="宋体"/>
      <w:bCs/>
      <w:szCs w:val="21"/>
    </w:rPr>
  </w:style>
  <w:style w:type="character" w:customStyle="1" w:styleId="157">
    <w:name w:val="样式 标题 4 + (符号) 宋体 Char"/>
    <w:link w:val="158"/>
    <w:qFormat/>
    <w:uiPriority w:val="0"/>
    <w:rPr>
      <w:rFonts w:ascii="宋体" w:hAnsi="Arial" w:eastAsia="黑体"/>
      <w:b/>
      <w:bCs/>
      <w:szCs w:val="21"/>
    </w:rPr>
  </w:style>
  <w:style w:type="paragraph" w:customStyle="1" w:styleId="158">
    <w:name w:val="样式 标题 4 + (符号) 宋体"/>
    <w:basedOn w:val="5"/>
    <w:link w:val="157"/>
    <w:qFormat/>
    <w:uiPriority w:val="0"/>
    <w:pPr>
      <w:keepNext w:val="0"/>
      <w:keepLines w:val="0"/>
      <w:adjustRightInd w:val="0"/>
      <w:snapToGrid w:val="0"/>
      <w:spacing w:before="0" w:after="0" w:line="360" w:lineRule="auto"/>
    </w:pPr>
    <w:rPr>
      <w:rFonts w:ascii="宋体" w:cstheme="minorBidi"/>
      <w:kern w:val="2"/>
      <w:sz w:val="21"/>
      <w:szCs w:val="21"/>
    </w:rPr>
  </w:style>
  <w:style w:type="character" w:customStyle="1" w:styleId="159">
    <w:name w:val="jl 三级 Char Char"/>
    <w:link w:val="160"/>
    <w:qFormat/>
    <w:uiPriority w:val="0"/>
    <w:rPr>
      <w:rFonts w:ascii="宋体" w:hAnsi="宋体"/>
      <w:b/>
      <w:color w:val="000000"/>
      <w:sz w:val="24"/>
      <w:szCs w:val="24"/>
    </w:rPr>
  </w:style>
  <w:style w:type="paragraph" w:customStyle="1" w:styleId="160">
    <w:name w:val="jl 三级 Char"/>
    <w:basedOn w:val="1"/>
    <w:link w:val="159"/>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szCs w:val="24"/>
    </w:rPr>
  </w:style>
  <w:style w:type="character" w:customStyle="1" w:styleId="161">
    <w:name w:val="标题 2 Char"/>
    <w:qFormat/>
    <w:uiPriority w:val="0"/>
    <w:rPr>
      <w:rFonts w:ascii="Calibri Light" w:hAnsi="Calibri Light" w:eastAsia="宋体" w:cs="Times New Roman"/>
      <w:b/>
      <w:bCs/>
      <w:sz w:val="32"/>
      <w:szCs w:val="32"/>
    </w:rPr>
  </w:style>
  <w:style w:type="character" w:customStyle="1" w:styleId="162">
    <w:name w:val="标题 1 Char Char"/>
    <w:qFormat/>
    <w:uiPriority w:val="0"/>
    <w:rPr>
      <w:rFonts w:ascii="宋体" w:eastAsia="宋体"/>
      <w:b/>
      <w:bCs/>
      <w:kern w:val="44"/>
      <w:sz w:val="21"/>
      <w:szCs w:val="21"/>
      <w:lang w:val="en-US" w:eastAsia="zh-CN" w:bidi="ar-SA"/>
    </w:rPr>
  </w:style>
  <w:style w:type="character" w:customStyle="1" w:styleId="163">
    <w:name w:val="表头 Char"/>
    <w:link w:val="164"/>
    <w:qFormat/>
    <w:uiPriority w:val="0"/>
    <w:rPr>
      <w:rFonts w:eastAsia="黑体"/>
      <w:szCs w:val="21"/>
    </w:rPr>
  </w:style>
  <w:style w:type="paragraph" w:customStyle="1" w:styleId="164">
    <w:name w:val="表头"/>
    <w:basedOn w:val="1"/>
    <w:link w:val="163"/>
    <w:qFormat/>
    <w:uiPriority w:val="0"/>
    <w:pPr>
      <w:topLinePunct/>
      <w:spacing w:before="160" w:after="60"/>
      <w:jc w:val="center"/>
    </w:pPr>
    <w:rPr>
      <w:rFonts w:eastAsia="黑体"/>
      <w:szCs w:val="21"/>
    </w:rPr>
  </w:style>
  <w:style w:type="character" w:customStyle="1" w:styleId="165">
    <w:name w:val="标准正文[858D7CFB-ED40-4347-BF05-701D383B685F]"/>
    <w:qFormat/>
    <w:uiPriority w:val="0"/>
    <w:rPr>
      <w:rFonts w:ascii="宋体" w:eastAsia="宋体"/>
      <w:sz w:val="24"/>
      <w:lang w:val="en-US" w:eastAsia="zh-CN"/>
    </w:rPr>
  </w:style>
  <w:style w:type="character" w:customStyle="1" w:styleId="166">
    <w:name w:val="01 Char"/>
    <w:link w:val="167"/>
    <w:autoRedefine/>
    <w:qFormat/>
    <w:uiPriority w:val="0"/>
    <w:rPr>
      <w:b/>
      <w:bCs/>
      <w:szCs w:val="21"/>
    </w:rPr>
  </w:style>
  <w:style w:type="paragraph" w:customStyle="1" w:styleId="167">
    <w:name w:val="01"/>
    <w:basedOn w:val="1"/>
    <w:link w:val="166"/>
    <w:autoRedefine/>
    <w:qFormat/>
    <w:uiPriority w:val="0"/>
    <w:pPr>
      <w:jc w:val="left"/>
    </w:pPr>
    <w:rPr>
      <w:b/>
      <w:bCs/>
      <w:szCs w:val="21"/>
    </w:rPr>
  </w:style>
  <w:style w:type="character" w:customStyle="1" w:styleId="168">
    <w:name w:val="标书正文 Char Char"/>
    <w:link w:val="169"/>
    <w:autoRedefine/>
    <w:qFormat/>
    <w:uiPriority w:val="0"/>
    <w:rPr>
      <w:sz w:val="24"/>
    </w:rPr>
  </w:style>
  <w:style w:type="paragraph" w:customStyle="1" w:styleId="169">
    <w:name w:val="标书正文"/>
    <w:basedOn w:val="1"/>
    <w:link w:val="168"/>
    <w:qFormat/>
    <w:uiPriority w:val="0"/>
    <w:pPr>
      <w:spacing w:before="100" w:after="100" w:line="360" w:lineRule="auto"/>
    </w:pPr>
    <w:rPr>
      <w:sz w:val="24"/>
    </w:rPr>
  </w:style>
  <w:style w:type="character" w:customStyle="1" w:styleId="170">
    <w:name w:val="页码1"/>
    <w:basedOn w:val="86"/>
    <w:autoRedefine/>
    <w:qFormat/>
    <w:uiPriority w:val="0"/>
  </w:style>
  <w:style w:type="character" w:customStyle="1" w:styleId="171">
    <w:name w:val="Char Char4"/>
    <w:qFormat/>
    <w:uiPriority w:val="0"/>
    <w:rPr>
      <w:rFonts w:eastAsia="汉仪大宋简"/>
      <w:kern w:val="44"/>
      <w:sz w:val="22"/>
      <w:szCs w:val="22"/>
      <w:lang w:val="en-US" w:eastAsia="zh-CN" w:bidi="ar-SA"/>
    </w:rPr>
  </w:style>
  <w:style w:type="character" w:customStyle="1" w:styleId="172">
    <w:name w:val="jl 正文 Char Char Char"/>
    <w:link w:val="173"/>
    <w:qFormat/>
    <w:uiPriority w:val="0"/>
    <w:rPr>
      <w:rFonts w:ascii="宋体"/>
      <w:sz w:val="24"/>
      <w:szCs w:val="24"/>
    </w:rPr>
  </w:style>
  <w:style w:type="paragraph" w:customStyle="1" w:styleId="173">
    <w:name w:val="jl 正文 Char Char"/>
    <w:basedOn w:val="1"/>
    <w:link w:val="172"/>
    <w:qFormat/>
    <w:uiPriority w:val="0"/>
    <w:pPr>
      <w:autoSpaceDE w:val="0"/>
      <w:autoSpaceDN w:val="0"/>
      <w:adjustRightInd w:val="0"/>
      <w:ind w:firstLine="200" w:firstLineChars="200"/>
      <w:jc w:val="left"/>
      <w:textAlignment w:val="baseline"/>
    </w:pPr>
    <w:rPr>
      <w:rFonts w:ascii="宋体"/>
      <w:sz w:val="24"/>
      <w:szCs w:val="24"/>
    </w:rPr>
  </w:style>
  <w:style w:type="character" w:customStyle="1" w:styleId="174">
    <w:name w:val="文本条款 Char"/>
    <w:qFormat/>
    <w:uiPriority w:val="0"/>
    <w:rPr>
      <w:rFonts w:eastAsia="宋体"/>
      <w:kern w:val="2"/>
      <w:sz w:val="24"/>
      <w:lang w:val="en-US" w:eastAsia="zh-CN" w:bidi="ar-SA"/>
    </w:rPr>
  </w:style>
  <w:style w:type="character" w:customStyle="1" w:styleId="175">
    <w:name w:val="首行缩进 Char"/>
    <w:link w:val="176"/>
    <w:qFormat/>
    <w:uiPriority w:val="0"/>
    <w:rPr>
      <w:rFonts w:eastAsia="方正书宋简体"/>
    </w:rPr>
  </w:style>
  <w:style w:type="paragraph" w:customStyle="1" w:styleId="176">
    <w:name w:val="首行缩进"/>
    <w:basedOn w:val="1"/>
    <w:link w:val="175"/>
    <w:qFormat/>
    <w:uiPriority w:val="0"/>
    <w:pPr>
      <w:spacing w:line="300" w:lineRule="auto"/>
      <w:ind w:firstLine="420" w:firstLineChars="200"/>
    </w:pPr>
    <w:rPr>
      <w:rFonts w:eastAsia="方正书宋简体"/>
    </w:rPr>
  </w:style>
  <w:style w:type="character" w:customStyle="1" w:styleId="177">
    <w:name w:val="二级条标题 Char"/>
    <w:link w:val="178"/>
    <w:qFormat/>
    <w:uiPriority w:val="0"/>
    <w:rPr>
      <w:rFonts w:ascii="黑体" w:eastAsia="黑体"/>
    </w:rPr>
  </w:style>
  <w:style w:type="paragraph" w:customStyle="1" w:styleId="178">
    <w:name w:val="二级条标题"/>
    <w:basedOn w:val="1"/>
    <w:next w:val="4"/>
    <w:link w:val="177"/>
    <w:qFormat/>
    <w:uiPriority w:val="0"/>
    <w:pPr>
      <w:widowControl/>
      <w:tabs>
        <w:tab w:val="left" w:pos="2160"/>
      </w:tabs>
      <w:ind w:left="2160" w:hanging="420"/>
      <w:outlineLvl w:val="3"/>
    </w:pPr>
    <w:rPr>
      <w:rFonts w:ascii="黑体" w:eastAsia="黑体"/>
    </w:rPr>
  </w:style>
  <w:style w:type="character" w:customStyle="1" w:styleId="179">
    <w:name w:val="Char Char16"/>
    <w:autoRedefine/>
    <w:qFormat/>
    <w:uiPriority w:val="0"/>
    <w:rPr>
      <w:rFonts w:ascii="Arial" w:hAnsi="Arial" w:eastAsia="黑体"/>
      <w:b/>
      <w:bCs/>
      <w:kern w:val="2"/>
      <w:sz w:val="32"/>
      <w:szCs w:val="32"/>
      <w:lang w:val="en-US" w:eastAsia="zh-CN" w:bidi="ar-SA"/>
    </w:rPr>
  </w:style>
  <w:style w:type="character" w:customStyle="1" w:styleId="180">
    <w:name w:val="三级条标题 Char"/>
    <w:link w:val="181"/>
    <w:qFormat/>
    <w:uiPriority w:val="0"/>
    <w:rPr>
      <w:rFonts w:ascii="黑体" w:eastAsia="黑体"/>
    </w:rPr>
  </w:style>
  <w:style w:type="paragraph" w:customStyle="1" w:styleId="181">
    <w:name w:val="三级条标题"/>
    <w:basedOn w:val="178"/>
    <w:next w:val="4"/>
    <w:link w:val="180"/>
    <w:autoRedefine/>
    <w:qFormat/>
    <w:uiPriority w:val="0"/>
    <w:pPr>
      <w:tabs>
        <w:tab w:val="left" w:pos="360"/>
        <w:tab w:val="clear" w:pos="2160"/>
      </w:tabs>
      <w:ind w:left="-180" w:firstLine="0"/>
      <w:outlineLvl w:val="4"/>
    </w:pPr>
  </w:style>
  <w:style w:type="character" w:customStyle="1" w:styleId="182">
    <w:name w:val="样式 标题 3 + 宋体 Char"/>
    <w:link w:val="183"/>
    <w:qFormat/>
    <w:uiPriority w:val="0"/>
    <w:rPr>
      <w:rFonts w:ascii="宋体" w:hAnsi="宋体"/>
      <w:szCs w:val="21"/>
    </w:rPr>
  </w:style>
  <w:style w:type="paragraph" w:customStyle="1" w:styleId="183">
    <w:name w:val="样式 标题 3 + 宋体"/>
    <w:basedOn w:val="4"/>
    <w:link w:val="182"/>
    <w:qFormat/>
    <w:uiPriority w:val="0"/>
    <w:pPr>
      <w:keepNext w:val="0"/>
      <w:keepLines w:val="0"/>
      <w:tabs>
        <w:tab w:val="left" w:pos="1560"/>
      </w:tabs>
      <w:snapToGrid w:val="0"/>
      <w:spacing w:before="0" w:after="0" w:line="360" w:lineRule="auto"/>
      <w:ind w:left="360"/>
    </w:pPr>
    <w:rPr>
      <w:rFonts w:ascii="宋体" w:hAnsi="宋体" w:eastAsiaTheme="minorEastAsia" w:cstheme="minorBidi"/>
      <w:b w:val="0"/>
      <w:bCs w:val="0"/>
      <w:kern w:val="2"/>
      <w:sz w:val="21"/>
      <w:szCs w:val="21"/>
    </w:rPr>
  </w:style>
  <w:style w:type="character" w:customStyle="1" w:styleId="184">
    <w:name w:val="样式 Arial"/>
    <w:qFormat/>
    <w:uiPriority w:val="0"/>
    <w:rPr>
      <w:rFonts w:hint="default" w:ascii="Times New Roman" w:hAnsi="Times New Roman" w:eastAsia="宋体" w:cs="Times New Roman"/>
      <w:sz w:val="21"/>
      <w:szCs w:val="21"/>
    </w:rPr>
  </w:style>
  <w:style w:type="character" w:customStyle="1" w:styleId="185">
    <w:name w:val="列表段落 字符"/>
    <w:link w:val="186"/>
    <w:qFormat/>
    <w:uiPriority w:val="34"/>
    <w:rPr>
      <w:szCs w:val="24"/>
    </w:rPr>
  </w:style>
  <w:style w:type="paragraph" w:styleId="186">
    <w:name w:val="List Paragraph"/>
    <w:basedOn w:val="1"/>
    <w:link w:val="185"/>
    <w:qFormat/>
    <w:uiPriority w:val="34"/>
    <w:pPr>
      <w:ind w:firstLine="420" w:firstLineChars="200"/>
    </w:pPr>
    <w:rPr>
      <w:szCs w:val="24"/>
    </w:rPr>
  </w:style>
  <w:style w:type="character" w:customStyle="1" w:styleId="187">
    <w:name w:val="Char Char2"/>
    <w:qFormat/>
    <w:uiPriority w:val="0"/>
    <w:rPr>
      <w:rFonts w:eastAsia="汉仪大宋简"/>
      <w:kern w:val="44"/>
      <w:sz w:val="22"/>
      <w:szCs w:val="22"/>
      <w:lang w:val="en-US" w:eastAsia="zh-CN" w:bidi="ar-SA"/>
    </w:rPr>
  </w:style>
  <w:style w:type="character" w:customStyle="1" w:styleId="188">
    <w:name w:val="节标题 1.1 Char"/>
    <w:qFormat/>
    <w:uiPriority w:val="0"/>
    <w:rPr>
      <w:rFonts w:eastAsia="黑体"/>
      <w:bCs/>
      <w:kern w:val="2"/>
      <w:sz w:val="21"/>
      <w:szCs w:val="21"/>
      <w:lang w:val="en-US" w:eastAsia="zh-CN" w:bidi="ar-SA"/>
    </w:rPr>
  </w:style>
  <w:style w:type="character" w:customStyle="1" w:styleId="189">
    <w:name w:val="样式6 Char"/>
    <w:link w:val="190"/>
    <w:qFormat/>
    <w:uiPriority w:val="0"/>
    <w:rPr>
      <w:szCs w:val="24"/>
    </w:rPr>
  </w:style>
  <w:style w:type="paragraph" w:customStyle="1" w:styleId="190">
    <w:name w:val="样式6"/>
    <w:basedOn w:val="1"/>
    <w:link w:val="189"/>
    <w:qFormat/>
    <w:uiPriority w:val="0"/>
    <w:pPr>
      <w:numPr>
        <w:ilvl w:val="2"/>
        <w:numId w:val="12"/>
      </w:numPr>
      <w:tabs>
        <w:tab w:val="left" w:pos="1571"/>
      </w:tabs>
    </w:pPr>
    <w:rPr>
      <w:szCs w:val="24"/>
    </w:rPr>
  </w:style>
  <w:style w:type="paragraph" w:customStyle="1" w:styleId="191">
    <w:name w:val="CM17"/>
    <w:basedOn w:val="192"/>
    <w:next w:val="192"/>
    <w:autoRedefine/>
    <w:qFormat/>
    <w:uiPriority w:val="0"/>
    <w:pPr>
      <w:spacing w:line="468" w:lineRule="atLeast"/>
    </w:pPr>
    <w:rPr>
      <w:rFonts w:cs="Times New Roman"/>
      <w:color w:val="auto"/>
    </w:rPr>
  </w:style>
  <w:style w:type="paragraph" w:customStyle="1" w:styleId="19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3">
    <w:name w:val="表格"/>
    <w:basedOn w:val="1"/>
    <w:qFormat/>
    <w:uiPriority w:val="0"/>
    <w:pPr>
      <w:tabs>
        <w:tab w:val="left" w:pos="1200"/>
      </w:tabs>
      <w:spacing w:line="500" w:lineRule="exact"/>
      <w:jc w:val="center"/>
    </w:pPr>
    <w:rPr>
      <w:rFonts w:ascii="宋体" w:hAnsi="Arial Narrow" w:eastAsia="宋体" w:cs="Times New Roman"/>
      <w:sz w:val="24"/>
      <w:szCs w:val="20"/>
    </w:rPr>
  </w:style>
  <w:style w:type="paragraph" w:customStyle="1" w:styleId="194">
    <w:name w:val="样式 标题 3 + 宋体 段前: 7.8 磅"/>
    <w:basedOn w:val="4"/>
    <w:qFormat/>
    <w:uiPriority w:val="0"/>
    <w:pPr>
      <w:keepNext w:val="0"/>
      <w:keepLines w:val="0"/>
      <w:numPr>
        <w:ilvl w:val="2"/>
        <w:numId w:val="13"/>
      </w:numPr>
      <w:tabs>
        <w:tab w:val="left" w:pos="1560"/>
      </w:tabs>
      <w:adjustRightInd w:val="0"/>
      <w:snapToGrid w:val="0"/>
      <w:spacing w:before="156" w:after="0" w:line="360" w:lineRule="auto"/>
    </w:pPr>
    <w:rPr>
      <w:rFonts w:ascii="宋体" w:hAnsi="宋体" w:cs="宋体"/>
      <w:b w:val="0"/>
      <w:bCs w:val="0"/>
      <w:sz w:val="21"/>
      <w:szCs w:val="20"/>
    </w:rPr>
  </w:style>
  <w:style w:type="paragraph" w:customStyle="1" w:styleId="19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96">
    <w:name w:val="CM9"/>
    <w:basedOn w:val="192"/>
    <w:next w:val="192"/>
    <w:qFormat/>
    <w:uiPriority w:val="0"/>
    <w:pPr>
      <w:spacing w:line="468" w:lineRule="atLeast"/>
    </w:pPr>
    <w:rPr>
      <w:rFonts w:cs="Times New Roman"/>
      <w:color w:val="auto"/>
    </w:rPr>
  </w:style>
  <w:style w:type="paragraph" w:customStyle="1" w:styleId="197">
    <w:name w:val="样式 Arial 首行缩进:  2 字符"/>
    <w:basedOn w:val="1"/>
    <w:qFormat/>
    <w:uiPriority w:val="0"/>
    <w:pPr>
      <w:ind w:firstLine="403" w:firstLineChars="200"/>
    </w:pPr>
    <w:rPr>
      <w:rFonts w:ascii="Times New Roman" w:hAnsi="Times New Roman" w:eastAsia="宋体" w:cs="华文新魏"/>
      <w:szCs w:val="21"/>
    </w:rPr>
  </w:style>
  <w:style w:type="paragraph" w:customStyle="1" w:styleId="198">
    <w:name w:val="Char Char Char"/>
    <w:basedOn w:val="1"/>
    <w:autoRedefine/>
    <w:qFormat/>
    <w:uiPriority w:val="0"/>
    <w:rPr>
      <w:rFonts w:ascii="Times New Roman" w:hAnsi="Times New Roman" w:eastAsia="宋体" w:cs="Times New Roman"/>
      <w:szCs w:val="24"/>
    </w:rPr>
  </w:style>
  <w:style w:type="paragraph" w:customStyle="1" w:styleId="19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color w:val="000000"/>
      <w:kern w:val="0"/>
      <w:sz w:val="20"/>
      <w:szCs w:val="20"/>
    </w:rPr>
  </w:style>
  <w:style w:type="paragraph" w:customStyle="1" w:styleId="200">
    <w:name w:val="xl4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0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20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203">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04">
    <w:name w:val="Char Char Char Char Char Char Char Char Char Char Char Char1"/>
    <w:basedOn w:val="1"/>
    <w:qFormat/>
    <w:uiPriority w:val="0"/>
    <w:pPr>
      <w:spacing w:line="360" w:lineRule="auto"/>
    </w:pPr>
    <w:rPr>
      <w:rFonts w:ascii="Tahoma" w:hAnsi="Tahoma" w:eastAsia="宋体" w:cs="Times New Roman"/>
      <w:sz w:val="24"/>
      <w:szCs w:val="20"/>
    </w:rPr>
  </w:style>
  <w:style w:type="paragraph" w:customStyle="1" w:styleId="205">
    <w:name w:val="纯文本1"/>
    <w:basedOn w:val="1"/>
    <w:autoRedefine/>
    <w:qFormat/>
    <w:uiPriority w:val="0"/>
    <w:pPr>
      <w:adjustRightInd w:val="0"/>
      <w:jc w:val="left"/>
      <w:textAlignment w:val="baseline"/>
    </w:pPr>
    <w:rPr>
      <w:rFonts w:ascii="宋体" w:hAnsi="Courier New" w:eastAsia="宋体" w:cs="Times New Roman"/>
      <w:sz w:val="24"/>
      <w:szCs w:val="20"/>
    </w:rPr>
  </w:style>
  <w:style w:type="paragraph" w:customStyle="1" w:styleId="20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7">
    <w:name w:val="(1)编号"/>
    <w:basedOn w:val="1"/>
    <w:qFormat/>
    <w:uiPriority w:val="0"/>
    <w:pPr>
      <w:numPr>
        <w:ilvl w:val="0"/>
        <w:numId w:val="14"/>
      </w:numPr>
      <w:tabs>
        <w:tab w:val="left" w:pos="3261"/>
        <w:tab w:val="clear" w:pos="900"/>
      </w:tabs>
      <w:spacing w:line="400" w:lineRule="exact"/>
    </w:pPr>
    <w:rPr>
      <w:rFonts w:hint="eastAsia" w:ascii="宋体" w:hAnsi="宋体" w:eastAsia="宋体" w:cs="Times New Roman"/>
      <w:spacing w:val="5"/>
      <w:sz w:val="24"/>
      <w:szCs w:val="20"/>
    </w:rPr>
  </w:style>
  <w:style w:type="paragraph" w:customStyle="1" w:styleId="20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09">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10">
    <w:name w:val="1"/>
    <w:basedOn w:val="1"/>
    <w:qFormat/>
    <w:uiPriority w:val="0"/>
    <w:pPr>
      <w:widowControl/>
      <w:spacing w:before="100" w:beforeAutospacing="1" w:after="100" w:afterAutospacing="1" w:line="330" w:lineRule="atLeast"/>
      <w:ind w:left="360"/>
      <w:jc w:val="left"/>
    </w:pPr>
    <w:rPr>
      <w:rFonts w:ascii="ˎ̥" w:hAnsi="ˎ̥" w:eastAsia="宋体" w:cs="宋体"/>
      <w:color w:val="51585D"/>
      <w:kern w:val="0"/>
      <w:sz w:val="24"/>
      <w:szCs w:val="18"/>
    </w:rPr>
  </w:style>
  <w:style w:type="paragraph" w:customStyle="1" w:styleId="211">
    <w:name w:val="CM5"/>
    <w:basedOn w:val="192"/>
    <w:next w:val="192"/>
    <w:qFormat/>
    <w:uiPriority w:val="0"/>
    <w:pPr>
      <w:spacing w:line="471" w:lineRule="atLeast"/>
    </w:pPr>
    <w:rPr>
      <w:rFonts w:cs="Times New Roman"/>
      <w:color w:val="auto"/>
    </w:rPr>
  </w:style>
  <w:style w:type="paragraph" w:customStyle="1" w:styleId="212">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3">
    <w:name w:val="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14">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15">
    <w:name w:val="样式 标题 4 + 段前: 5 磅 段后: 5 磅 行距: 单倍行距"/>
    <w:basedOn w:val="5"/>
    <w:qFormat/>
    <w:uiPriority w:val="0"/>
    <w:pPr>
      <w:adjustRightInd w:val="0"/>
      <w:spacing w:before="100" w:after="100" w:line="240" w:lineRule="auto"/>
      <w:jc w:val="left"/>
      <w:textAlignment w:val="baseline"/>
    </w:pPr>
    <w:rPr>
      <w:szCs w:val="20"/>
    </w:rPr>
  </w:style>
  <w:style w:type="paragraph" w:customStyle="1" w:styleId="2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217">
    <w:name w:val="¨¨¡À¨º???¡À?:1"/>
    <w:basedOn w:val="1"/>
    <w:qFormat/>
    <w:uiPriority w:val="0"/>
    <w:pPr>
      <w:widowControl/>
      <w:overflowPunct w:val="0"/>
      <w:autoSpaceDE w:val="0"/>
      <w:autoSpaceDN w:val="0"/>
      <w:adjustRightInd w:val="0"/>
      <w:jc w:val="left"/>
      <w:textAlignment w:val="baseline"/>
    </w:pPr>
    <w:rPr>
      <w:rFonts w:ascii="宋体" w:hAnsi="Times New Roman" w:eastAsia="宋体" w:cs="Times New Roman"/>
      <w:kern w:val="0"/>
      <w:sz w:val="24"/>
      <w:szCs w:val="20"/>
    </w:rPr>
  </w:style>
  <w:style w:type="paragraph" w:customStyle="1" w:styleId="218">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19">
    <w:name w:val="Char Char Char Char Char Char Char Char Char Char Char Char"/>
    <w:basedOn w:val="1"/>
    <w:qFormat/>
    <w:uiPriority w:val="0"/>
    <w:pPr>
      <w:spacing w:line="360" w:lineRule="auto"/>
    </w:pPr>
    <w:rPr>
      <w:rFonts w:ascii="Tahoma" w:hAnsi="Tahoma" w:eastAsia="宋体" w:cs="Times New Roman"/>
      <w:sz w:val="24"/>
      <w:szCs w:val="20"/>
    </w:rPr>
  </w:style>
  <w:style w:type="paragraph" w:customStyle="1" w:styleId="220">
    <w:name w:val="标准书眉一"/>
    <w:qFormat/>
    <w:uiPriority w:val="0"/>
    <w:pPr>
      <w:jc w:val="both"/>
    </w:pPr>
    <w:rPr>
      <w:rFonts w:ascii="Times New Roman" w:hAnsi="Times New Roman" w:eastAsia="宋体" w:cs="Times New Roman"/>
      <w:lang w:val="en-US" w:eastAsia="zh-CN" w:bidi="ar-SA"/>
    </w:rPr>
  </w:style>
  <w:style w:type="paragraph" w:customStyle="1" w:styleId="22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22">
    <w:name w:val="CM10"/>
    <w:basedOn w:val="192"/>
    <w:next w:val="192"/>
    <w:qFormat/>
    <w:uiPriority w:val="0"/>
    <w:pPr>
      <w:spacing w:line="468" w:lineRule="atLeast"/>
    </w:pPr>
    <w:rPr>
      <w:rFonts w:cs="Times New Roman"/>
      <w:color w:val="auto"/>
    </w:rPr>
  </w:style>
  <w:style w:type="paragraph" w:customStyle="1" w:styleId="223">
    <w:name w:val="font0"/>
    <w:basedOn w:val="1"/>
    <w:autoRedefine/>
    <w:qFormat/>
    <w:uiPriority w:val="0"/>
    <w:pPr>
      <w:widowControl/>
      <w:spacing w:before="100" w:beforeAutospacing="1" w:after="100" w:afterAutospacing="1"/>
      <w:jc w:val="left"/>
    </w:pPr>
    <w:rPr>
      <w:rFonts w:hint="eastAsia" w:ascii="宋体" w:hAnsi="Times New Roman" w:eastAsia="宋体" w:cs="Times New Roman"/>
      <w:kern w:val="0"/>
      <w:sz w:val="24"/>
      <w:szCs w:val="24"/>
    </w:rPr>
  </w:style>
  <w:style w:type="paragraph" w:customStyle="1" w:styleId="224">
    <w:name w:val="五级无标题条"/>
    <w:basedOn w:val="1"/>
    <w:autoRedefine/>
    <w:qFormat/>
    <w:uiPriority w:val="0"/>
    <w:pPr>
      <w:numPr>
        <w:ilvl w:val="6"/>
        <w:numId w:val="14"/>
      </w:numPr>
    </w:pPr>
    <w:rPr>
      <w:rFonts w:ascii="Times New Roman" w:hAnsi="Times New Roman" w:eastAsia="宋体" w:cs="Times New Roman"/>
      <w:szCs w:val="24"/>
    </w:rPr>
  </w:style>
  <w:style w:type="paragraph" w:customStyle="1" w:styleId="225">
    <w:name w:val="_Style 25"/>
    <w:qFormat/>
    <w:uiPriority w:val="99"/>
    <w:pPr>
      <w:widowControl w:val="0"/>
      <w:jc w:val="both"/>
    </w:pPr>
    <w:rPr>
      <w:rFonts w:ascii="Times New Roman" w:hAnsi="Times New Roman" w:eastAsia="宋体" w:cs="Times New Roman"/>
      <w:kern w:val="2"/>
      <w:sz w:val="28"/>
      <w:lang w:val="en-US" w:eastAsia="zh-CN" w:bidi="ar-SA"/>
    </w:rPr>
  </w:style>
  <w:style w:type="paragraph" w:customStyle="1" w:styleId="226">
    <w:name w:val="样式3"/>
    <w:basedOn w:val="227"/>
    <w:autoRedefine/>
    <w:qFormat/>
    <w:uiPriority w:val="0"/>
    <w:pPr>
      <w:tabs>
        <w:tab w:val="left" w:pos="360"/>
        <w:tab w:val="left" w:pos="2160"/>
      </w:tabs>
      <w:adjustRightInd w:val="0"/>
      <w:spacing w:before="620" w:after="360" w:line="490" w:lineRule="exact"/>
      <w:jc w:val="center"/>
      <w:textAlignment w:val="baseline"/>
      <w:outlineLvl w:val="9"/>
    </w:pPr>
    <w:rPr>
      <w:rFonts w:hAnsi="Times New Roman" w:cs="宋体"/>
      <w:sz w:val="34"/>
      <w:szCs w:val="34"/>
    </w:rPr>
  </w:style>
  <w:style w:type="paragraph" w:customStyle="1" w:styleId="227">
    <w:name w:val="样式1"/>
    <w:basedOn w:val="5"/>
    <w:qFormat/>
    <w:uiPriority w:val="0"/>
    <w:pPr>
      <w:keepNext w:val="0"/>
      <w:keepLines w:val="0"/>
      <w:tabs>
        <w:tab w:val="left" w:pos="360"/>
      </w:tabs>
      <w:spacing w:before="0" w:after="0" w:line="360" w:lineRule="auto"/>
    </w:pPr>
    <w:rPr>
      <w:rFonts w:ascii="宋体" w:hAnsi="宋体" w:eastAsia="宋体"/>
      <w:b w:val="0"/>
      <w:bCs w:val="0"/>
      <w:sz w:val="21"/>
      <w:szCs w:val="21"/>
    </w:rPr>
  </w:style>
  <w:style w:type="paragraph" w:customStyle="1" w:styleId="228">
    <w:name w:val="正文表标题"/>
    <w:next w:val="4"/>
    <w:qFormat/>
    <w:uiPriority w:val="0"/>
    <w:pPr>
      <w:tabs>
        <w:tab w:val="left" w:pos="360"/>
        <w:tab w:val="left" w:pos="678"/>
      </w:tabs>
      <w:ind w:left="678" w:hanging="468"/>
      <w:jc w:val="center"/>
    </w:pPr>
    <w:rPr>
      <w:rFonts w:ascii="黑体" w:hAnsi="Times New Roman" w:eastAsia="黑体" w:cs="Times New Roman"/>
      <w:sz w:val="21"/>
      <w:lang w:val="en-US" w:eastAsia="zh-CN" w:bidi="ar-SA"/>
    </w:rPr>
  </w:style>
  <w:style w:type="paragraph" w:customStyle="1" w:styleId="229">
    <w:name w:val="二级无标题条"/>
    <w:basedOn w:val="1"/>
    <w:autoRedefine/>
    <w:qFormat/>
    <w:uiPriority w:val="0"/>
    <w:pPr>
      <w:numPr>
        <w:ilvl w:val="3"/>
        <w:numId w:val="14"/>
      </w:numPr>
    </w:pPr>
    <w:rPr>
      <w:rFonts w:ascii="Times New Roman" w:hAnsi="Times New Roman" w:eastAsia="宋体" w:cs="Times New Roman"/>
      <w:szCs w:val="24"/>
    </w:rPr>
  </w:style>
  <w:style w:type="paragraph" w:customStyle="1" w:styleId="23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31">
    <w:name w:val="四级无标题条"/>
    <w:basedOn w:val="1"/>
    <w:qFormat/>
    <w:uiPriority w:val="0"/>
    <w:pPr>
      <w:numPr>
        <w:ilvl w:val="5"/>
        <w:numId w:val="14"/>
      </w:numPr>
    </w:pPr>
    <w:rPr>
      <w:rFonts w:ascii="Times New Roman" w:hAnsi="Times New Roman" w:eastAsia="宋体" w:cs="Times New Roman"/>
      <w:szCs w:val="24"/>
    </w:rPr>
  </w:style>
  <w:style w:type="paragraph" w:customStyle="1" w:styleId="232">
    <w:name w:val="参考文献、索引标题"/>
    <w:basedOn w:val="1"/>
    <w:next w:val="1"/>
    <w:qFormat/>
    <w:uiPriority w:val="0"/>
    <w:pPr>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233">
    <w:name w:val="前言、引言标题"/>
    <w:next w:val="1"/>
    <w:qFormat/>
    <w:uiPriority w:val="0"/>
    <w:pPr>
      <w:shd w:val="clear" w:color="FFFFFF" w:fill="FFFFFF"/>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34">
    <w:name w:val="目录文字"/>
    <w:basedOn w:val="1"/>
    <w:autoRedefine/>
    <w:qFormat/>
    <w:uiPriority w:val="0"/>
    <w:pPr>
      <w:widowControl/>
      <w:spacing w:line="480" w:lineRule="auto"/>
      <w:jc w:val="left"/>
    </w:pPr>
    <w:rPr>
      <w:rFonts w:ascii="宋体" w:hAnsi="宋体" w:eastAsia="宋体" w:cs="Times New Roman"/>
      <w:kern w:val="0"/>
      <w:sz w:val="24"/>
      <w:szCs w:val="20"/>
    </w:rPr>
  </w:style>
  <w:style w:type="paragraph" w:customStyle="1" w:styleId="235">
    <w:name w:val="Char1 Char Char Char Char Char Char Char Char Char"/>
    <w:basedOn w:val="1"/>
    <w:autoRedefine/>
    <w:qFormat/>
    <w:uiPriority w:val="0"/>
    <w:rPr>
      <w:rFonts w:ascii="Tahoma" w:hAnsi="Tahoma" w:eastAsia="宋体" w:cs="Times New Roman"/>
      <w:sz w:val="24"/>
      <w:szCs w:val="20"/>
    </w:rPr>
  </w:style>
  <w:style w:type="paragraph" w:customStyle="1" w:styleId="236">
    <w:name w:val="Char Char Char Char Char Char Char Char Char1"/>
    <w:basedOn w:val="1"/>
    <w:autoRedefine/>
    <w:qFormat/>
    <w:uiPriority w:val="0"/>
    <w:rPr>
      <w:rFonts w:ascii="Tahoma" w:hAnsi="Tahoma" w:eastAsia="宋体" w:cs="Times New Roman"/>
      <w:sz w:val="24"/>
      <w:szCs w:val="20"/>
    </w:rPr>
  </w:style>
  <w:style w:type="paragraph" w:customStyle="1" w:styleId="237">
    <w:name w:val="Char2"/>
    <w:basedOn w:val="1"/>
    <w:autoRedefine/>
    <w:qFormat/>
    <w:uiPriority w:val="0"/>
    <w:rPr>
      <w:rFonts w:ascii="Times New Roman" w:hAnsi="Times New Roman" w:eastAsia="宋体" w:cs="Times New Roman"/>
      <w:szCs w:val="24"/>
    </w:rPr>
  </w:style>
  <w:style w:type="paragraph" w:customStyle="1" w:styleId="238">
    <w:name w:val="样式 首行缩进:  0 厘米 行距: 单倍行距"/>
    <w:basedOn w:val="1"/>
    <w:autoRedefine/>
    <w:qFormat/>
    <w:uiPriority w:val="0"/>
    <w:pPr>
      <w:adjustRightInd w:val="0"/>
      <w:textAlignment w:val="baseline"/>
    </w:pPr>
    <w:rPr>
      <w:rFonts w:ascii="Times New Roman" w:hAnsi="Times New Roman" w:eastAsia="宋体" w:cs="Times New Roman"/>
      <w:kern w:val="0"/>
      <w:szCs w:val="20"/>
    </w:rPr>
  </w:style>
  <w:style w:type="paragraph" w:customStyle="1" w:styleId="23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0">
    <w:name w:val="Char Char Char Char"/>
    <w:basedOn w:val="1"/>
    <w:qFormat/>
    <w:uiPriority w:val="0"/>
    <w:pPr>
      <w:ind w:firstLine="480" w:firstLineChars="200"/>
    </w:pPr>
    <w:rPr>
      <w:rFonts w:ascii="Tahoma" w:hAnsi="Tahoma" w:eastAsia="宋体" w:cs="宋体"/>
      <w:sz w:val="24"/>
      <w:szCs w:val="20"/>
    </w:rPr>
  </w:style>
  <w:style w:type="paragraph" w:customStyle="1" w:styleId="241">
    <w:name w:val="jl 正文"/>
    <w:basedOn w:val="1"/>
    <w:qFormat/>
    <w:uiPriority w:val="0"/>
    <w:pPr>
      <w:autoSpaceDE w:val="0"/>
      <w:autoSpaceDN w:val="0"/>
      <w:adjustRightInd w:val="0"/>
      <w:ind w:firstLine="200" w:firstLineChars="200"/>
      <w:jc w:val="left"/>
      <w:textAlignment w:val="baseline"/>
    </w:pPr>
    <w:rPr>
      <w:rFonts w:ascii="宋体" w:hAnsi="Times New Roman" w:eastAsia="宋体" w:cs="Times New Roman"/>
      <w:kern w:val="0"/>
      <w:sz w:val="24"/>
      <w:szCs w:val="24"/>
    </w:rPr>
  </w:style>
  <w:style w:type="paragraph" w:customStyle="1" w:styleId="242">
    <w:name w:val="横表格"/>
    <w:basedOn w:val="1"/>
    <w:autoRedefine/>
    <w:qFormat/>
    <w:uiPriority w:val="0"/>
    <w:pPr>
      <w:tabs>
        <w:tab w:val="left" w:pos="1200"/>
      </w:tabs>
      <w:spacing w:line="360" w:lineRule="exact"/>
      <w:ind w:right="-41" w:rightChars="-41"/>
      <w:jc w:val="center"/>
    </w:pPr>
    <w:rPr>
      <w:rFonts w:ascii="宋体" w:hAnsi="宋体" w:eastAsia="宋体" w:cs="Times New Roman"/>
      <w:sz w:val="24"/>
      <w:szCs w:val="20"/>
    </w:rPr>
  </w:style>
  <w:style w:type="paragraph" w:customStyle="1" w:styleId="243">
    <w:name w:val="样式5"/>
    <w:basedOn w:val="1"/>
    <w:qFormat/>
    <w:uiPriority w:val="0"/>
    <w:pPr>
      <w:adjustRightInd w:val="0"/>
      <w:spacing w:line="240" w:lineRule="atLeast"/>
    </w:pPr>
    <w:rPr>
      <w:rFonts w:ascii="Calibri" w:hAnsi="Calibri" w:eastAsia="宋体" w:cs="Times New Roman"/>
      <w:kern w:val="0"/>
      <w:sz w:val="24"/>
      <w:szCs w:val="20"/>
    </w:rPr>
  </w:style>
  <w:style w:type="paragraph" w:customStyle="1" w:styleId="244">
    <w:name w:val="表文"/>
    <w:basedOn w:val="1"/>
    <w:autoRedefine/>
    <w:qFormat/>
    <w:uiPriority w:val="0"/>
    <w:pPr>
      <w:topLinePunct/>
      <w:spacing w:before="40" w:after="40"/>
    </w:pPr>
    <w:rPr>
      <w:rFonts w:ascii="Times New Roman" w:hAnsi="Times New Roman" w:eastAsia="宋体" w:cs="Times New Roman"/>
      <w:sz w:val="18"/>
      <w:szCs w:val="18"/>
    </w:rPr>
  </w:style>
  <w:style w:type="paragraph" w:customStyle="1" w:styleId="245">
    <w:name w:val="CM22"/>
    <w:basedOn w:val="192"/>
    <w:next w:val="192"/>
    <w:qFormat/>
    <w:uiPriority w:val="0"/>
    <w:pPr>
      <w:spacing w:line="468" w:lineRule="atLeast"/>
    </w:pPr>
    <w:rPr>
      <w:rFonts w:cs="Times New Roman"/>
      <w:color w:val="auto"/>
    </w:rPr>
  </w:style>
  <w:style w:type="paragraph" w:customStyle="1" w:styleId="246">
    <w:name w:val="样式 样式 标题 2 + 段前: 0.5 行 段后: 0.5 行 + 首行缩进:  2 字符 段前: 0.5 行 段后: 0..."/>
    <w:basedOn w:val="1"/>
    <w:autoRedefine/>
    <w:qFormat/>
    <w:uiPriority w:val="0"/>
    <w:pPr>
      <w:keepNext/>
      <w:keepLines/>
      <w:adjustRightInd w:val="0"/>
      <w:spacing w:beforeLines="50" w:afterLines="50"/>
      <w:jc w:val="left"/>
      <w:textAlignment w:val="baseline"/>
      <w:outlineLvl w:val="1"/>
    </w:pPr>
    <w:rPr>
      <w:rFonts w:ascii="Times New Roman" w:hAnsi="Times New Roman" w:eastAsia="黑体" w:cs="Times New Roman"/>
      <w:kern w:val="0"/>
      <w:szCs w:val="20"/>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249">
    <w:name w:val="Char Char Char1"/>
    <w:basedOn w:val="1"/>
    <w:qFormat/>
    <w:uiPriority w:val="0"/>
    <w:rPr>
      <w:rFonts w:ascii="Times New Roman" w:hAnsi="Times New Roman" w:eastAsia="宋体" w:cs="Times New Roman"/>
      <w:szCs w:val="24"/>
    </w:rPr>
  </w:style>
  <w:style w:type="paragraph" w:customStyle="1" w:styleId="250">
    <w:name w:val="Char Char Char Char Char Char1 Char"/>
    <w:basedOn w:val="1"/>
    <w:autoRedefine/>
    <w:qFormat/>
    <w:uiPriority w:val="0"/>
    <w:rPr>
      <w:rFonts w:ascii="Times New Roman" w:hAnsi="Times New Roman" w:eastAsia="宋体" w:cs="Times New Roman"/>
      <w:szCs w:val="24"/>
    </w:rPr>
  </w:style>
  <w:style w:type="paragraph" w:customStyle="1" w:styleId="251">
    <w:name w:val="附录"/>
    <w:basedOn w:val="3"/>
    <w:autoRedefine/>
    <w:qFormat/>
    <w:uiPriority w:val="0"/>
    <w:pPr>
      <w:keepLines/>
      <w:tabs>
        <w:tab w:val="left" w:pos="425"/>
      </w:tabs>
      <w:topLinePunct/>
      <w:snapToGrid/>
      <w:spacing w:line="960" w:lineRule="auto"/>
      <w:ind w:firstLine="420"/>
      <w:jc w:val="center"/>
      <w:textAlignment w:val="baseline"/>
    </w:pPr>
    <w:rPr>
      <w:rFonts w:ascii="Times New Roman" w:eastAsia="黑体"/>
      <w:szCs w:val="28"/>
    </w:rPr>
  </w:style>
  <w:style w:type="paragraph" w:customStyle="1" w:styleId="252">
    <w:name w:val="默认段落字体 Para Char Char Char Char"/>
    <w:basedOn w:val="1"/>
    <w:autoRedefine/>
    <w:qFormat/>
    <w:uiPriority w:val="0"/>
    <w:rPr>
      <w:rFonts w:ascii="Arial" w:hAnsi="Arial" w:eastAsia="宋体" w:cs="Times New Roman"/>
      <w:snapToGrid w:val="0"/>
      <w:szCs w:val="21"/>
    </w:rPr>
  </w:style>
  <w:style w:type="paragraph" w:customStyle="1" w:styleId="253">
    <w:name w:val="Char Char Char Char Char Char Char Char Char1 Char Char Char Char"/>
    <w:basedOn w:val="1"/>
    <w:autoRedefine/>
    <w:qFormat/>
    <w:uiPriority w:val="0"/>
    <w:rPr>
      <w:rFonts w:ascii="Tahoma" w:hAnsi="Tahoma" w:eastAsia="宋体" w:cs="Times New Roman"/>
      <w:sz w:val="24"/>
      <w:szCs w:val="20"/>
    </w:rPr>
  </w:style>
  <w:style w:type="paragraph" w:customStyle="1" w:styleId="254">
    <w:name w:val="一级无标题条"/>
    <w:basedOn w:val="1"/>
    <w:autoRedefine/>
    <w:qFormat/>
    <w:uiPriority w:val="0"/>
    <w:rPr>
      <w:rFonts w:ascii="Times New Roman" w:hAnsi="Times New Roman" w:eastAsia="宋体" w:cs="Times New Roman"/>
      <w:szCs w:val="24"/>
    </w:rPr>
  </w:style>
  <w:style w:type="paragraph" w:customStyle="1" w:styleId="255">
    <w:name w:val="Char"/>
    <w:basedOn w:val="1"/>
    <w:autoRedefine/>
    <w:qFormat/>
    <w:uiPriority w:val="0"/>
    <w:rPr>
      <w:rFonts w:ascii="Times New Roman" w:hAnsi="Times New Roman" w:eastAsia="宋体" w:cs="Times New Roman"/>
      <w:szCs w:val="24"/>
    </w:rPr>
  </w:style>
  <w:style w:type="paragraph" w:customStyle="1" w:styleId="256">
    <w:name w:val="章"/>
    <w:basedOn w:val="1"/>
    <w:next w:val="3"/>
    <w:autoRedefine/>
    <w:qFormat/>
    <w:uiPriority w:val="0"/>
    <w:pPr>
      <w:autoSpaceDE w:val="0"/>
      <w:autoSpaceDN w:val="0"/>
      <w:adjustRightInd w:val="0"/>
      <w:spacing w:line="400" w:lineRule="exact"/>
      <w:ind w:firstLine="454"/>
      <w:jc w:val="left"/>
      <w:textAlignment w:val="baseline"/>
    </w:pPr>
    <w:rPr>
      <w:rFonts w:ascii="Times New Roman" w:hAnsi="Times New Roman" w:eastAsia="宋体" w:cs="Times New Roman"/>
      <w:kern w:val="0"/>
      <w:sz w:val="24"/>
      <w:szCs w:val="20"/>
    </w:rPr>
  </w:style>
  <w:style w:type="paragraph" w:customStyle="1" w:styleId="257">
    <w:name w:val="目次、标准名称标题"/>
    <w:basedOn w:val="233"/>
    <w:next w:val="4"/>
    <w:autoRedefine/>
    <w:qFormat/>
    <w:uiPriority w:val="0"/>
    <w:pPr>
      <w:tabs>
        <w:tab w:val="left" w:pos="1140"/>
      </w:tabs>
      <w:spacing w:line="460" w:lineRule="exact"/>
      <w:ind w:left="0" w:firstLine="0"/>
    </w:pPr>
  </w:style>
  <w:style w:type="paragraph" w:customStyle="1" w:styleId="258">
    <w:name w:val="xl45"/>
    <w:basedOn w:val="1"/>
    <w:autoRedefine/>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59">
    <w:name w:val="xl50"/>
    <w:basedOn w:val="1"/>
    <w:autoRedefine/>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60">
    <w:name w:val="xl2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261">
    <w:name w:val="样式 标题 2 + 黑体 段前: 10.25 磅 段后: 10.25 磅 行距: 单倍行距"/>
    <w:basedOn w:val="2"/>
    <w:autoRedefine/>
    <w:qFormat/>
    <w:uiPriority w:val="0"/>
    <w:pPr>
      <w:numPr>
        <w:ilvl w:val="1"/>
        <w:numId w:val="15"/>
      </w:numPr>
      <w:tabs>
        <w:tab w:val="left" w:pos="1276"/>
      </w:tabs>
      <w:adjustRightInd w:val="0"/>
      <w:spacing w:beforeLines="50" w:afterLines="50" w:line="240" w:lineRule="auto"/>
      <w:jc w:val="left"/>
      <w:textAlignment w:val="baseline"/>
    </w:pPr>
    <w:rPr>
      <w:rFonts w:ascii="黑体" w:hAnsi="黑体" w:eastAsia="黑体" w:cs="Times New Roman"/>
      <w:bCs w:val="0"/>
      <w:kern w:val="0"/>
      <w:sz w:val="24"/>
      <w:szCs w:val="20"/>
    </w:rPr>
  </w:style>
  <w:style w:type="paragraph" w:customStyle="1" w:styleId="26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6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64">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265">
    <w:name w:val="列项——"/>
    <w:autoRedefine/>
    <w:qFormat/>
    <w:uiPriority w:val="0"/>
    <w:pPr>
      <w:widowControl w:val="0"/>
      <w:numPr>
        <w:ilvl w:val="0"/>
        <w:numId w:val="16"/>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266">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267">
    <w:name w:val="图说"/>
    <w:basedOn w:val="1"/>
    <w:autoRedefine/>
    <w:qFormat/>
    <w:uiPriority w:val="0"/>
    <w:pPr>
      <w:topLinePunct/>
      <w:spacing w:before="40" w:after="160"/>
      <w:jc w:val="center"/>
    </w:pPr>
    <w:rPr>
      <w:rFonts w:ascii="Times New Roman" w:hAnsi="Times New Roman" w:eastAsia="宋体" w:cs="宋体"/>
      <w:sz w:val="18"/>
      <w:szCs w:val="20"/>
    </w:rPr>
  </w:style>
  <w:style w:type="paragraph" w:customStyle="1" w:styleId="268">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69">
    <w:name w:val="节小标题"/>
    <w:basedOn w:val="9"/>
    <w:autoRedefine/>
    <w:qFormat/>
    <w:uiPriority w:val="0"/>
    <w:pPr>
      <w:numPr>
        <w:ilvl w:val="7"/>
        <w:numId w:val="15"/>
      </w:numPr>
      <w:tabs>
        <w:tab w:val="left" w:pos="6378"/>
      </w:tabs>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270">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71">
    <w:name w:val="四级条标题"/>
    <w:basedOn w:val="181"/>
    <w:next w:val="4"/>
    <w:qFormat/>
    <w:uiPriority w:val="0"/>
    <w:pPr>
      <w:tabs>
        <w:tab w:val="clear" w:pos="360"/>
      </w:tabs>
      <w:ind w:left="0"/>
      <w:outlineLvl w:val="5"/>
    </w:pPr>
  </w:style>
  <w:style w:type="paragraph" w:customStyle="1" w:styleId="272">
    <w:name w:val="数字编号列项（二级）"/>
    <w:autoRedefine/>
    <w:qFormat/>
    <w:uiPriority w:val="0"/>
    <w:pPr>
      <w:jc w:val="both"/>
    </w:pPr>
    <w:rPr>
      <w:rFonts w:ascii="宋体" w:hAnsi="Times New Roman" w:eastAsia="宋体" w:cs="Times New Roman"/>
      <w:sz w:val="21"/>
      <w:lang w:val="en-US" w:eastAsia="zh-CN" w:bidi="ar-SA"/>
    </w:rPr>
  </w:style>
  <w:style w:type="paragraph" w:customStyle="1" w:styleId="273">
    <w:name w:val="xl51"/>
    <w:basedOn w:val="1"/>
    <w:autoRedefine/>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4">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5">
    <w:name w:val="标题 3 + 小四 段前: 0 磅 段后: 0 磅 行距: 1.5 倍行距"/>
    <w:basedOn w:val="4"/>
    <w:next w:val="4"/>
    <w:autoRedefine/>
    <w:qFormat/>
    <w:uiPriority w:val="0"/>
    <w:pPr>
      <w:numPr>
        <w:ilvl w:val="2"/>
        <w:numId w:val="15"/>
      </w:numPr>
      <w:tabs>
        <w:tab w:val="left" w:pos="2126"/>
      </w:tabs>
      <w:spacing w:before="0" w:after="0" w:line="360" w:lineRule="auto"/>
      <w:jc w:val="center"/>
    </w:pPr>
    <w:rPr>
      <w:rFonts w:eastAsia="黑体" w:cs="宋体"/>
      <w:b w:val="0"/>
      <w:sz w:val="24"/>
      <w:szCs w:val="20"/>
    </w:rPr>
  </w:style>
  <w:style w:type="paragraph" w:customStyle="1" w:styleId="27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7">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78">
    <w:name w:val="样式 行距: 1.5 倍行距"/>
    <w:basedOn w:val="1"/>
    <w:autoRedefine/>
    <w:qFormat/>
    <w:uiPriority w:val="0"/>
    <w:pPr>
      <w:spacing w:line="360" w:lineRule="auto"/>
    </w:pPr>
    <w:rPr>
      <w:rFonts w:ascii="Times New Roman" w:hAnsi="Times New Roman" w:eastAsia="宋体" w:cs="宋体"/>
      <w:szCs w:val="20"/>
    </w:rPr>
  </w:style>
  <w:style w:type="paragraph" w:customStyle="1" w:styleId="279">
    <w:name w:val="样式4"/>
    <w:basedOn w:val="226"/>
    <w:autoRedefine/>
    <w:qFormat/>
    <w:uiPriority w:val="0"/>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281">
    <w:name w:val="抬头"/>
    <w:basedOn w:val="1"/>
    <w:autoRedefine/>
    <w:qFormat/>
    <w:uiPriority w:val="0"/>
    <w:pPr>
      <w:spacing w:beforeLines="50" w:line="360" w:lineRule="auto"/>
    </w:pPr>
    <w:rPr>
      <w:rFonts w:ascii="宋体" w:hAnsi="Times New Roman" w:eastAsia="宋体" w:cs="Times New Roman"/>
      <w:sz w:val="24"/>
      <w:szCs w:val="24"/>
    </w:rPr>
  </w:style>
  <w:style w:type="paragraph" w:customStyle="1" w:styleId="282">
    <w:name w:val="Char Char Char Char Char Char Char"/>
    <w:basedOn w:val="1"/>
    <w:autoRedefine/>
    <w:qFormat/>
    <w:uiPriority w:val="0"/>
    <w:rPr>
      <w:rFonts w:ascii="Times New Roman" w:hAnsi="Times New Roman" w:eastAsia="宋体" w:cs="Times New Roman"/>
      <w:szCs w:val="24"/>
    </w:rPr>
  </w:style>
  <w:style w:type="paragraph" w:customStyle="1" w:styleId="283">
    <w:name w:val="_Style 11"/>
    <w:basedOn w:val="1"/>
    <w:qFormat/>
    <w:uiPriority w:val="0"/>
    <w:pPr>
      <w:autoSpaceDE w:val="0"/>
      <w:autoSpaceDN w:val="0"/>
      <w:adjustRightInd w:val="0"/>
      <w:spacing w:line="400" w:lineRule="exact"/>
      <w:jc w:val="left"/>
      <w:textAlignment w:val="baseline"/>
    </w:pPr>
    <w:rPr>
      <w:rFonts w:ascii="楷体_GB2312" w:hAnsi="Arial" w:eastAsia="楷体_GB2312" w:cs="Times New Roman"/>
      <w:kern w:val="0"/>
      <w:sz w:val="24"/>
      <w:szCs w:val="20"/>
    </w:rPr>
  </w:style>
  <w:style w:type="paragraph" w:customStyle="1" w:styleId="284">
    <w:name w:val="¨¨¡À¨º???¡À?"/>
    <w:basedOn w:val="1"/>
    <w:autoRedefine/>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85">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86">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87">
    <w:name w:val="图形标题"/>
    <w:basedOn w:val="20"/>
    <w:qFormat/>
    <w:uiPriority w:val="0"/>
    <w:pPr>
      <w:spacing w:before="0" w:after="0"/>
      <w:jc w:val="center"/>
    </w:pPr>
    <w:rPr>
      <w:rFonts w:ascii="宋体" w:hAnsi="Plotter" w:eastAsia="宋体"/>
      <w:sz w:val="21"/>
    </w:rPr>
  </w:style>
  <w:style w:type="paragraph" w:customStyle="1" w:styleId="288">
    <w:name w:val="Char1"/>
    <w:basedOn w:val="1"/>
    <w:qFormat/>
    <w:uiPriority w:val="0"/>
    <w:rPr>
      <w:rFonts w:ascii="宋体" w:hAnsi="宋体" w:eastAsia="宋体" w:cs="Times New Roman"/>
      <w:b/>
      <w:color w:val="000000"/>
      <w:sz w:val="24"/>
      <w:szCs w:val="24"/>
    </w:rPr>
  </w:style>
  <w:style w:type="paragraph" w:customStyle="1" w:styleId="289">
    <w:name w:val="样式7"/>
    <w:basedOn w:val="1"/>
    <w:qFormat/>
    <w:uiPriority w:val="0"/>
    <w:pPr>
      <w:numPr>
        <w:ilvl w:val="0"/>
        <w:numId w:val="17"/>
      </w:numPr>
      <w:tabs>
        <w:tab w:val="left" w:pos="840"/>
      </w:tabs>
    </w:pPr>
    <w:rPr>
      <w:rFonts w:ascii="Times New Roman" w:hAnsi="Times New Roman" w:eastAsia="宋体" w:cs="Times New Roman"/>
      <w:szCs w:val="24"/>
    </w:rPr>
  </w:style>
  <w:style w:type="paragraph" w:customStyle="1" w:styleId="29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6"/>
      <w:szCs w:val="16"/>
    </w:rPr>
  </w:style>
  <w:style w:type="paragraph" w:customStyle="1" w:styleId="294">
    <w:name w:val="Char3"/>
    <w:basedOn w:val="1"/>
    <w:qFormat/>
    <w:uiPriority w:val="0"/>
    <w:rPr>
      <w:rFonts w:ascii="Times New Roman" w:hAnsi="Times New Roman" w:eastAsia="宋体" w:cs="Times New Roman"/>
      <w:szCs w:val="20"/>
    </w:rPr>
  </w:style>
  <w:style w:type="paragraph" w:customStyle="1" w:styleId="295">
    <w:name w:val="样式 标题 2标题 2 Char + 宋体"/>
    <w:basedOn w:val="2"/>
    <w:qFormat/>
    <w:uiPriority w:val="0"/>
    <w:pPr>
      <w:keepNext w:val="0"/>
      <w:numPr>
        <w:ilvl w:val="1"/>
        <w:numId w:val="13"/>
      </w:numPr>
      <w:tabs>
        <w:tab w:val="left" w:pos="1320"/>
      </w:tabs>
      <w:adjustRightInd w:val="0"/>
      <w:snapToGrid w:val="0"/>
      <w:spacing w:before="0" w:after="0" w:line="360" w:lineRule="auto"/>
    </w:pPr>
    <w:rPr>
      <w:rFonts w:ascii="宋体" w:hAnsi="Times New Roman" w:eastAsia="宋体" w:cs="Times New Roman"/>
      <w:b w:val="0"/>
      <w:bCs w:val="0"/>
      <w:kern w:val="0"/>
      <w:sz w:val="21"/>
      <w:szCs w:val="21"/>
    </w:rPr>
  </w:style>
  <w:style w:type="paragraph" w:customStyle="1" w:styleId="296">
    <w:name w:val="CM33"/>
    <w:basedOn w:val="192"/>
    <w:next w:val="192"/>
    <w:qFormat/>
    <w:uiPriority w:val="0"/>
    <w:pPr>
      <w:spacing w:after="205"/>
    </w:pPr>
    <w:rPr>
      <w:rFonts w:cs="Times New Roman"/>
      <w:color w:val="auto"/>
    </w:rPr>
  </w:style>
  <w:style w:type="paragraph" w:customStyle="1" w:styleId="297">
    <w:name w:val="样式 标题 1 + 首行缩进:  2 字符 段前: 1 行 段后: 1 行"/>
    <w:basedOn w:val="3"/>
    <w:qFormat/>
    <w:uiPriority w:val="0"/>
    <w:pPr>
      <w:keepLines/>
      <w:numPr>
        <w:ilvl w:val="0"/>
        <w:numId w:val="15"/>
      </w:numPr>
      <w:tabs>
        <w:tab w:val="left" w:pos="425"/>
        <w:tab w:val="clear" w:pos="720"/>
      </w:tabs>
      <w:snapToGrid/>
      <w:spacing w:beforeLines="100" w:afterLines="100" w:line="360" w:lineRule="auto"/>
    </w:pPr>
    <w:rPr>
      <w:rFonts w:ascii="Times New Roman"/>
      <w:b/>
      <w:kern w:val="44"/>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99">
    <w:name w:val="列出段落1"/>
    <w:basedOn w:val="1"/>
    <w:autoRedefine/>
    <w:qFormat/>
    <w:uiPriority w:val="34"/>
    <w:pPr>
      <w:ind w:firstLine="420" w:firstLineChars="200"/>
    </w:pPr>
    <w:rPr>
      <w:rFonts w:ascii="Calibri" w:hAnsi="Calibri" w:eastAsia="宋体" w:cs="Times New Roman"/>
    </w:rPr>
  </w:style>
  <w:style w:type="paragraph" w:customStyle="1" w:styleId="300">
    <w:name w:val="font6"/>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301">
    <w:name w:val="Char Char Char Char Char Char Char Char Char1 Char"/>
    <w:basedOn w:val="1"/>
    <w:qFormat/>
    <w:uiPriority w:val="0"/>
    <w:rPr>
      <w:rFonts w:ascii="Tahoma" w:hAnsi="Tahoma" w:eastAsia="宋体" w:cs="Times New Roman"/>
      <w:sz w:val="24"/>
      <w:szCs w:val="20"/>
    </w:rPr>
  </w:style>
  <w:style w:type="paragraph" w:customStyle="1" w:styleId="30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03">
    <w:name w:val="CM23"/>
    <w:basedOn w:val="192"/>
    <w:next w:val="192"/>
    <w:qFormat/>
    <w:uiPriority w:val="0"/>
    <w:pPr>
      <w:spacing w:line="468" w:lineRule="atLeast"/>
    </w:pPr>
    <w:rPr>
      <w:rFonts w:cs="Times New Roman"/>
      <w:color w:val="auto"/>
    </w:rPr>
  </w:style>
  <w:style w:type="paragraph" w:customStyle="1" w:styleId="304">
    <w:name w:val="实施日期"/>
    <w:basedOn w:val="1"/>
    <w:qFormat/>
    <w:uiPriority w:val="0"/>
    <w:pPr>
      <w:widowControl/>
      <w:jc w:val="right"/>
    </w:pPr>
    <w:rPr>
      <w:rFonts w:ascii="Times New Roman" w:hAnsi="Times New Roman" w:eastAsia="黑体" w:cs="Times New Roman"/>
      <w:kern w:val="0"/>
      <w:sz w:val="28"/>
      <w:szCs w:val="20"/>
    </w:rPr>
  </w:style>
  <w:style w:type="paragraph" w:customStyle="1" w:styleId="30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307">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308">
    <w:name w:val="三级无标题条"/>
    <w:basedOn w:val="1"/>
    <w:qFormat/>
    <w:uiPriority w:val="0"/>
    <w:pPr>
      <w:numPr>
        <w:ilvl w:val="4"/>
        <w:numId w:val="14"/>
      </w:numPr>
    </w:pPr>
    <w:rPr>
      <w:rFonts w:ascii="Times New Roman" w:hAnsi="Times New Roman" w:eastAsia="宋体" w:cs="Times New Roman"/>
      <w:szCs w:val="24"/>
    </w:rPr>
  </w:style>
  <w:style w:type="paragraph" w:customStyle="1" w:styleId="309">
    <w:name w:val="样式 标题 5 + 右侧:  1 字符"/>
    <w:basedOn w:val="6"/>
    <w:qFormat/>
    <w:uiPriority w:val="0"/>
    <w:pPr>
      <w:ind w:right="210"/>
    </w:pPr>
    <w:rPr>
      <w:bCs w:val="0"/>
      <w:szCs w:val="20"/>
    </w:rPr>
  </w:style>
  <w:style w:type="paragraph" w:customStyle="1" w:styleId="310">
    <w:name w:val="前言首行"/>
    <w:basedOn w:val="1"/>
    <w:autoRedefine/>
    <w:qFormat/>
    <w:uiPriority w:val="0"/>
    <w:pPr>
      <w:spacing w:after="120"/>
      <w:jc w:val="center"/>
    </w:pPr>
    <w:rPr>
      <w:rFonts w:ascii="Times New Roman" w:hAnsi="Times New Roman" w:eastAsia="黑体" w:cs="宋体"/>
      <w:b/>
      <w:bCs/>
      <w:sz w:val="32"/>
      <w:szCs w:val="20"/>
    </w:rPr>
  </w:style>
  <w:style w:type="paragraph" w:customStyle="1" w:styleId="311">
    <w:name w:val="无标题条"/>
    <w:next w:val="4"/>
    <w:autoRedefine/>
    <w:qFormat/>
    <w:uiPriority w:val="0"/>
    <w:pPr>
      <w:jc w:val="both"/>
    </w:pPr>
    <w:rPr>
      <w:rFonts w:ascii="Times New Roman" w:hAnsi="Times New Roman" w:eastAsia="宋体" w:cs="Times New Roman"/>
      <w:sz w:val="21"/>
      <w:lang w:val="en-US" w:eastAsia="zh-CN" w:bidi="ar-SA"/>
    </w:rPr>
  </w:style>
  <w:style w:type="paragraph" w:customStyle="1" w:styleId="312">
    <w:name w:val="默认段落字体 Para Char Char Char Char Char"/>
    <w:basedOn w:val="1"/>
    <w:autoRedefine/>
    <w:qFormat/>
    <w:uiPriority w:val="0"/>
    <w:rPr>
      <w:rFonts w:ascii="宋体" w:hAnsi="宋体" w:eastAsia="宋体" w:cs="宋体"/>
      <w:b/>
      <w:bCs/>
      <w:color w:val="000000"/>
      <w:sz w:val="24"/>
      <w:szCs w:val="24"/>
    </w:rPr>
  </w:style>
  <w:style w:type="paragraph" w:customStyle="1" w:styleId="313">
    <w:name w:val="CM3"/>
    <w:basedOn w:val="192"/>
    <w:next w:val="192"/>
    <w:autoRedefine/>
    <w:qFormat/>
    <w:uiPriority w:val="0"/>
    <w:pPr>
      <w:spacing w:line="468" w:lineRule="atLeast"/>
    </w:pPr>
    <w:rPr>
      <w:rFonts w:cs="Times New Roman"/>
      <w:color w:val="auto"/>
    </w:rPr>
  </w:style>
  <w:style w:type="paragraph" w:customStyle="1" w:styleId="314">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315">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316">
    <w:name w:val="五级条标题"/>
    <w:basedOn w:val="1"/>
    <w:next w:val="4"/>
    <w:qFormat/>
    <w:uiPriority w:val="0"/>
    <w:pPr>
      <w:widowControl/>
      <w:outlineLvl w:val="6"/>
    </w:pPr>
    <w:rPr>
      <w:rFonts w:ascii="黑体" w:hAnsi="Times New Roman" w:eastAsia="黑体" w:cs="Times New Roman"/>
      <w:kern w:val="0"/>
      <w:szCs w:val="20"/>
    </w:rPr>
  </w:style>
  <w:style w:type="paragraph" w:customStyle="1" w:styleId="31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eastAsia="宋体" w:cs="Times New Roman"/>
      <w:kern w:val="0"/>
      <w:sz w:val="24"/>
      <w:szCs w:val="20"/>
      <w:lang w:val="en-GB"/>
    </w:rPr>
  </w:style>
  <w:style w:type="paragraph" w:customStyle="1" w:styleId="318">
    <w:name w:val="表格一"/>
    <w:basedOn w:val="54"/>
    <w:qFormat/>
    <w:uiPriority w:val="0"/>
    <w:pPr>
      <w:pBdr>
        <w:bottom w:val="none" w:color="auto" w:sz="0" w:space="0"/>
      </w:pBdr>
      <w:tabs>
        <w:tab w:val="clear" w:pos="4153"/>
        <w:tab w:val="clear" w:pos="8306"/>
      </w:tabs>
      <w:autoSpaceDE w:val="0"/>
      <w:autoSpaceDN w:val="0"/>
      <w:adjustRightInd w:val="0"/>
      <w:snapToGrid/>
    </w:pPr>
    <w:rPr>
      <w:rFonts w:ascii="楷体_GB2312" w:hAnsi="华文楷体" w:eastAsia="楷体_GB2312"/>
      <w:b/>
      <w:sz w:val="24"/>
      <w:szCs w:val="24"/>
    </w:rPr>
  </w:style>
  <w:style w:type="paragraph" w:customStyle="1" w:styleId="31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20">
    <w:name w:val="发布日期"/>
    <w:qFormat/>
    <w:uiPriority w:val="0"/>
    <w:rPr>
      <w:rFonts w:ascii="Times New Roman" w:hAnsi="Times New Roman" w:eastAsia="黑体" w:cs="Times New Roman"/>
      <w:sz w:val="28"/>
      <w:lang w:val="en-US" w:eastAsia="zh-CN" w:bidi="ar-SA"/>
    </w:rPr>
  </w:style>
  <w:style w:type="paragraph" w:customStyle="1" w:styleId="321">
    <w:name w:val="正文2"/>
    <w:basedOn w:val="227"/>
    <w:qFormat/>
    <w:uiPriority w:val="0"/>
    <w:pPr>
      <w:tabs>
        <w:tab w:val="left" w:pos="2160"/>
        <w:tab w:val="clear" w:pos="360"/>
      </w:tabs>
      <w:adjustRightInd w:val="0"/>
      <w:spacing w:line="490" w:lineRule="exact"/>
      <w:jc w:val="center"/>
      <w:textAlignment w:val="baseline"/>
      <w:outlineLvl w:val="9"/>
    </w:pPr>
    <w:rPr>
      <w:rFonts w:ascii="仿宋_GB2312" w:hAnsi="Times New Roman" w:eastAsia="仿宋_GB2312"/>
      <w:sz w:val="34"/>
      <w:szCs w:val="20"/>
    </w:rPr>
  </w:style>
  <w:style w:type="paragraph" w:customStyle="1" w:styleId="32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323">
    <w:name w:val="样式 首行缩进:  0 厘米 行距: 单倍行距 Char"/>
    <w:basedOn w:val="1"/>
    <w:qFormat/>
    <w:uiPriority w:val="0"/>
    <w:pPr>
      <w:adjustRightInd w:val="0"/>
      <w:textAlignment w:val="baseline"/>
    </w:pPr>
    <w:rPr>
      <w:rFonts w:ascii="Times New Roman" w:hAnsi="Times New Roman" w:eastAsia="宋体" w:cs="Times New Roman"/>
      <w:kern w:val="0"/>
      <w:szCs w:val="21"/>
    </w:rPr>
  </w:style>
  <w:style w:type="paragraph" w:customStyle="1" w:styleId="324">
    <w:name w:val="_Style 101"/>
    <w:basedOn w:val="1"/>
    <w:qFormat/>
    <w:uiPriority w:val="0"/>
    <w:rPr>
      <w:rFonts w:ascii="Times New Roman" w:hAnsi="Times New Roman" w:eastAsia="宋体" w:cs="Times New Roman"/>
      <w:szCs w:val="24"/>
    </w:rPr>
  </w:style>
  <w:style w:type="paragraph" w:customStyle="1" w:styleId="325">
    <w:name w:val="样式2"/>
    <w:basedOn w:val="227"/>
    <w:qFormat/>
    <w:uiPriority w:val="0"/>
    <w:pPr>
      <w:tabs>
        <w:tab w:val="left" w:pos="2160"/>
        <w:tab w:val="clear" w:pos="360"/>
      </w:tabs>
      <w:adjustRightInd w:val="0"/>
      <w:spacing w:before="320" w:after="160" w:line="490" w:lineRule="exact"/>
      <w:textAlignment w:val="baseline"/>
      <w:outlineLvl w:val="9"/>
    </w:pPr>
    <w:rPr>
      <w:rFonts w:ascii="黑体" w:hAnsi="Times New Roman" w:eastAsia="黑体" w:cs="黑体"/>
      <w:sz w:val="28"/>
      <w:szCs w:val="28"/>
    </w:rPr>
  </w:style>
  <w:style w:type="paragraph" w:customStyle="1" w:styleId="326">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character" w:customStyle="1" w:styleId="327">
    <w:name w:val="未处理的提及1"/>
    <w:basedOn w:val="86"/>
    <w:autoRedefine/>
    <w:semiHidden/>
    <w:unhideWhenUsed/>
    <w:qFormat/>
    <w:uiPriority w:val="99"/>
    <w:rPr>
      <w:color w:val="605E5C"/>
      <w:shd w:val="clear" w:color="auto" w:fill="E1DFDD"/>
    </w:rPr>
  </w:style>
  <w:style w:type="paragraph" w:customStyle="1" w:styleId="3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9">
    <w:name w:val="TOC 标题1"/>
    <w:basedOn w:val="3"/>
    <w:next w:val="1"/>
    <w:unhideWhenUsed/>
    <w:qFormat/>
    <w:uiPriority w:val="39"/>
    <w:pPr>
      <w:keepLines/>
      <w:widowControl/>
      <w:snapToGrid/>
      <w:spacing w:before="240" w:line="259" w:lineRule="auto"/>
      <w:jc w:val="left"/>
      <w:outlineLvl w:val="9"/>
    </w:pPr>
    <w:rPr>
      <w:rFonts w:asciiTheme="majorHAnsi" w:hAnsiTheme="majorHAnsi" w:eastAsiaTheme="majorEastAsia" w:cstheme="majorBidi"/>
      <w:color w:val="2F5597" w:themeColor="accent1" w:themeShade="BF"/>
      <w:sz w:val="32"/>
      <w:szCs w:val="32"/>
    </w:rPr>
  </w:style>
  <w:style w:type="paragraph" w:customStyle="1" w:styleId="33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F13C63-1E58-481A-8C27-3AB5FCE75E39}">
  <ds:schemaRefs/>
</ds:datastoreItem>
</file>

<file path=docProps/app.xml><?xml version="1.0" encoding="utf-8"?>
<Properties xmlns="http://schemas.openxmlformats.org/officeDocument/2006/extended-properties" xmlns:vt="http://schemas.openxmlformats.org/officeDocument/2006/docPropsVTypes">
  <Template>Normal</Template>
  <Pages>39</Pages>
  <Words>17013</Words>
  <Characters>18680</Characters>
  <Lines>151</Lines>
  <Paragraphs>42</Paragraphs>
  <TotalTime>3</TotalTime>
  <ScaleCrop>false</ScaleCrop>
  <LinksUpToDate>false</LinksUpToDate>
  <CharactersWithSpaces>20231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2022-06-10T01:47:00Z</dcterms:created>
  <dc:creator>经营管理部</dc:creator>
  <cp:lastModifiedBy>雅客</cp:lastModifiedBy>
  <cp:lastPrinted>2021-11-18T02:35:00Z</cp:lastPrinted>
  <dcterms:modified xsi:type="dcterms:W3CDTF">2024-09-28T13:12:05Z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23307212BB124C12B43164284D1A25C0_13</vt:lpwstr>
  </property>
</Properties>
</file>