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eastAsiaTheme="minorEastAsia"/>
          <w:b/>
          <w:bCs/>
          <w:color w:val="auto"/>
          <w:sz w:val="24"/>
          <w:szCs w:val="36"/>
          <w:highlight w:val="none"/>
        </w:rPr>
      </w:pPr>
    </w:p>
    <w:p>
      <w:pPr>
        <w:jc w:val="center"/>
        <w:rPr>
          <w:rFonts w:hint="eastAsia" w:asciiTheme="minorEastAsia" w:hAnsiTheme="minorEastAsia" w:eastAsiaTheme="minorEastAsia"/>
          <w:color w:val="auto"/>
          <w:sz w:val="48"/>
          <w:highlight w:val="none"/>
          <w:lang w:eastAsia="zh-CN"/>
        </w:rPr>
      </w:pPr>
    </w:p>
    <w:p>
      <w:pPr>
        <w:jc w:val="center"/>
        <w:rPr>
          <w:rFonts w:hint="eastAsia" w:asciiTheme="minorEastAsia" w:hAnsiTheme="minorEastAsia" w:eastAsiaTheme="minorEastAsia"/>
          <w:color w:val="auto"/>
          <w:sz w:val="48"/>
          <w:highlight w:val="none"/>
        </w:rPr>
      </w:pPr>
      <w:r>
        <w:rPr>
          <w:rFonts w:hint="eastAsia" w:asciiTheme="minorEastAsia" w:hAnsiTheme="minorEastAsia" w:eastAsiaTheme="minorEastAsia"/>
          <w:color w:val="auto"/>
          <w:sz w:val="48"/>
          <w:highlight w:val="none"/>
          <w:lang w:eastAsia="zh-CN"/>
        </w:rPr>
        <w:t>个旧云能投绿色能源开发有限公司</w:t>
      </w:r>
    </w:p>
    <w:p>
      <w:pPr>
        <w:jc w:val="center"/>
        <w:rPr>
          <w:rFonts w:hint="eastAsia" w:asciiTheme="minorEastAsia" w:hAnsiTheme="minorEastAsia" w:eastAsiaTheme="minorEastAsia"/>
          <w:color w:val="auto"/>
          <w:sz w:val="48"/>
          <w:highlight w:val="none"/>
          <w:lang w:eastAsia="zh-CN"/>
        </w:rPr>
      </w:pPr>
      <w:r>
        <w:rPr>
          <w:rFonts w:hint="eastAsia" w:asciiTheme="minorEastAsia" w:hAnsiTheme="minorEastAsia" w:eastAsiaTheme="minorEastAsia"/>
          <w:color w:val="auto"/>
          <w:sz w:val="48"/>
          <w:highlight w:val="none"/>
        </w:rPr>
        <w:t>背阴山尾矿库分布式光伏发电项目</w:t>
      </w:r>
      <w:r>
        <w:rPr>
          <w:rFonts w:hint="eastAsia" w:asciiTheme="minorEastAsia" w:hAnsiTheme="minorEastAsia" w:eastAsiaTheme="minorEastAsia"/>
          <w:color w:val="auto"/>
          <w:sz w:val="48"/>
          <w:highlight w:val="none"/>
          <w:lang w:eastAsia="zh-CN"/>
        </w:rPr>
        <w:t>送出</w:t>
      </w:r>
    </w:p>
    <w:p>
      <w:pPr>
        <w:jc w:val="center"/>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sz w:val="48"/>
          <w:highlight w:val="none"/>
          <w:lang w:eastAsia="zh-CN"/>
        </w:rPr>
        <w:t>线路设计施工总承包工程</w:t>
      </w: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autoSpaceDE w:val="0"/>
        <w:autoSpaceDN w:val="0"/>
        <w:adjustRightInd w:val="0"/>
        <w:spacing w:line="360" w:lineRule="auto"/>
        <w:jc w:val="center"/>
        <w:rPr>
          <w:rFonts w:asciiTheme="minorEastAsia" w:hAnsiTheme="minorEastAsia" w:eastAsiaTheme="minorEastAsia"/>
          <w:b/>
          <w:bCs/>
          <w:color w:val="auto"/>
          <w:kern w:val="0"/>
          <w:sz w:val="84"/>
          <w:szCs w:val="84"/>
          <w:highlight w:val="none"/>
        </w:rPr>
      </w:pPr>
      <w:r>
        <w:rPr>
          <w:rFonts w:hint="eastAsia" w:asciiTheme="minorEastAsia" w:hAnsiTheme="minorEastAsia" w:eastAsiaTheme="minorEastAsia"/>
          <w:b/>
          <w:bCs/>
          <w:color w:val="auto"/>
          <w:kern w:val="0"/>
          <w:sz w:val="84"/>
          <w:szCs w:val="84"/>
          <w:highlight w:val="none"/>
        </w:rPr>
        <w:t>竞争性</w:t>
      </w:r>
      <w:r>
        <w:rPr>
          <w:rFonts w:asciiTheme="minorEastAsia" w:hAnsiTheme="minorEastAsia" w:eastAsiaTheme="minorEastAsia"/>
          <w:b/>
          <w:bCs/>
          <w:color w:val="auto"/>
          <w:kern w:val="0"/>
          <w:sz w:val="84"/>
          <w:szCs w:val="84"/>
          <w:highlight w:val="none"/>
        </w:rPr>
        <w:t>谈判文件</w:t>
      </w:r>
    </w:p>
    <w:p>
      <w:pPr>
        <w:autoSpaceDE w:val="0"/>
        <w:autoSpaceDN w:val="0"/>
        <w:adjustRightInd w:val="0"/>
        <w:spacing w:line="360" w:lineRule="auto"/>
        <w:jc w:val="left"/>
        <w:rPr>
          <w:rFonts w:asciiTheme="minorEastAsia" w:hAnsiTheme="minorEastAsia" w:eastAsiaTheme="minorEastAsia"/>
          <w:color w:val="auto"/>
          <w:kern w:val="0"/>
          <w:sz w:val="20"/>
          <w:highlight w:val="none"/>
        </w:rPr>
      </w:pPr>
    </w:p>
    <w:p>
      <w:pPr>
        <w:jc w:val="center"/>
        <w:rPr>
          <w:rFonts w:hint="default" w:asciiTheme="minorEastAsia" w:hAnsiTheme="minorEastAsia" w:eastAsiaTheme="minorEastAsia"/>
          <w:b/>
          <w:bCs/>
          <w:color w:val="auto"/>
          <w:kern w:val="0"/>
          <w:sz w:val="32"/>
          <w:szCs w:val="32"/>
          <w:highlight w:val="none"/>
          <w:lang w:val="en-US" w:eastAsia="zh-CN"/>
        </w:rPr>
      </w:pPr>
      <w:r>
        <w:rPr>
          <w:rFonts w:asciiTheme="minorEastAsia" w:hAnsiTheme="minorEastAsia" w:eastAsiaTheme="minorEastAsia"/>
          <w:b/>
          <w:bCs/>
          <w:color w:val="auto"/>
          <w:kern w:val="0"/>
          <w:sz w:val="32"/>
          <w:szCs w:val="32"/>
          <w:highlight w:val="none"/>
        </w:rPr>
        <w:t>项目编号：</w:t>
      </w:r>
      <w:r>
        <w:rPr>
          <w:rFonts w:hint="eastAsia" w:asciiTheme="minorEastAsia" w:hAnsiTheme="minorEastAsia" w:eastAsiaTheme="minorEastAsia"/>
          <w:b/>
          <w:bCs/>
          <w:color w:val="auto"/>
          <w:kern w:val="0"/>
          <w:sz w:val="32"/>
          <w:szCs w:val="32"/>
          <w:highlight w:val="none"/>
          <w:lang w:val="en-US" w:eastAsia="zh-CN"/>
        </w:rPr>
        <w:t>GJYNT-GC-202501</w:t>
      </w:r>
    </w:p>
    <w:p>
      <w:pPr>
        <w:autoSpaceDE w:val="0"/>
        <w:autoSpaceDN w:val="0"/>
        <w:adjustRightInd w:val="0"/>
        <w:spacing w:line="360" w:lineRule="auto"/>
        <w:jc w:val="left"/>
        <w:rPr>
          <w:rFonts w:asciiTheme="minorEastAsia" w:hAnsiTheme="minorEastAsia" w:eastAsiaTheme="minorEastAsia"/>
          <w:color w:val="auto"/>
          <w:kern w:val="0"/>
          <w:sz w:val="20"/>
          <w:highlight w:val="none"/>
        </w:rPr>
      </w:pPr>
    </w:p>
    <w:p>
      <w:pPr>
        <w:autoSpaceDE w:val="0"/>
        <w:autoSpaceDN w:val="0"/>
        <w:adjustRightInd w:val="0"/>
        <w:spacing w:line="360" w:lineRule="auto"/>
        <w:jc w:val="left"/>
        <w:rPr>
          <w:rFonts w:asciiTheme="minorEastAsia" w:hAnsiTheme="minorEastAsia" w:eastAsiaTheme="minorEastAsia"/>
          <w:color w:val="auto"/>
          <w:kern w:val="0"/>
          <w:sz w:val="20"/>
          <w:highlight w:val="none"/>
        </w:rPr>
      </w:pPr>
    </w:p>
    <w:p>
      <w:pPr>
        <w:autoSpaceDE w:val="0"/>
        <w:autoSpaceDN w:val="0"/>
        <w:adjustRightInd w:val="0"/>
        <w:spacing w:line="360" w:lineRule="auto"/>
        <w:jc w:val="left"/>
        <w:rPr>
          <w:rFonts w:asciiTheme="minorEastAsia" w:hAnsiTheme="minorEastAsia" w:eastAsiaTheme="minorEastAsia"/>
          <w:color w:val="auto"/>
          <w:kern w:val="0"/>
          <w:sz w:val="20"/>
          <w:highlight w:val="none"/>
        </w:rPr>
      </w:pPr>
    </w:p>
    <w:p>
      <w:pPr>
        <w:autoSpaceDE w:val="0"/>
        <w:autoSpaceDN w:val="0"/>
        <w:adjustRightInd w:val="0"/>
        <w:spacing w:line="360" w:lineRule="auto"/>
        <w:jc w:val="left"/>
        <w:rPr>
          <w:rFonts w:asciiTheme="minorEastAsia" w:hAnsiTheme="minorEastAsia" w:eastAsiaTheme="minorEastAsia"/>
          <w:color w:val="auto"/>
          <w:kern w:val="0"/>
          <w:sz w:val="20"/>
          <w:highlight w:val="none"/>
        </w:rPr>
      </w:pPr>
    </w:p>
    <w:p>
      <w:pPr>
        <w:autoSpaceDE w:val="0"/>
        <w:autoSpaceDN w:val="0"/>
        <w:adjustRightInd w:val="0"/>
        <w:spacing w:line="360" w:lineRule="auto"/>
        <w:jc w:val="left"/>
        <w:rPr>
          <w:rFonts w:asciiTheme="minorEastAsia" w:hAnsiTheme="minorEastAsia" w:eastAsiaTheme="minorEastAsia"/>
          <w:b/>
          <w:bCs/>
          <w:color w:val="auto"/>
          <w:kern w:val="0"/>
          <w:sz w:val="32"/>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color w:val="auto"/>
          <w:highlight w:val="none"/>
        </w:rPr>
      </w:pPr>
    </w:p>
    <w:p>
      <w:pPr>
        <w:autoSpaceDE w:val="0"/>
        <w:autoSpaceDN w:val="0"/>
        <w:adjustRightInd w:val="0"/>
        <w:spacing w:line="360" w:lineRule="auto"/>
        <w:jc w:val="center"/>
        <w:rPr>
          <w:rFonts w:hint="eastAsia" w:asciiTheme="minorEastAsia" w:hAnsiTheme="minorEastAsia" w:eastAsiaTheme="minorEastAsia"/>
          <w:b/>
          <w:bCs/>
          <w:color w:val="auto"/>
          <w:kern w:val="0"/>
          <w:sz w:val="32"/>
          <w:szCs w:val="32"/>
          <w:highlight w:val="none"/>
          <w:lang w:eastAsia="zh-CN"/>
        </w:rPr>
      </w:pPr>
      <w:r>
        <w:rPr>
          <w:rFonts w:asciiTheme="minorEastAsia" w:hAnsiTheme="minorEastAsia" w:eastAsiaTheme="minorEastAsia"/>
          <w:b/>
          <w:bCs/>
          <w:color w:val="auto"/>
          <w:kern w:val="0"/>
          <w:sz w:val="32"/>
          <w:szCs w:val="32"/>
          <w:highlight w:val="none"/>
        </w:rPr>
        <w:t>招标人：</w:t>
      </w:r>
      <w:r>
        <w:rPr>
          <w:rFonts w:hint="eastAsia" w:asciiTheme="minorEastAsia" w:hAnsiTheme="minorEastAsia" w:eastAsiaTheme="minorEastAsia"/>
          <w:b/>
          <w:bCs/>
          <w:color w:val="auto"/>
          <w:kern w:val="0"/>
          <w:sz w:val="32"/>
          <w:szCs w:val="32"/>
          <w:highlight w:val="none"/>
          <w:lang w:eastAsia="zh-CN"/>
        </w:rPr>
        <w:t>个旧云能投绿色能源开发有限公司</w:t>
      </w:r>
    </w:p>
    <w:p>
      <w:pPr>
        <w:autoSpaceDE w:val="0"/>
        <w:autoSpaceDN w:val="0"/>
        <w:adjustRightInd w:val="0"/>
        <w:spacing w:line="360" w:lineRule="auto"/>
        <w:jc w:val="center"/>
        <w:rPr>
          <w:rFonts w:asciiTheme="minorEastAsia" w:hAnsiTheme="minorEastAsia" w:eastAsiaTheme="minorEastAsia"/>
          <w:b/>
          <w:bCs/>
          <w:color w:val="auto"/>
          <w:kern w:val="0"/>
          <w:sz w:val="32"/>
          <w:szCs w:val="32"/>
          <w:highlight w:val="none"/>
        </w:rPr>
        <w:sectPr>
          <w:footerReference r:id="rId5" w:type="first"/>
          <w:headerReference r:id="rId3" w:type="default"/>
          <w:footerReference r:id="rId4" w:type="default"/>
          <w:pgSz w:w="11906" w:h="16838"/>
          <w:pgMar w:top="1134" w:right="1418" w:bottom="1134" w:left="1418" w:header="720" w:footer="567" w:gutter="0"/>
          <w:pgNumType w:start="1"/>
          <w:cols w:space="720" w:num="1"/>
          <w:titlePg/>
          <w:docGrid w:type="lines" w:linePitch="331" w:charSpace="0"/>
        </w:sectPr>
      </w:pPr>
      <w:r>
        <w:rPr>
          <w:rFonts w:asciiTheme="minorEastAsia" w:hAnsiTheme="minorEastAsia" w:eastAsiaTheme="minorEastAsia"/>
          <w:b/>
          <w:bCs/>
          <w:color w:val="auto"/>
          <w:kern w:val="0"/>
          <w:sz w:val="32"/>
          <w:szCs w:val="32"/>
          <w:highlight w:val="none"/>
        </w:rPr>
        <w:t>二○</w:t>
      </w:r>
      <w:r>
        <w:rPr>
          <w:rFonts w:hint="eastAsia" w:asciiTheme="minorEastAsia" w:hAnsiTheme="minorEastAsia" w:eastAsiaTheme="minorEastAsia"/>
          <w:b/>
          <w:bCs/>
          <w:color w:val="auto"/>
          <w:kern w:val="0"/>
          <w:sz w:val="32"/>
          <w:szCs w:val="32"/>
          <w:highlight w:val="none"/>
        </w:rPr>
        <w:t>二</w:t>
      </w:r>
      <w:r>
        <w:rPr>
          <w:rFonts w:hint="eastAsia" w:asciiTheme="minorEastAsia" w:hAnsiTheme="minorEastAsia" w:eastAsiaTheme="minorEastAsia"/>
          <w:b/>
          <w:bCs/>
          <w:color w:val="auto"/>
          <w:kern w:val="0"/>
          <w:sz w:val="32"/>
          <w:szCs w:val="32"/>
          <w:highlight w:val="none"/>
          <w:lang w:val="en-US" w:eastAsia="zh-CN"/>
        </w:rPr>
        <w:t>四</w:t>
      </w:r>
      <w:r>
        <w:rPr>
          <w:rFonts w:asciiTheme="minorEastAsia" w:hAnsiTheme="minorEastAsia" w:eastAsiaTheme="minorEastAsia"/>
          <w:b/>
          <w:bCs/>
          <w:color w:val="auto"/>
          <w:kern w:val="0"/>
          <w:sz w:val="32"/>
          <w:szCs w:val="32"/>
          <w:highlight w:val="none"/>
        </w:rPr>
        <w:t>年</w:t>
      </w:r>
      <w:r>
        <w:rPr>
          <w:rFonts w:hint="eastAsia" w:asciiTheme="minorEastAsia" w:hAnsiTheme="minorEastAsia" w:eastAsiaTheme="minorEastAsia"/>
          <w:b/>
          <w:bCs/>
          <w:color w:val="auto"/>
          <w:kern w:val="0"/>
          <w:sz w:val="32"/>
          <w:szCs w:val="32"/>
          <w:highlight w:val="none"/>
          <w:lang w:val="en-US" w:eastAsia="zh-CN"/>
        </w:rPr>
        <w:t>十二</w:t>
      </w:r>
      <w:r>
        <w:rPr>
          <w:rFonts w:asciiTheme="minorEastAsia" w:hAnsiTheme="minorEastAsia" w:eastAsiaTheme="minorEastAsia"/>
          <w:b/>
          <w:bCs/>
          <w:color w:val="auto"/>
          <w:kern w:val="0"/>
          <w:sz w:val="32"/>
          <w:szCs w:val="32"/>
          <w:highlight w:val="none"/>
        </w:rPr>
        <w:t>月</w:t>
      </w:r>
    </w:p>
    <w:p>
      <w:pPr>
        <w:widowControl/>
        <w:jc w:val="left"/>
        <w:rPr>
          <w:rFonts w:asciiTheme="minorEastAsia" w:hAnsiTheme="minorEastAsia" w:eastAsiaTheme="minorEastAsia"/>
          <w:b/>
          <w:color w:val="auto"/>
          <w:sz w:val="24"/>
          <w:highlight w:val="none"/>
        </w:rPr>
      </w:pPr>
    </w:p>
    <w:p>
      <w:pPr>
        <w:spacing w:line="360" w:lineRule="auto"/>
        <w:jc w:val="center"/>
        <w:rPr>
          <w:rFonts w:asciiTheme="minorEastAsia" w:hAnsiTheme="minorEastAsia" w:eastAsiaTheme="minorEastAsia"/>
          <w:b/>
          <w:bCs/>
          <w:color w:val="auto"/>
          <w:sz w:val="32"/>
          <w:szCs w:val="21"/>
          <w:highlight w:val="none"/>
        </w:rPr>
      </w:pPr>
      <w:r>
        <w:rPr>
          <w:rFonts w:asciiTheme="minorEastAsia" w:hAnsiTheme="minorEastAsia" w:eastAsiaTheme="minorEastAsia"/>
          <w:b/>
          <w:bCs/>
          <w:color w:val="auto"/>
          <w:sz w:val="32"/>
          <w:szCs w:val="21"/>
          <w:highlight w:val="none"/>
        </w:rPr>
        <w:t>目 录</w:t>
      </w:r>
    </w:p>
    <w:p>
      <w:pPr>
        <w:spacing w:line="340" w:lineRule="atLeast"/>
        <w:rPr>
          <w:rFonts w:asciiTheme="minorEastAsia" w:hAnsiTheme="minorEastAsia" w:eastAsiaTheme="minorEastAsia"/>
          <w:color w:val="auto"/>
          <w:szCs w:val="21"/>
          <w:highlight w:val="none"/>
        </w:rPr>
      </w:pPr>
    </w:p>
    <w:p>
      <w:pPr>
        <w:pStyle w:val="47"/>
        <w:tabs>
          <w:tab w:val="right" w:leader="dot" w:pos="9070"/>
          <w:tab w:val="clear" w:pos="9628"/>
        </w:tabs>
        <w:rPr>
          <w:color w:val="auto"/>
          <w:highlight w:val="none"/>
        </w:rPr>
      </w:pPr>
      <w:r>
        <w:rPr>
          <w:rFonts w:asciiTheme="minorEastAsia" w:hAnsiTheme="minorEastAsia" w:eastAsiaTheme="minorEastAsia"/>
          <w:color w:val="auto"/>
          <w:sz w:val="32"/>
          <w:szCs w:val="32"/>
          <w:highlight w:val="none"/>
        </w:rPr>
        <w:fldChar w:fldCharType="begin"/>
      </w:r>
      <w:r>
        <w:rPr>
          <w:rFonts w:asciiTheme="minorEastAsia" w:hAnsiTheme="minorEastAsia" w:eastAsiaTheme="minorEastAsia"/>
          <w:color w:val="auto"/>
          <w:sz w:val="32"/>
          <w:szCs w:val="32"/>
          <w:highlight w:val="none"/>
        </w:rPr>
        <w:instrText xml:space="preserve">TOC \o "1-1" \h \u </w:instrText>
      </w:r>
      <w:r>
        <w:rPr>
          <w:rFonts w:asciiTheme="minorEastAsia" w:hAnsiTheme="minorEastAsia" w:eastAsiaTheme="minorEastAsia"/>
          <w:color w:val="auto"/>
          <w:sz w:val="32"/>
          <w:szCs w:val="32"/>
          <w:highlight w:val="none"/>
        </w:rPr>
        <w:fldChar w:fldCharType="separate"/>
      </w: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_Toc10788 </w:instrText>
      </w:r>
      <w:r>
        <w:rPr>
          <w:rFonts w:asciiTheme="minorEastAsia" w:hAnsiTheme="minorEastAsia" w:eastAsiaTheme="minorEastAsia"/>
          <w:color w:val="auto"/>
          <w:szCs w:val="32"/>
          <w:highlight w:val="none"/>
        </w:rPr>
        <w:fldChar w:fldCharType="separate"/>
      </w:r>
      <w:r>
        <w:rPr>
          <w:color w:val="auto"/>
          <w:highlight w:val="none"/>
        </w:rPr>
        <w:t>第一章</w:t>
      </w:r>
      <w:r>
        <w:rPr>
          <w:rFonts w:hint="eastAsia"/>
          <w:color w:val="auto"/>
          <w:highlight w:val="none"/>
        </w:rPr>
        <w:t xml:space="preserve"> 竞争性谈判公告</w:t>
      </w:r>
      <w:r>
        <w:rPr>
          <w:color w:val="auto"/>
          <w:highlight w:val="none"/>
        </w:rPr>
        <w:tab/>
      </w:r>
      <w:r>
        <w:rPr>
          <w:color w:val="auto"/>
          <w:highlight w:val="none"/>
        </w:rPr>
        <w:fldChar w:fldCharType="begin"/>
      </w:r>
      <w:r>
        <w:rPr>
          <w:color w:val="auto"/>
          <w:highlight w:val="none"/>
        </w:rPr>
        <w:instrText xml:space="preserve"> PAGEREF _Toc10788 \h </w:instrText>
      </w:r>
      <w:r>
        <w:rPr>
          <w:color w:val="auto"/>
          <w:highlight w:val="none"/>
        </w:rPr>
        <w:fldChar w:fldCharType="separate"/>
      </w:r>
      <w:r>
        <w:rPr>
          <w:color w:val="auto"/>
          <w:highlight w:val="none"/>
        </w:rPr>
        <w:t>3</w:t>
      </w:r>
      <w:r>
        <w:rPr>
          <w:color w:val="auto"/>
          <w:highlight w:val="none"/>
        </w:rPr>
        <w:fldChar w:fldCharType="end"/>
      </w:r>
      <w:r>
        <w:rPr>
          <w:rFonts w:asciiTheme="minorEastAsia" w:hAnsiTheme="minorEastAsia" w:eastAsiaTheme="minorEastAsia"/>
          <w:color w:val="auto"/>
          <w:szCs w:val="32"/>
          <w:highlight w:val="none"/>
        </w:rPr>
        <w:fldChar w:fldCharType="end"/>
      </w:r>
    </w:p>
    <w:p>
      <w:pPr>
        <w:pStyle w:val="47"/>
        <w:tabs>
          <w:tab w:val="right" w:leader="dot" w:pos="9070"/>
          <w:tab w:val="clear" w:pos="9628"/>
        </w:tabs>
        <w:rPr>
          <w:color w:val="auto"/>
          <w:highlight w:val="none"/>
        </w:rPr>
      </w:pP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_Toc14501 </w:instrText>
      </w:r>
      <w:r>
        <w:rPr>
          <w:rFonts w:asciiTheme="minorEastAsia" w:hAnsiTheme="minorEastAsia" w:eastAsiaTheme="minorEastAsia"/>
          <w:color w:val="auto"/>
          <w:szCs w:val="32"/>
          <w:highlight w:val="none"/>
        </w:rPr>
        <w:fldChar w:fldCharType="separate"/>
      </w:r>
      <w:r>
        <w:rPr>
          <w:color w:val="auto"/>
          <w:highlight w:val="none"/>
        </w:rPr>
        <w:t>第二章</w:t>
      </w:r>
      <w:r>
        <w:rPr>
          <w:rFonts w:hint="eastAsia"/>
          <w:color w:val="auto"/>
          <w:highlight w:val="none"/>
        </w:rPr>
        <w:t xml:space="preserve"> </w:t>
      </w:r>
      <w:r>
        <w:rPr>
          <w:color w:val="auto"/>
          <w:highlight w:val="none"/>
        </w:rPr>
        <w:t>谈判申请人须知</w:t>
      </w:r>
      <w:r>
        <w:rPr>
          <w:color w:val="auto"/>
          <w:highlight w:val="none"/>
        </w:rPr>
        <w:tab/>
      </w:r>
      <w:r>
        <w:rPr>
          <w:color w:val="auto"/>
          <w:highlight w:val="none"/>
        </w:rPr>
        <w:fldChar w:fldCharType="begin"/>
      </w:r>
      <w:r>
        <w:rPr>
          <w:color w:val="auto"/>
          <w:highlight w:val="none"/>
        </w:rPr>
        <w:instrText xml:space="preserve"> PAGEREF _Toc14501 \h </w:instrText>
      </w:r>
      <w:r>
        <w:rPr>
          <w:color w:val="auto"/>
          <w:highlight w:val="none"/>
        </w:rPr>
        <w:fldChar w:fldCharType="separate"/>
      </w:r>
      <w:r>
        <w:rPr>
          <w:color w:val="auto"/>
          <w:highlight w:val="none"/>
        </w:rPr>
        <w:t>9</w:t>
      </w:r>
      <w:r>
        <w:rPr>
          <w:color w:val="auto"/>
          <w:highlight w:val="none"/>
        </w:rPr>
        <w:fldChar w:fldCharType="end"/>
      </w:r>
      <w:r>
        <w:rPr>
          <w:rFonts w:asciiTheme="minorEastAsia" w:hAnsiTheme="minorEastAsia" w:eastAsiaTheme="minorEastAsia"/>
          <w:color w:val="auto"/>
          <w:szCs w:val="32"/>
          <w:highlight w:val="none"/>
        </w:rPr>
        <w:fldChar w:fldCharType="end"/>
      </w:r>
    </w:p>
    <w:p>
      <w:pPr>
        <w:pStyle w:val="47"/>
        <w:tabs>
          <w:tab w:val="right" w:leader="dot" w:pos="9070"/>
          <w:tab w:val="clear" w:pos="9628"/>
        </w:tabs>
        <w:rPr>
          <w:color w:val="auto"/>
          <w:highlight w:val="none"/>
        </w:rPr>
      </w:pP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_Toc15364 </w:instrText>
      </w:r>
      <w:r>
        <w:rPr>
          <w:rFonts w:asciiTheme="minorEastAsia" w:hAnsiTheme="minorEastAsia" w:eastAsiaTheme="minorEastAsia"/>
          <w:color w:val="auto"/>
          <w:szCs w:val="32"/>
          <w:highlight w:val="none"/>
        </w:rPr>
        <w:fldChar w:fldCharType="separate"/>
      </w:r>
      <w:r>
        <w:rPr>
          <w:color w:val="auto"/>
          <w:highlight w:val="none"/>
        </w:rPr>
        <w:t>第</w:t>
      </w:r>
      <w:r>
        <w:rPr>
          <w:rFonts w:hint="eastAsia"/>
          <w:color w:val="auto"/>
          <w:highlight w:val="none"/>
        </w:rPr>
        <w:t>三</w:t>
      </w:r>
      <w:r>
        <w:rPr>
          <w:color w:val="auto"/>
          <w:highlight w:val="none"/>
        </w:rPr>
        <w:t>章</w:t>
      </w:r>
      <w:r>
        <w:rPr>
          <w:rFonts w:hint="eastAsia"/>
          <w:color w:val="auto"/>
          <w:highlight w:val="none"/>
        </w:rPr>
        <w:t xml:space="preserve"> 合同书样式及主要条款</w:t>
      </w:r>
      <w:r>
        <w:rPr>
          <w:color w:val="auto"/>
          <w:highlight w:val="none"/>
        </w:rPr>
        <w:tab/>
      </w:r>
      <w:r>
        <w:rPr>
          <w:color w:val="auto"/>
          <w:highlight w:val="none"/>
        </w:rPr>
        <w:fldChar w:fldCharType="begin"/>
      </w:r>
      <w:r>
        <w:rPr>
          <w:color w:val="auto"/>
          <w:highlight w:val="none"/>
        </w:rPr>
        <w:instrText xml:space="preserve"> PAGEREF _Toc15364 \h </w:instrText>
      </w:r>
      <w:r>
        <w:rPr>
          <w:color w:val="auto"/>
          <w:highlight w:val="none"/>
        </w:rPr>
        <w:fldChar w:fldCharType="separate"/>
      </w:r>
      <w:r>
        <w:rPr>
          <w:color w:val="auto"/>
          <w:highlight w:val="none"/>
        </w:rPr>
        <w:t>18</w:t>
      </w:r>
      <w:r>
        <w:rPr>
          <w:color w:val="auto"/>
          <w:highlight w:val="none"/>
        </w:rPr>
        <w:fldChar w:fldCharType="end"/>
      </w:r>
      <w:r>
        <w:rPr>
          <w:rFonts w:asciiTheme="minorEastAsia" w:hAnsiTheme="minorEastAsia" w:eastAsiaTheme="minorEastAsia"/>
          <w:color w:val="auto"/>
          <w:szCs w:val="32"/>
          <w:highlight w:val="none"/>
        </w:rPr>
        <w:fldChar w:fldCharType="end"/>
      </w:r>
    </w:p>
    <w:p>
      <w:pPr>
        <w:pStyle w:val="47"/>
        <w:tabs>
          <w:tab w:val="right" w:leader="dot" w:pos="9070"/>
          <w:tab w:val="clear" w:pos="9628"/>
        </w:tabs>
        <w:rPr>
          <w:color w:val="auto"/>
          <w:highlight w:val="none"/>
        </w:rPr>
      </w:pP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_Toc24303 </w:instrText>
      </w:r>
      <w:r>
        <w:rPr>
          <w:rFonts w:asciiTheme="minorEastAsia" w:hAnsiTheme="minorEastAsia" w:eastAsiaTheme="minorEastAsia"/>
          <w:color w:val="auto"/>
          <w:szCs w:val="32"/>
          <w:highlight w:val="none"/>
        </w:rPr>
        <w:fldChar w:fldCharType="separate"/>
      </w:r>
      <w:r>
        <w:rPr>
          <w:rFonts w:hint="eastAsia"/>
          <w:color w:val="auto"/>
          <w:highlight w:val="none"/>
        </w:rPr>
        <w:t xml:space="preserve">第四章 </w:t>
      </w:r>
      <w:r>
        <w:rPr>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_Toc24303 \h </w:instrText>
      </w:r>
      <w:r>
        <w:rPr>
          <w:color w:val="auto"/>
          <w:highlight w:val="none"/>
        </w:rPr>
        <w:fldChar w:fldCharType="separate"/>
      </w:r>
      <w:r>
        <w:rPr>
          <w:color w:val="auto"/>
          <w:highlight w:val="none"/>
        </w:rPr>
        <w:t>23</w:t>
      </w:r>
      <w:r>
        <w:rPr>
          <w:color w:val="auto"/>
          <w:highlight w:val="none"/>
        </w:rPr>
        <w:fldChar w:fldCharType="end"/>
      </w:r>
      <w:r>
        <w:rPr>
          <w:rFonts w:asciiTheme="minorEastAsia" w:hAnsiTheme="minorEastAsia" w:eastAsiaTheme="minorEastAsia"/>
          <w:color w:val="auto"/>
          <w:szCs w:val="32"/>
          <w:highlight w:val="none"/>
        </w:rPr>
        <w:fldChar w:fldCharType="end"/>
      </w:r>
    </w:p>
    <w:p>
      <w:pPr>
        <w:pStyle w:val="47"/>
        <w:tabs>
          <w:tab w:val="right" w:leader="dot" w:pos="9070"/>
          <w:tab w:val="clear" w:pos="9628"/>
        </w:tabs>
        <w:rPr>
          <w:color w:val="auto"/>
          <w:highlight w:val="none"/>
        </w:rPr>
      </w:pP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_Toc520 </w:instrText>
      </w:r>
      <w:r>
        <w:rPr>
          <w:rFonts w:asciiTheme="minorEastAsia" w:hAnsiTheme="minorEastAsia" w:eastAsiaTheme="minorEastAsia"/>
          <w:color w:val="auto"/>
          <w:szCs w:val="32"/>
          <w:highlight w:val="none"/>
        </w:rPr>
        <w:fldChar w:fldCharType="separate"/>
      </w:r>
      <w:r>
        <w:rPr>
          <w:rFonts w:hint="eastAsia" w:asciiTheme="minorEastAsia" w:hAnsiTheme="minorEastAsia" w:eastAsiaTheme="minorEastAsia"/>
          <w:bCs/>
          <w:color w:val="auto"/>
          <w:kern w:val="0"/>
          <w:szCs w:val="32"/>
          <w:highlight w:val="none"/>
        </w:rPr>
        <w:t>第五章 技术标准和要求</w:t>
      </w:r>
      <w:r>
        <w:rPr>
          <w:color w:val="auto"/>
          <w:highlight w:val="none"/>
        </w:rPr>
        <w:tab/>
      </w:r>
      <w:r>
        <w:rPr>
          <w:color w:val="auto"/>
          <w:highlight w:val="none"/>
        </w:rPr>
        <w:fldChar w:fldCharType="begin"/>
      </w:r>
      <w:r>
        <w:rPr>
          <w:color w:val="auto"/>
          <w:highlight w:val="none"/>
        </w:rPr>
        <w:instrText xml:space="preserve"> PAGEREF _Toc520 \h </w:instrText>
      </w:r>
      <w:r>
        <w:rPr>
          <w:color w:val="auto"/>
          <w:highlight w:val="none"/>
        </w:rPr>
        <w:fldChar w:fldCharType="separate"/>
      </w:r>
      <w:r>
        <w:rPr>
          <w:color w:val="auto"/>
          <w:highlight w:val="none"/>
        </w:rPr>
        <w:t>41</w:t>
      </w:r>
      <w:r>
        <w:rPr>
          <w:color w:val="auto"/>
          <w:highlight w:val="none"/>
        </w:rPr>
        <w:fldChar w:fldCharType="end"/>
      </w:r>
      <w:r>
        <w:rPr>
          <w:rFonts w:asciiTheme="minorEastAsia" w:hAnsiTheme="minorEastAsia" w:eastAsiaTheme="minorEastAsia"/>
          <w:color w:val="auto"/>
          <w:szCs w:val="32"/>
          <w:highlight w:val="none"/>
        </w:rPr>
        <w:fldChar w:fldCharType="end"/>
      </w:r>
    </w:p>
    <w:p>
      <w:pPr>
        <w:pStyle w:val="47"/>
        <w:tabs>
          <w:tab w:val="right" w:leader="dot" w:pos="9070"/>
          <w:tab w:val="clear" w:pos="9628"/>
        </w:tabs>
        <w:rPr>
          <w:color w:val="auto"/>
          <w:highlight w:val="none"/>
        </w:rPr>
      </w:pPr>
      <w:r>
        <w:rPr>
          <w:rFonts w:asciiTheme="minorEastAsia" w:hAnsiTheme="minorEastAsia" w:eastAsiaTheme="minorEastAsia"/>
          <w:color w:val="auto"/>
          <w:szCs w:val="32"/>
          <w:highlight w:val="none"/>
        </w:rPr>
        <w:fldChar w:fldCharType="begin"/>
      </w:r>
      <w:r>
        <w:rPr>
          <w:rFonts w:asciiTheme="minorEastAsia" w:hAnsiTheme="minorEastAsia" w:eastAsiaTheme="minorEastAsia"/>
          <w:color w:val="auto"/>
          <w:szCs w:val="32"/>
          <w:highlight w:val="none"/>
        </w:rPr>
        <w:instrText xml:space="preserve"> HYPERLINK \l _Toc31843 </w:instrText>
      </w:r>
      <w:r>
        <w:rPr>
          <w:rFonts w:asciiTheme="minorEastAsia" w:hAnsiTheme="minorEastAsia" w:eastAsiaTheme="minorEastAsia"/>
          <w:color w:val="auto"/>
          <w:szCs w:val="32"/>
          <w:highlight w:val="none"/>
        </w:rPr>
        <w:fldChar w:fldCharType="separate"/>
      </w:r>
      <w:r>
        <w:rPr>
          <w:color w:val="auto"/>
          <w:highlight w:val="none"/>
        </w:rPr>
        <w:t>第六章</w:t>
      </w:r>
      <w:r>
        <w:rPr>
          <w:rFonts w:hint="eastAsia"/>
          <w:color w:val="auto"/>
          <w:highlight w:val="none"/>
        </w:rPr>
        <w:t xml:space="preserve"> 谈判程序和评审方法</w:t>
      </w:r>
      <w:r>
        <w:rPr>
          <w:color w:val="auto"/>
          <w:highlight w:val="none"/>
        </w:rPr>
        <w:tab/>
      </w:r>
      <w:r>
        <w:rPr>
          <w:color w:val="auto"/>
          <w:highlight w:val="none"/>
        </w:rPr>
        <w:fldChar w:fldCharType="begin"/>
      </w:r>
      <w:r>
        <w:rPr>
          <w:color w:val="auto"/>
          <w:highlight w:val="none"/>
        </w:rPr>
        <w:instrText xml:space="preserve"> PAGEREF _Toc31843 \h </w:instrText>
      </w:r>
      <w:r>
        <w:rPr>
          <w:color w:val="auto"/>
          <w:highlight w:val="none"/>
        </w:rPr>
        <w:fldChar w:fldCharType="separate"/>
      </w:r>
      <w:r>
        <w:rPr>
          <w:color w:val="auto"/>
          <w:highlight w:val="none"/>
        </w:rPr>
        <w:t>45</w:t>
      </w:r>
      <w:r>
        <w:rPr>
          <w:color w:val="auto"/>
          <w:highlight w:val="none"/>
        </w:rPr>
        <w:fldChar w:fldCharType="end"/>
      </w:r>
      <w:r>
        <w:rPr>
          <w:rFonts w:asciiTheme="minorEastAsia" w:hAnsiTheme="minorEastAsia" w:eastAsiaTheme="minorEastAsia"/>
          <w:color w:val="auto"/>
          <w:szCs w:val="32"/>
          <w:highlight w:val="none"/>
        </w:rPr>
        <w:fldChar w:fldCharType="end"/>
      </w:r>
    </w:p>
    <w:p>
      <w:pPr>
        <w:spacing w:line="360" w:lineRule="auto"/>
        <w:ind w:left="502"/>
        <w:jc w:val="left"/>
        <w:outlineLvl w:val="0"/>
        <w:rPr>
          <w:color w:val="auto"/>
          <w:highlight w:val="none"/>
        </w:rPr>
      </w:pPr>
      <w:r>
        <w:rPr>
          <w:rFonts w:asciiTheme="minorEastAsia" w:hAnsiTheme="minorEastAsia" w:eastAsiaTheme="minorEastAsia"/>
          <w:color w:val="auto"/>
          <w:szCs w:val="32"/>
          <w:highlight w:val="none"/>
        </w:rPr>
        <w:fldChar w:fldCharType="end"/>
      </w:r>
    </w:p>
    <w:p>
      <w:pPr>
        <w:adjustRightInd w:val="0"/>
        <w:snapToGrid w:val="0"/>
        <w:ind w:right="139" w:rightChars="66"/>
        <w:rPr>
          <w:rFonts w:asciiTheme="minorEastAsia" w:hAnsiTheme="minorEastAsia" w:eastAsiaTheme="minorEastAsia"/>
          <w:color w:val="auto"/>
          <w:szCs w:val="21"/>
          <w:highlight w:val="none"/>
        </w:rPr>
        <w:sectPr>
          <w:pgSz w:w="11906" w:h="16838"/>
          <w:pgMar w:top="1134" w:right="1418" w:bottom="1134" w:left="1418" w:header="720" w:footer="567" w:gutter="0"/>
          <w:pgNumType w:start="1"/>
          <w:cols w:space="720" w:num="1"/>
          <w:titlePg/>
          <w:docGrid w:type="lines" w:linePitch="331" w:charSpace="0"/>
        </w:sectPr>
      </w:pPr>
      <w:r>
        <w:rPr>
          <w:rFonts w:asciiTheme="minorEastAsia" w:hAnsiTheme="minorEastAsia" w:eastAsiaTheme="minorEastAsia"/>
          <w:color w:val="auto"/>
          <w:sz w:val="28"/>
          <w:highlight w:val="none"/>
        </w:rPr>
        <w:br w:type="page"/>
      </w:r>
    </w:p>
    <w:p>
      <w:pPr>
        <w:pStyle w:val="2"/>
        <w:bidi w:val="0"/>
        <w:rPr>
          <w:color w:val="auto"/>
          <w:highlight w:val="none"/>
        </w:rPr>
      </w:pPr>
      <w:bookmarkStart w:id="0" w:name="_Toc519163176"/>
      <w:bookmarkStart w:id="1" w:name="_Toc10788"/>
      <w:bookmarkStart w:id="2" w:name="_Toc18883"/>
      <w:bookmarkStart w:id="3" w:name="_Toc130564871"/>
      <w:r>
        <w:rPr>
          <w:color w:val="auto"/>
          <w:highlight w:val="none"/>
        </w:rPr>
        <w:t>第一章</w:t>
      </w:r>
      <w:bookmarkEnd w:id="0"/>
      <w:r>
        <w:rPr>
          <w:rFonts w:hint="eastAsia"/>
          <w:color w:val="auto"/>
          <w:highlight w:val="none"/>
        </w:rPr>
        <w:t xml:space="preserve"> 竞争性谈判公告</w:t>
      </w:r>
      <w:bookmarkEnd w:id="1"/>
      <w:bookmarkEnd w:id="2"/>
      <w:bookmarkEnd w:id="3"/>
    </w:p>
    <w:p>
      <w:pPr>
        <w:pStyle w:val="3"/>
        <w:bidi w:val="0"/>
        <w:rPr>
          <w:color w:val="auto"/>
          <w:highlight w:val="none"/>
        </w:rPr>
      </w:pPr>
      <w:bookmarkStart w:id="4" w:name="_Toc4162"/>
      <w:bookmarkStart w:id="5" w:name="_Toc130564872"/>
      <w:bookmarkStart w:id="6" w:name="_Toc490599198"/>
      <w:bookmarkStart w:id="7" w:name="_Toc385344429"/>
      <w:bookmarkStart w:id="8" w:name="_Toc86124033"/>
      <w:bookmarkStart w:id="9" w:name="_Toc519163177"/>
      <w:r>
        <w:rPr>
          <w:rFonts w:hint="eastAsia"/>
          <w:color w:val="auto"/>
          <w:highlight w:val="none"/>
        </w:rPr>
        <w:t>一、</w:t>
      </w:r>
      <w:r>
        <w:rPr>
          <w:color w:val="auto"/>
          <w:highlight w:val="none"/>
        </w:rPr>
        <w:t>竞争性谈判条件</w:t>
      </w:r>
      <w:bookmarkEnd w:id="4"/>
      <w:bookmarkEnd w:id="5"/>
      <w:bookmarkEnd w:id="6"/>
      <w:bookmarkEnd w:id="7"/>
      <w:bookmarkEnd w:id="8"/>
      <w:bookmarkEnd w:id="9"/>
    </w:p>
    <w:p>
      <w:pPr>
        <w:snapToGrid w:val="0"/>
        <w:spacing w:line="360" w:lineRule="auto"/>
        <w:ind w:firstLine="420" w:firstLineChars="200"/>
        <w:rPr>
          <w:rFonts w:asciiTheme="minorEastAsia" w:hAnsiTheme="minorEastAsia" w:eastAsiaTheme="minorEastAsia"/>
          <w:bCs/>
          <w:color w:val="auto"/>
          <w:szCs w:val="21"/>
          <w:highlight w:val="none"/>
        </w:rPr>
      </w:pPr>
      <w:r>
        <w:rPr>
          <w:rFonts w:hint="eastAsia" w:asciiTheme="minorEastAsia" w:hAnsiTheme="minorEastAsia" w:eastAsiaTheme="minorEastAsia"/>
          <w:color w:val="auto"/>
          <w:szCs w:val="21"/>
          <w:highlight w:val="none"/>
        </w:rPr>
        <w:t>参照</w:t>
      </w:r>
      <w:r>
        <w:rPr>
          <w:rFonts w:asciiTheme="minorEastAsia" w:hAnsiTheme="minorEastAsia" w:eastAsiaTheme="minorEastAsia"/>
          <w:color w:val="auto"/>
          <w:szCs w:val="21"/>
          <w:highlight w:val="none"/>
        </w:rPr>
        <w:t>《中华人民共和国招标投标法》</w:t>
      </w:r>
      <w:r>
        <w:rPr>
          <w:rFonts w:hint="eastAsia" w:asciiTheme="minorEastAsia" w:hAnsiTheme="minorEastAsia" w:eastAsiaTheme="minorEastAsia"/>
          <w:color w:val="auto"/>
          <w:szCs w:val="21"/>
          <w:highlight w:val="none"/>
        </w:rPr>
        <w:t>、《中华人民共和国招标投标法实施条例》</w:t>
      </w:r>
      <w:r>
        <w:rPr>
          <w:rFonts w:asciiTheme="minorEastAsia" w:hAnsiTheme="minorEastAsia" w:eastAsiaTheme="minorEastAsia"/>
          <w:color w:val="auto"/>
          <w:szCs w:val="21"/>
          <w:highlight w:val="none"/>
        </w:rPr>
        <w:t>等有关法律、法规和规章</w:t>
      </w:r>
      <w:r>
        <w:rPr>
          <w:rFonts w:asciiTheme="minorEastAsia" w:hAnsiTheme="minorEastAsia" w:eastAsiaTheme="minorEastAsia"/>
          <w:bCs/>
          <w:color w:val="auto"/>
          <w:szCs w:val="21"/>
          <w:highlight w:val="none"/>
        </w:rPr>
        <w:t>的规定</w:t>
      </w:r>
      <w:r>
        <w:rPr>
          <w:rFonts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u w:val="single"/>
          <w:lang w:eastAsia="zh-CN"/>
        </w:rPr>
        <w:t>个旧云能投绿色能源开发有限公司</w:t>
      </w:r>
      <w:r>
        <w:rPr>
          <w:rFonts w:hint="eastAsia" w:asciiTheme="minorEastAsia" w:hAnsiTheme="minorEastAsia" w:eastAsiaTheme="minorEastAsia"/>
          <w:color w:val="auto"/>
          <w:szCs w:val="21"/>
          <w:highlight w:val="none"/>
        </w:rPr>
        <w:t>（以下简称“招标人”）</w:t>
      </w:r>
      <w:r>
        <w:rPr>
          <w:rFonts w:asciiTheme="minorEastAsia" w:hAnsiTheme="minorEastAsia" w:eastAsiaTheme="minorEastAsia"/>
          <w:bCs/>
          <w:color w:val="auto"/>
          <w:szCs w:val="21"/>
          <w:highlight w:val="none"/>
        </w:rPr>
        <w:t>对</w:t>
      </w:r>
      <w:r>
        <w:rPr>
          <w:rFonts w:hint="eastAsia" w:asciiTheme="minorEastAsia" w:hAnsiTheme="minorEastAsia" w:eastAsiaTheme="minorEastAsia"/>
          <w:color w:val="auto"/>
          <w:szCs w:val="28"/>
          <w:highlight w:val="none"/>
        </w:rPr>
        <w:t>本次</w:t>
      </w:r>
      <w:r>
        <w:rPr>
          <w:rFonts w:hint="eastAsia" w:asciiTheme="minorEastAsia" w:hAnsiTheme="minorEastAsia" w:eastAsiaTheme="minorEastAsia"/>
          <w:b/>
          <w:bCs/>
          <w:color w:val="auto"/>
          <w:szCs w:val="21"/>
          <w:highlight w:val="none"/>
          <w:u w:val="single"/>
          <w:lang w:eastAsia="zh-CN"/>
        </w:rPr>
        <w:t>背阴山尾矿库分布式光伏发电项目送出线路设计施工总承包工程</w:t>
      </w:r>
      <w:r>
        <w:rPr>
          <w:rFonts w:asciiTheme="minorEastAsia" w:hAnsiTheme="minorEastAsia" w:eastAsiaTheme="minorEastAsia"/>
          <w:bCs/>
          <w:color w:val="auto"/>
          <w:szCs w:val="21"/>
          <w:highlight w:val="none"/>
        </w:rPr>
        <w:t>采用</w:t>
      </w:r>
      <w:r>
        <w:rPr>
          <w:rFonts w:asciiTheme="minorEastAsia" w:hAnsiTheme="minorEastAsia" w:eastAsiaTheme="minorEastAsia"/>
          <w:b/>
          <w:bCs/>
          <w:color w:val="auto"/>
          <w:szCs w:val="21"/>
          <w:highlight w:val="none"/>
        </w:rPr>
        <w:t>竞争性谈判方式</w:t>
      </w:r>
      <w:r>
        <w:rPr>
          <w:rFonts w:hint="eastAsia" w:asciiTheme="minorEastAsia" w:hAnsiTheme="minorEastAsia" w:eastAsiaTheme="minorEastAsia"/>
          <w:bCs/>
          <w:color w:val="auto"/>
          <w:szCs w:val="21"/>
          <w:highlight w:val="none"/>
        </w:rPr>
        <w:t>实施</w:t>
      </w:r>
      <w:r>
        <w:rPr>
          <w:rFonts w:asciiTheme="minorEastAsia" w:hAnsiTheme="minorEastAsia" w:eastAsiaTheme="minorEastAsia"/>
          <w:bCs/>
          <w:color w:val="auto"/>
          <w:szCs w:val="21"/>
          <w:highlight w:val="none"/>
        </w:rPr>
        <w:t>。</w:t>
      </w:r>
      <w:bookmarkStart w:id="10" w:name="_Toc86124034"/>
      <w:bookmarkStart w:id="11" w:name="_Toc385344430"/>
      <w:bookmarkStart w:id="12" w:name="_Toc519163178"/>
      <w:bookmarkStart w:id="13" w:name="_Toc490599199"/>
      <w:r>
        <w:rPr>
          <w:rFonts w:hint="eastAsia" w:asciiTheme="minorEastAsia" w:hAnsiTheme="minorEastAsia" w:eastAsiaTheme="minorEastAsia"/>
          <w:bCs/>
          <w:color w:val="auto"/>
          <w:szCs w:val="21"/>
          <w:highlight w:val="none"/>
        </w:rPr>
        <w:t>现邀请具有相应资质和服务能力的谈判申请人参加本次谈判。</w:t>
      </w:r>
    </w:p>
    <w:bookmarkEnd w:id="10"/>
    <w:p>
      <w:pPr>
        <w:pStyle w:val="3"/>
        <w:bidi w:val="0"/>
        <w:rPr>
          <w:color w:val="auto"/>
          <w:highlight w:val="none"/>
        </w:rPr>
      </w:pPr>
      <w:bookmarkStart w:id="14" w:name="_Toc130564873"/>
      <w:bookmarkStart w:id="15" w:name="_Toc27823"/>
      <w:r>
        <w:rPr>
          <w:rFonts w:hint="eastAsia"/>
          <w:color w:val="auto"/>
          <w:highlight w:val="none"/>
        </w:rPr>
        <w:t>二、项目</w:t>
      </w:r>
      <w:r>
        <w:rPr>
          <w:color w:val="auto"/>
          <w:highlight w:val="none"/>
        </w:rPr>
        <w:t>概况</w:t>
      </w:r>
      <w:bookmarkEnd w:id="11"/>
      <w:bookmarkEnd w:id="12"/>
      <w:bookmarkEnd w:id="13"/>
      <w:bookmarkEnd w:id="14"/>
      <w:bookmarkEnd w:id="15"/>
    </w:p>
    <w:p>
      <w:pPr>
        <w:snapToGrid w:val="0"/>
        <w:spacing w:line="360" w:lineRule="auto"/>
        <w:ind w:left="420"/>
        <w:rPr>
          <w:rFonts w:hint="eastAsia" w:asciiTheme="minorEastAsia" w:hAnsiTheme="minorEastAsia" w:eastAsiaTheme="minorEastAsia"/>
          <w:bCs/>
          <w:color w:val="auto"/>
          <w:szCs w:val="21"/>
          <w:highlight w:val="none"/>
        </w:rPr>
      </w:pPr>
      <w:r>
        <w:rPr>
          <w:rFonts w:asciiTheme="minorEastAsia" w:hAnsiTheme="minorEastAsia" w:eastAsiaTheme="minorEastAsia"/>
          <w:b/>
          <w:bCs/>
          <w:color w:val="auto"/>
          <w:szCs w:val="21"/>
          <w:highlight w:val="none"/>
        </w:rPr>
        <w:t>2.1</w:t>
      </w:r>
      <w:r>
        <w:rPr>
          <w:rFonts w:hint="eastAsia" w:asciiTheme="minorEastAsia" w:hAnsiTheme="minorEastAsia" w:eastAsiaTheme="minorEastAsia"/>
          <w:b/>
          <w:bCs/>
          <w:color w:val="auto"/>
          <w:szCs w:val="21"/>
          <w:highlight w:val="none"/>
        </w:rPr>
        <w:t>项目编号</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Cs/>
          <w:color w:val="auto"/>
          <w:szCs w:val="21"/>
          <w:highlight w:val="none"/>
          <w:lang w:val="en-US" w:eastAsia="zh-CN"/>
        </w:rPr>
        <w:t>GJYNT-GC-202501</w:t>
      </w:r>
    </w:p>
    <w:p>
      <w:pPr>
        <w:snapToGrid w:val="0"/>
        <w:spacing w:line="360" w:lineRule="auto"/>
        <w:ind w:left="420"/>
        <w:rPr>
          <w:rFonts w:hint="eastAsia" w:asciiTheme="minorEastAsia" w:hAnsiTheme="minorEastAsia" w:eastAsiaTheme="minorEastAsia"/>
          <w:color w:val="auto"/>
          <w:szCs w:val="21"/>
          <w:highlight w:val="none"/>
          <w:lang w:eastAsia="zh-CN"/>
        </w:rPr>
      </w:pPr>
      <w:r>
        <w:rPr>
          <w:rFonts w:asciiTheme="minorEastAsia" w:hAnsiTheme="minorEastAsia" w:eastAsiaTheme="minorEastAsia"/>
          <w:b/>
          <w:bCs/>
          <w:color w:val="auto"/>
          <w:szCs w:val="21"/>
          <w:highlight w:val="none"/>
        </w:rPr>
        <w:t>2.</w:t>
      </w:r>
      <w:r>
        <w:rPr>
          <w:rFonts w:hint="eastAsia" w:asciiTheme="minorEastAsia" w:hAnsiTheme="minorEastAsia" w:eastAsiaTheme="minorEastAsia"/>
          <w:b/>
          <w:bCs/>
          <w:color w:val="auto"/>
          <w:szCs w:val="21"/>
          <w:highlight w:val="none"/>
        </w:rPr>
        <w:t>2项目名称：</w:t>
      </w:r>
      <w:r>
        <w:rPr>
          <w:rFonts w:hint="eastAsia" w:asciiTheme="minorEastAsia" w:hAnsiTheme="minorEastAsia" w:eastAsiaTheme="minorEastAsia"/>
          <w:b/>
          <w:bCs/>
          <w:color w:val="auto"/>
          <w:szCs w:val="21"/>
          <w:highlight w:val="none"/>
          <w:u w:val="single"/>
          <w:lang w:eastAsia="zh-CN"/>
        </w:rPr>
        <w:t>背阴山尾矿库分布式光伏发电项目</w:t>
      </w:r>
      <w:r>
        <w:rPr>
          <w:rFonts w:hint="eastAsia" w:asciiTheme="minorEastAsia" w:hAnsiTheme="minorEastAsia" w:eastAsiaTheme="minorEastAsia"/>
          <w:b/>
          <w:bCs/>
          <w:color w:val="auto"/>
          <w:szCs w:val="21"/>
          <w:highlight w:val="none"/>
          <w:u w:val="single"/>
          <w:lang w:val="en-US" w:eastAsia="zh-CN"/>
        </w:rPr>
        <w:t>送出线路设计施工总承包工程</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rPr>
          <w:rFonts w:hint="default" w:ascii="Times New Roman" w:hAnsi="Times New Roman" w:eastAsia="方正仿宋_GBK" w:cs="Times New Roman"/>
          <w:i w:val="0"/>
          <w:iCs w:val="0"/>
          <w:caps w:val="0"/>
          <w:color w:val="auto"/>
          <w:spacing w:val="0"/>
          <w:sz w:val="32"/>
          <w:szCs w:val="32"/>
          <w:highlight w:val="none"/>
          <w:lang w:val="en-US" w:eastAsia="zh-CN"/>
        </w:rPr>
      </w:pPr>
      <w:r>
        <w:rPr>
          <w:rFonts w:hint="eastAsia" w:cs="Times New Roman" w:asciiTheme="minorEastAsia" w:hAnsiTheme="minorEastAsia" w:eastAsiaTheme="minorEastAsia"/>
          <w:b/>
          <w:bCs/>
          <w:color w:val="auto"/>
          <w:szCs w:val="21"/>
          <w:highlight w:val="none"/>
          <w:lang w:val="en-US" w:eastAsia="zh-CN"/>
        </w:rPr>
        <w:t>2.3项目概况：</w:t>
      </w:r>
      <w:r>
        <w:rPr>
          <w:rFonts w:hint="eastAsia" w:asciiTheme="minorEastAsia" w:hAnsiTheme="minorEastAsia" w:eastAsiaTheme="minorEastAsia"/>
          <w:color w:val="auto"/>
          <w:szCs w:val="21"/>
          <w:highlight w:val="none"/>
          <w:lang w:val="en-US" w:eastAsia="zh-CN"/>
        </w:rPr>
        <w:t>背阴山尾矿库分布式光伏发电项目直流侧装机容量19.95MWp，交流侧装机容量15MW，以3回6.3kV线路(输送容量分别为6MW/4.5MW/4.5MW)送至35kV老厂变6.3kV侧母线，并同步对35kV老厂变6.3kV侧母线进行扩容改造。送出线路工程自光伏厂区集电线路延伸工程（开关站汇集后敷设3回电缆至尾矿库东侧坝后安全区域后上爬至第一送出线路塔，电缆路径长度约3*0.55km）末端为起点，通过架空线路向东南走线，接入35kV老厂变6.3kV间隔。</w:t>
      </w:r>
      <w:r>
        <w:rPr>
          <w:rFonts w:hint="eastAsia" w:asciiTheme="minorEastAsia" w:hAnsiTheme="minorEastAsia" w:eastAsiaTheme="minorEastAsia"/>
          <w:color w:val="auto"/>
          <w:szCs w:val="21"/>
          <w:highlight w:val="none"/>
          <w:lang w:val="en-US" w:eastAsia="zh-CN"/>
        </w:rPr>
        <w:t>新建架空线路长度约3×1.20km(采用同塔设计模式)，电缆路径长约3×0.13km</w:t>
      </w:r>
      <w:r>
        <w:rPr>
          <w:rFonts w:hint="eastAsia" w:asciiTheme="minorEastAsia" w:hAnsiTheme="minorEastAsia" w:eastAsiaTheme="minorEastAsia"/>
          <w:color w:val="auto"/>
          <w:szCs w:val="21"/>
          <w:highlight w:val="none"/>
          <w:lang w:val="en-US" w:eastAsia="zh-CN"/>
        </w:rPr>
        <w:t>。</w:t>
      </w:r>
      <w:r>
        <w:rPr>
          <w:rFonts w:hint="eastAsia" w:asciiTheme="minorEastAsia" w:hAnsiTheme="minorEastAsia" w:eastAsiaTheme="minorEastAsia"/>
          <w:b/>
          <w:bCs/>
          <w:color w:val="auto"/>
          <w:szCs w:val="21"/>
          <w:highlight w:val="none"/>
          <w:lang w:val="en-US" w:eastAsia="zh-CN"/>
        </w:rPr>
        <w:t>35kV老厂变6.3kV侧母线进行扩容改造：主要包含35kV老厂变6.3kV侧</w:t>
      </w:r>
      <w:r>
        <w:rPr>
          <w:rFonts w:hint="eastAsia" w:ascii="仿宋" w:hAnsi="仿宋" w:eastAsia="仿宋" w:cs="仿宋"/>
          <w:b/>
          <w:bCs/>
          <w:color w:val="auto"/>
          <w:szCs w:val="21"/>
          <w:highlight w:val="none"/>
          <w:lang w:val="en-US" w:eastAsia="zh-CN"/>
        </w:rPr>
        <w:t>Ⅰ</w:t>
      </w:r>
      <w:r>
        <w:rPr>
          <w:rFonts w:hint="eastAsia" w:asciiTheme="minorEastAsia" w:hAnsiTheme="minorEastAsia" w:eastAsiaTheme="minorEastAsia"/>
          <w:b/>
          <w:bCs/>
          <w:color w:val="auto"/>
          <w:szCs w:val="21"/>
          <w:highlight w:val="none"/>
          <w:lang w:val="en-US" w:eastAsia="zh-CN"/>
        </w:rPr>
        <w:t>段母线6111间隔扩容（主要包含新增6间隔环网柜及一、二次设备）、6.3</w:t>
      </w:r>
      <w:r>
        <w:rPr>
          <w:rFonts w:hint="default" w:asciiTheme="minorEastAsia" w:hAnsiTheme="minorEastAsia" w:eastAsiaTheme="minorEastAsia"/>
          <w:b/>
          <w:bCs/>
          <w:color w:val="auto"/>
          <w:szCs w:val="21"/>
          <w:highlight w:val="none"/>
          <w:lang w:eastAsia="zh-CN"/>
        </w:rPr>
        <w:t>kV</w:t>
      </w:r>
      <w:r>
        <w:rPr>
          <w:rFonts w:hint="eastAsia" w:asciiTheme="minorEastAsia" w:hAnsiTheme="minorEastAsia" w:eastAsiaTheme="minorEastAsia"/>
          <w:b/>
          <w:bCs/>
          <w:color w:val="auto"/>
          <w:szCs w:val="21"/>
          <w:highlight w:val="none"/>
          <w:lang w:val="en-US" w:eastAsia="zh-CN"/>
        </w:rPr>
        <w:t>侧</w:t>
      </w:r>
      <w:r>
        <w:rPr>
          <w:rFonts w:hint="eastAsia" w:ascii="仿宋" w:hAnsi="仿宋" w:eastAsia="仿宋" w:cs="仿宋"/>
          <w:b/>
          <w:bCs/>
          <w:color w:val="auto"/>
          <w:szCs w:val="21"/>
          <w:highlight w:val="none"/>
          <w:lang w:val="en-US" w:eastAsia="zh-CN"/>
        </w:rPr>
        <w:t>Ⅱ</w:t>
      </w:r>
      <w:r>
        <w:rPr>
          <w:rFonts w:hint="eastAsia" w:asciiTheme="minorEastAsia" w:hAnsiTheme="minorEastAsia" w:eastAsiaTheme="minorEastAsia"/>
          <w:b/>
          <w:bCs/>
          <w:color w:val="auto"/>
          <w:szCs w:val="21"/>
          <w:highlight w:val="none"/>
          <w:lang w:val="en-US" w:eastAsia="zh-CN"/>
        </w:rPr>
        <w:t>段母线6221间隔启用（主要包含更换电流互感器等一二次设备）。</w:t>
      </w:r>
      <w:r>
        <w:rPr>
          <w:rFonts w:hint="eastAsia" w:asciiTheme="minorEastAsia" w:hAnsiTheme="minorEastAsia" w:eastAsiaTheme="minorEastAsia"/>
          <w:color w:val="auto"/>
          <w:szCs w:val="21"/>
          <w:highlight w:val="none"/>
          <w:lang w:val="en-US" w:eastAsia="zh-CN"/>
        </w:rPr>
        <w:t>如线路路径方案发生重大变化，应将新的路径方案报电网公司同意。与电网重要交叉跨越点设计须满足云南电网相关技术要求。</w:t>
      </w:r>
    </w:p>
    <w:p>
      <w:pPr>
        <w:snapToGrid w:val="0"/>
        <w:spacing w:line="360" w:lineRule="auto"/>
        <w:ind w:firstLine="420"/>
        <w:rPr>
          <w:rFonts w:hint="eastAsia" w:asciiTheme="minorEastAsia" w:hAnsiTheme="minorEastAsia" w:eastAsiaTheme="minorEastAsia"/>
          <w:color w:val="auto"/>
          <w:szCs w:val="21"/>
          <w:highlight w:val="none"/>
        </w:rPr>
      </w:pPr>
      <w:r>
        <w:rPr>
          <w:rFonts w:hint="eastAsia" w:cs="Times New Roman" w:asciiTheme="minorEastAsia" w:hAnsiTheme="minorEastAsia" w:eastAsiaTheme="minorEastAsia"/>
          <w:b/>
          <w:bCs/>
          <w:color w:val="auto"/>
          <w:szCs w:val="21"/>
          <w:highlight w:val="none"/>
          <w:lang w:val="en-US" w:eastAsia="zh-CN"/>
        </w:rPr>
        <w:t>2.4招标范围：</w:t>
      </w:r>
      <w:r>
        <w:rPr>
          <w:rFonts w:hint="eastAsia" w:asciiTheme="minorEastAsia" w:hAnsiTheme="minorEastAsia" w:eastAsiaTheme="minorEastAsia"/>
          <w:color w:val="auto"/>
          <w:szCs w:val="21"/>
          <w:highlight w:val="none"/>
        </w:rPr>
        <w:t>本次招标为背阴山尾矿库分布式光伏发电项目</w:t>
      </w:r>
      <w:r>
        <w:rPr>
          <w:rFonts w:hint="eastAsia" w:asciiTheme="minorEastAsia" w:hAnsiTheme="minorEastAsia" w:eastAsiaTheme="minorEastAsia"/>
          <w:color w:val="auto"/>
          <w:szCs w:val="21"/>
          <w:highlight w:val="none"/>
          <w:lang w:val="en-US" w:eastAsia="zh-CN"/>
        </w:rPr>
        <w:t>送出线路</w:t>
      </w:r>
      <w:r>
        <w:rPr>
          <w:rFonts w:hint="eastAsia" w:asciiTheme="minorEastAsia" w:hAnsiTheme="minorEastAsia" w:eastAsiaTheme="minorEastAsia"/>
          <w:b/>
          <w:bCs/>
          <w:color w:val="auto"/>
          <w:szCs w:val="21"/>
          <w:highlight w:val="none"/>
          <w:lang w:val="en-US" w:eastAsia="zh-CN"/>
        </w:rPr>
        <w:t>及对侧35kV老厂变6.3kV侧母线扩容改造</w:t>
      </w:r>
      <w:r>
        <w:rPr>
          <w:rFonts w:hint="eastAsia" w:asciiTheme="minorEastAsia" w:hAnsiTheme="minorEastAsia" w:eastAsiaTheme="minorEastAsia"/>
          <w:color w:val="auto"/>
          <w:szCs w:val="21"/>
          <w:highlight w:val="none"/>
          <w:lang w:val="en-US" w:eastAsia="zh-CN"/>
        </w:rPr>
        <w:t>设计施工总承包工程</w:t>
      </w:r>
      <w:r>
        <w:rPr>
          <w:rFonts w:hint="eastAsia" w:asciiTheme="minorEastAsia" w:hAnsiTheme="minorEastAsia" w:eastAsiaTheme="minorEastAsia"/>
          <w:color w:val="auto"/>
          <w:szCs w:val="21"/>
          <w:highlight w:val="none"/>
        </w:rPr>
        <w:t>的施工图设计、勘察、材料采购、线路及相关工程施工、全过程协调工作、移交生产及质保期</w:t>
      </w:r>
      <w:r>
        <w:rPr>
          <w:rFonts w:hint="eastAsia" w:asciiTheme="minorEastAsia" w:hAnsiTheme="minorEastAsia" w:eastAsiaTheme="minorEastAsia"/>
          <w:color w:val="auto"/>
          <w:szCs w:val="21"/>
          <w:highlight w:val="none"/>
          <w:lang w:val="en-US" w:eastAsia="zh-CN"/>
        </w:rPr>
        <w:t>一</w:t>
      </w:r>
      <w:r>
        <w:rPr>
          <w:rFonts w:hint="eastAsia" w:asciiTheme="minorEastAsia" w:hAnsiTheme="minorEastAsia" w:eastAsiaTheme="minorEastAsia"/>
          <w:color w:val="auto"/>
          <w:szCs w:val="21"/>
          <w:highlight w:val="none"/>
        </w:rPr>
        <w:t>年内的全部工作</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rPr>
        <w:t>（包括但不限于）：</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.1</w:t>
      </w:r>
      <w:r>
        <w:rPr>
          <w:rFonts w:hint="eastAsia" w:asciiTheme="minorEastAsia" w:hAnsiTheme="minorEastAsia" w:eastAsiaTheme="minorEastAsia"/>
          <w:color w:val="auto"/>
          <w:szCs w:val="21"/>
          <w:highlight w:val="none"/>
          <w:lang w:val="en-US" w:eastAsia="zh-CN"/>
        </w:rPr>
        <w:t xml:space="preserve"> </w:t>
      </w:r>
      <w:r>
        <w:rPr>
          <w:rFonts w:hint="eastAsia" w:asciiTheme="minorEastAsia" w:hAnsiTheme="minorEastAsia" w:eastAsiaTheme="minorEastAsia"/>
          <w:color w:val="auto"/>
          <w:szCs w:val="21"/>
          <w:highlight w:val="none"/>
        </w:rPr>
        <w:t>送出工程（</w:t>
      </w:r>
      <w:r>
        <w:rPr>
          <w:rFonts w:hint="eastAsia" w:asciiTheme="minorEastAsia" w:hAnsiTheme="minorEastAsia" w:eastAsiaTheme="minorEastAsia"/>
          <w:color w:val="auto"/>
          <w:szCs w:val="21"/>
          <w:highlight w:val="none"/>
        </w:rPr>
        <w:t>含</w:t>
      </w:r>
      <w:r>
        <w:rPr>
          <w:rFonts w:hint="eastAsia" w:asciiTheme="minorEastAsia" w:hAnsiTheme="minorEastAsia" w:eastAsiaTheme="minorEastAsia"/>
          <w:color w:val="auto"/>
          <w:szCs w:val="21"/>
          <w:highlight w:val="none"/>
          <w:lang w:val="en-US" w:eastAsia="zh-CN"/>
        </w:rPr>
        <w:t>满足南方电网要求因光</w:t>
      </w:r>
      <w:r>
        <w:rPr>
          <w:rFonts w:hint="eastAsia" w:cs="Times New Roman" w:asciiTheme="minorEastAsia" w:hAnsiTheme="minorEastAsia" w:eastAsiaTheme="minorEastAsia"/>
          <w:color w:val="auto"/>
          <w:szCs w:val="21"/>
          <w:highlight w:val="none"/>
          <w:lang w:val="en-US" w:eastAsia="zh-CN"/>
        </w:rPr>
        <w:t>伏发电项目接入所产生的对侧35kV老厂变设备改造工程，</w:t>
      </w:r>
      <w:r>
        <w:rPr>
          <w:rFonts w:hint="eastAsia" w:asciiTheme="minorEastAsia" w:hAnsiTheme="minorEastAsia" w:eastAsiaTheme="minorEastAsia"/>
          <w:color w:val="auto"/>
          <w:szCs w:val="21"/>
          <w:highlight w:val="none"/>
          <w:lang w:val="en-US" w:eastAsia="zh-CN"/>
        </w:rPr>
        <w:t>不含光伏厂区集电线路延伸工程（光伏项目开关站经过尾矿坝区域范围至送出线路第一基塔位置的电缆工程）</w:t>
      </w:r>
      <w:r>
        <w:rPr>
          <w:rFonts w:hint="eastAsia" w:asciiTheme="minorEastAsia" w:hAnsiTheme="minorEastAsia" w:eastAsiaTheme="minorEastAsia"/>
          <w:color w:val="auto"/>
          <w:szCs w:val="21"/>
          <w:highlight w:val="none"/>
        </w:rPr>
        <w:t>）勘察设计及施工，包括但不限于：施工图设计及设计优化，所需的所有设备及材料的采购、运输、储管、安装、调试、试验、验收、试运行、消缺等（所有设备及材料需满足电网公司的接入要求），所有建筑及安装工程施工，试验及检查测试，试运行，并网，消缺，验收（含阶段验收、竣工等），移交生产，性能质量保证，工程质量保修期</w:t>
      </w:r>
      <w:r>
        <w:rPr>
          <w:rFonts w:hint="eastAsia" w:cs="Times New Roman" w:asciiTheme="minorEastAsia" w:hAnsiTheme="minorEastAsia" w:eastAsiaTheme="minorEastAsia"/>
          <w:color w:val="auto"/>
          <w:szCs w:val="21"/>
          <w:highlight w:val="none"/>
        </w:rPr>
        <w:t>限的服务等内容</w:t>
      </w:r>
      <w:r>
        <w:rPr>
          <w:rFonts w:hint="eastAsia" w:cs="Times New Roman" w:asciiTheme="minorEastAsia" w:hAnsiTheme="minorEastAsia" w:eastAsiaTheme="minorEastAsia"/>
          <w:color w:val="auto"/>
          <w:szCs w:val="21"/>
          <w:highlight w:val="none"/>
          <w:lang w:eastAsia="zh-CN"/>
        </w:rPr>
        <w:t>，不含业主单位按照地方政府或行政主管部门要求单独缴纳的行政性费用。</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2</w:t>
      </w:r>
      <w:r>
        <w:rPr>
          <w:rFonts w:hint="eastAsia" w:asciiTheme="minorEastAsia" w:hAnsiTheme="minorEastAsia" w:eastAsiaTheme="minorEastAsia"/>
          <w:color w:val="auto"/>
          <w:szCs w:val="21"/>
          <w:highlight w:val="none"/>
        </w:rPr>
        <w:t>负责该线路路径</w:t>
      </w:r>
      <w:r>
        <w:rPr>
          <w:rFonts w:hint="eastAsia" w:asciiTheme="minorEastAsia" w:hAnsiTheme="minorEastAsia" w:eastAsiaTheme="minorEastAsia"/>
          <w:color w:val="auto"/>
          <w:szCs w:val="21"/>
          <w:highlight w:val="none"/>
          <w:lang w:val="en-US" w:eastAsia="zh-CN"/>
        </w:rPr>
        <w:t>交叉</w:t>
      </w:r>
      <w:r>
        <w:rPr>
          <w:rFonts w:hint="eastAsia" w:asciiTheme="minorEastAsia" w:hAnsiTheme="minorEastAsia" w:eastAsiaTheme="minorEastAsia"/>
          <w:color w:val="auto"/>
          <w:szCs w:val="21"/>
          <w:highlight w:val="none"/>
        </w:rPr>
        <w:t>跨越协调工作、迁改工作，包括但不限于：涉及跨越、钻越不同电压等级电力线路，涉及跨越、钻越各种等级铁路、高速公路、公路等，直至线路正常投运。</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w:t>
      </w:r>
      <w:r>
        <w:rPr>
          <w:rFonts w:hint="eastAsia" w:asciiTheme="minorEastAsia" w:hAnsiTheme="minorEastAsia" w:eastAsiaTheme="minorEastAsia"/>
          <w:color w:val="auto"/>
          <w:szCs w:val="21"/>
          <w:highlight w:val="none"/>
        </w:rPr>
        <w:t>负责征地协调、通道清理及相关手续办理工作，</w:t>
      </w:r>
      <w:r>
        <w:rPr>
          <w:rFonts w:hint="eastAsia" w:asciiTheme="minorEastAsia" w:hAnsiTheme="minorEastAsia" w:eastAsiaTheme="minorEastAsia"/>
          <w:color w:val="auto"/>
          <w:szCs w:val="21"/>
          <w:highlight w:val="none"/>
          <w:lang w:val="en-US" w:eastAsia="zh-CN"/>
        </w:rPr>
        <w:t>包含</w:t>
      </w:r>
      <w:r>
        <w:rPr>
          <w:rFonts w:hint="eastAsia" w:asciiTheme="minorEastAsia" w:hAnsiTheme="minorEastAsia" w:eastAsiaTheme="minorEastAsia"/>
          <w:color w:val="auto"/>
          <w:szCs w:val="21"/>
          <w:highlight w:val="none"/>
        </w:rPr>
        <w:t>永久征地补偿、临时征地补偿、青苗补偿、附（构）筑物补偿等费用。</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负责本工程所</w:t>
      </w:r>
      <w:r>
        <w:rPr>
          <w:rFonts w:hint="eastAsia" w:asciiTheme="minorEastAsia" w:hAnsiTheme="minorEastAsia" w:eastAsiaTheme="minorEastAsia"/>
          <w:color w:val="auto"/>
          <w:szCs w:val="21"/>
          <w:highlight w:val="none"/>
          <w:lang w:val="en-US" w:eastAsia="zh-CN"/>
        </w:rPr>
        <w:t>必须</w:t>
      </w:r>
      <w:r>
        <w:rPr>
          <w:rFonts w:hint="eastAsia" w:asciiTheme="minorEastAsia" w:hAnsiTheme="minorEastAsia" w:eastAsiaTheme="minorEastAsia"/>
          <w:color w:val="auto"/>
          <w:szCs w:val="21"/>
          <w:highlight w:val="none"/>
        </w:rPr>
        <w:t>的图纸会审</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rPr>
        <w:t>负责</w:t>
      </w:r>
      <w:r>
        <w:rPr>
          <w:rFonts w:hint="eastAsia" w:asciiTheme="minorEastAsia" w:hAnsiTheme="minorEastAsia" w:eastAsiaTheme="minorEastAsia"/>
          <w:color w:val="auto"/>
          <w:szCs w:val="21"/>
          <w:highlight w:val="none"/>
          <w:lang w:val="en-US" w:eastAsia="zh-CN"/>
        </w:rPr>
        <w:t>工程</w:t>
      </w:r>
      <w:r>
        <w:rPr>
          <w:rFonts w:hint="eastAsia" w:asciiTheme="minorEastAsia" w:hAnsiTheme="minorEastAsia" w:eastAsiaTheme="minorEastAsia"/>
          <w:color w:val="auto"/>
          <w:szCs w:val="21"/>
          <w:highlight w:val="none"/>
        </w:rPr>
        <w:t>所</w:t>
      </w:r>
      <w:r>
        <w:rPr>
          <w:rFonts w:hint="eastAsia" w:asciiTheme="minorEastAsia" w:hAnsiTheme="minorEastAsia" w:eastAsiaTheme="minorEastAsia"/>
          <w:color w:val="auto"/>
          <w:szCs w:val="21"/>
          <w:highlight w:val="none"/>
          <w:lang w:val="en-US" w:eastAsia="zh-CN"/>
        </w:rPr>
        <w:t>涉及的</w:t>
      </w:r>
      <w:r>
        <w:rPr>
          <w:rFonts w:hint="eastAsia" w:asciiTheme="minorEastAsia" w:hAnsiTheme="minorEastAsia" w:eastAsiaTheme="minorEastAsia"/>
          <w:color w:val="auto"/>
          <w:szCs w:val="21"/>
          <w:highlight w:val="none"/>
        </w:rPr>
        <w:t>投运前验收、并网试验</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lang w:val="en-US" w:eastAsia="zh-CN"/>
        </w:rPr>
        <w:t>客户厂站电网</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rPr>
        <w:t>、联调联试</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rPr>
        <w:t>并网</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lang w:val="en-US" w:eastAsia="zh-CN"/>
        </w:rPr>
        <w:t>客户厂站电网</w:t>
      </w:r>
      <w:r>
        <w:rPr>
          <w:rFonts w:hint="eastAsia" w:asciiTheme="minorEastAsia" w:hAnsiTheme="minorEastAsia" w:eastAsiaTheme="minorEastAsia"/>
          <w:color w:val="auto"/>
          <w:szCs w:val="21"/>
          <w:highlight w:val="none"/>
          <w:lang w:eastAsia="zh-CN"/>
        </w:rPr>
        <w:t>）</w:t>
      </w:r>
      <w:r>
        <w:rPr>
          <w:rFonts w:hint="eastAsia" w:asciiTheme="minorEastAsia" w:hAnsiTheme="minorEastAsia" w:eastAsiaTheme="minorEastAsia"/>
          <w:color w:val="auto"/>
          <w:szCs w:val="21"/>
          <w:highlight w:val="none"/>
        </w:rPr>
        <w:t>手续的办理工作，并承担相应的费用直至满足需要投产要求。</w:t>
      </w:r>
      <w:r>
        <w:rPr>
          <w:rFonts w:hint="eastAsia" w:asciiTheme="minorEastAsia" w:hAnsiTheme="minorEastAsia" w:eastAsiaTheme="minorEastAsia"/>
          <w:color w:val="auto"/>
          <w:szCs w:val="21"/>
          <w:highlight w:val="none"/>
          <w:lang w:val="en-US" w:eastAsia="zh-CN"/>
        </w:rPr>
        <w:t>配合</w:t>
      </w:r>
      <w:r>
        <w:rPr>
          <w:rFonts w:hint="eastAsia" w:asciiTheme="minorEastAsia" w:hAnsiTheme="minorEastAsia" w:eastAsiaTheme="minorEastAsia"/>
          <w:color w:val="auto"/>
          <w:szCs w:val="21"/>
          <w:highlight w:val="none"/>
        </w:rPr>
        <w:t>业主</w:t>
      </w:r>
      <w:r>
        <w:rPr>
          <w:rFonts w:hint="eastAsia" w:asciiTheme="minorEastAsia" w:hAnsiTheme="minorEastAsia" w:eastAsiaTheme="minorEastAsia"/>
          <w:color w:val="auto"/>
          <w:szCs w:val="21"/>
          <w:highlight w:val="none"/>
          <w:lang w:val="en-US" w:eastAsia="zh-CN"/>
        </w:rPr>
        <w:t>完成（若有）的</w:t>
      </w:r>
      <w:r>
        <w:rPr>
          <w:rFonts w:hint="eastAsia" w:asciiTheme="minorEastAsia" w:hAnsiTheme="minorEastAsia" w:eastAsiaTheme="minorEastAsia"/>
          <w:color w:val="auto"/>
          <w:szCs w:val="21"/>
          <w:highlight w:val="none"/>
        </w:rPr>
        <w:t>环保验收、消防验收、水保验收</w:t>
      </w:r>
      <w:r>
        <w:rPr>
          <w:rFonts w:hint="eastAsia" w:asciiTheme="minorEastAsia" w:hAnsiTheme="minorEastAsia" w:eastAsiaTheme="minorEastAsia"/>
          <w:color w:val="auto"/>
          <w:szCs w:val="21"/>
          <w:highlight w:val="none"/>
          <w:lang w:val="en-US" w:eastAsia="zh-CN"/>
        </w:rPr>
        <w:t>等工作</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不包含</w:t>
      </w:r>
      <w:r>
        <w:rPr>
          <w:rFonts w:hint="eastAsia" w:asciiTheme="minorEastAsia" w:hAnsiTheme="minorEastAsia" w:eastAsiaTheme="minorEastAsia"/>
          <w:color w:val="auto"/>
          <w:szCs w:val="21"/>
          <w:highlight w:val="none"/>
        </w:rPr>
        <w:t>环保验收、消防验收、水保验收</w:t>
      </w:r>
      <w:r>
        <w:rPr>
          <w:rFonts w:hint="eastAsia" w:asciiTheme="minorEastAsia" w:hAnsiTheme="minorEastAsia" w:eastAsiaTheme="minorEastAsia"/>
          <w:color w:val="auto"/>
          <w:szCs w:val="21"/>
          <w:highlight w:val="none"/>
          <w:lang w:val="en-US" w:eastAsia="zh-CN"/>
        </w:rPr>
        <w:t>等专项验收费用，</w:t>
      </w:r>
      <w:r>
        <w:rPr>
          <w:rFonts w:hint="eastAsia" w:asciiTheme="minorEastAsia" w:hAnsiTheme="minorEastAsia" w:eastAsiaTheme="minorEastAsia"/>
          <w:color w:val="auto"/>
          <w:szCs w:val="21"/>
          <w:highlight w:val="none"/>
        </w:rPr>
        <w:t>直至满足需要投产要求。</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负责办理质量监督手续，配合业主组织质量监督验收。</w:t>
      </w:r>
    </w:p>
    <w:p>
      <w:pPr>
        <w:snapToGrid w:val="0"/>
        <w:spacing w:line="360" w:lineRule="auto"/>
        <w:ind w:firstLine="420" w:firstLineChars="200"/>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w:t>
      </w:r>
      <w:r>
        <w:rPr>
          <w:rFonts w:hint="eastAsia" w:asciiTheme="minorEastAsia" w:hAnsiTheme="minorEastAsia" w:eastAsiaTheme="minorEastAsia"/>
          <w:color w:val="auto"/>
          <w:szCs w:val="21"/>
          <w:highlight w:val="none"/>
        </w:rPr>
        <w:t>负责所有与</w:t>
      </w:r>
      <w:r>
        <w:rPr>
          <w:rFonts w:hint="eastAsia" w:asciiTheme="minorEastAsia" w:hAnsiTheme="minorEastAsia" w:eastAsiaTheme="minorEastAsia"/>
          <w:color w:val="auto"/>
          <w:szCs w:val="21"/>
          <w:highlight w:val="none"/>
        </w:rPr>
        <w:t>本工程相关的协调工作，</w:t>
      </w:r>
      <w:r>
        <w:rPr>
          <w:rFonts w:hint="eastAsia" w:asciiTheme="minorEastAsia" w:hAnsiTheme="minorEastAsia" w:eastAsiaTheme="minorEastAsia"/>
          <w:color w:val="auto"/>
          <w:szCs w:val="21"/>
          <w:highlight w:val="none"/>
          <w:lang w:val="en-US" w:eastAsia="zh-CN"/>
        </w:rPr>
        <w:t>配合业主完成送出线路工程可能发生（若有）的前期手续办理工作，不包含前期专题报告编制等费用。</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lang w:eastAsia="zh-CN"/>
        </w:rPr>
        <w:t>申请人</w:t>
      </w:r>
      <w:r>
        <w:rPr>
          <w:rFonts w:hint="eastAsia" w:asciiTheme="minorEastAsia" w:hAnsiTheme="minorEastAsia" w:eastAsiaTheme="minorEastAsia"/>
          <w:color w:val="auto"/>
          <w:szCs w:val="21"/>
          <w:highlight w:val="none"/>
        </w:rPr>
        <w:t>应认真开展现场踏勘，对项目线路征地风险、征地协调、交叉跨越等应充分考虑，并包括在投标报价中，因承包人原因导致的费用增加发包人不予认可。</w:t>
      </w:r>
    </w:p>
    <w:p>
      <w:pPr>
        <w:snapToGrid w:val="0"/>
        <w:spacing w:line="360" w:lineRule="auto"/>
        <w:ind w:firstLine="420"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lang w:val="en-US" w:eastAsia="zh-CN"/>
        </w:rPr>
        <w:t>4</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8</w:t>
      </w:r>
      <w:r>
        <w:rPr>
          <w:rFonts w:hint="eastAsia" w:asciiTheme="minorEastAsia" w:hAnsiTheme="minorEastAsia" w:eastAsiaTheme="minorEastAsia"/>
          <w:color w:val="auto"/>
          <w:szCs w:val="21"/>
          <w:highlight w:val="none"/>
        </w:rPr>
        <w:t>本工程质保期时间为</w:t>
      </w:r>
      <w:r>
        <w:rPr>
          <w:rFonts w:hint="eastAsia" w:asciiTheme="minorEastAsia" w:hAnsiTheme="minorEastAsia" w:eastAsiaTheme="minorEastAsia"/>
          <w:color w:val="auto"/>
          <w:szCs w:val="21"/>
          <w:highlight w:val="none"/>
          <w:lang w:val="en-US" w:eastAsia="zh-CN"/>
        </w:rPr>
        <w:t>1</w:t>
      </w:r>
      <w:r>
        <w:rPr>
          <w:rFonts w:hint="eastAsia" w:asciiTheme="minorEastAsia" w:hAnsiTheme="minorEastAsia" w:eastAsiaTheme="minorEastAsia"/>
          <w:color w:val="auto"/>
          <w:szCs w:val="21"/>
          <w:highlight w:val="none"/>
        </w:rPr>
        <w:t>年。</w:t>
      </w:r>
    </w:p>
    <w:p>
      <w:pPr>
        <w:snapToGrid w:val="0"/>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注：</w:t>
      </w:r>
      <w:r>
        <w:rPr>
          <w:rFonts w:hint="eastAsia" w:asciiTheme="minorEastAsia" w:hAnsiTheme="minorEastAsia" w:eastAsiaTheme="minorEastAsia"/>
          <w:color w:val="auto"/>
          <w:szCs w:val="21"/>
          <w:highlight w:val="none"/>
          <w:lang w:eastAsia="zh-CN"/>
        </w:rPr>
        <w:t>申请人</w:t>
      </w:r>
      <w:r>
        <w:rPr>
          <w:rFonts w:hint="eastAsia" w:asciiTheme="minorEastAsia" w:hAnsiTheme="minorEastAsia" w:eastAsiaTheme="minorEastAsia"/>
          <w:color w:val="auto"/>
          <w:szCs w:val="21"/>
          <w:highlight w:val="none"/>
        </w:rPr>
        <w:t>需对招标内容进行完整报价，否则按不实质性响应招标文件处理。具体要求详见第五章技术标准和要求。</w:t>
      </w:r>
    </w:p>
    <w:p>
      <w:pPr>
        <w:snapToGrid w:val="0"/>
        <w:spacing w:line="360" w:lineRule="auto"/>
        <w:ind w:firstLine="422" w:firstLineChars="200"/>
        <w:rPr>
          <w:rFonts w:asciiTheme="minorEastAsia" w:hAnsiTheme="minorEastAsia" w:eastAsiaTheme="minorEastAsia"/>
          <w:b/>
          <w:bCs/>
          <w:color w:val="auto"/>
          <w:szCs w:val="21"/>
          <w:highlight w:val="none"/>
        </w:rPr>
      </w:pPr>
      <w:bookmarkStart w:id="16" w:name="_Toc86124035"/>
      <w:r>
        <w:rPr>
          <w:rFonts w:hint="eastAsia" w:asciiTheme="minorEastAsia" w:hAnsiTheme="minorEastAsia" w:eastAsiaTheme="minorEastAsia"/>
          <w:b/>
          <w:bCs/>
          <w:color w:val="auto"/>
          <w:szCs w:val="21"/>
          <w:highlight w:val="none"/>
        </w:rPr>
        <w:t>2.</w:t>
      </w:r>
      <w:r>
        <w:rPr>
          <w:rFonts w:asciiTheme="minorEastAsia" w:hAnsiTheme="minorEastAsia" w:eastAsiaTheme="minorEastAsia"/>
          <w:b/>
          <w:bCs/>
          <w:color w:val="auto"/>
          <w:szCs w:val="21"/>
          <w:highlight w:val="none"/>
        </w:rPr>
        <w:t>5</w:t>
      </w:r>
      <w:r>
        <w:rPr>
          <w:rFonts w:hint="eastAsia" w:asciiTheme="minorEastAsia" w:hAnsiTheme="minorEastAsia" w:eastAsiaTheme="minorEastAsia"/>
          <w:b/>
          <w:bCs/>
          <w:color w:val="auto"/>
          <w:szCs w:val="21"/>
          <w:highlight w:val="none"/>
        </w:rPr>
        <w:t>计划工期：</w:t>
      </w:r>
      <w:r>
        <w:rPr>
          <w:rFonts w:hint="eastAsia" w:asciiTheme="minorEastAsia" w:hAnsiTheme="minorEastAsia" w:eastAsiaTheme="minorEastAsia"/>
          <w:b/>
          <w:bCs/>
          <w:color w:val="auto"/>
          <w:szCs w:val="21"/>
          <w:highlight w:val="none"/>
        </w:rPr>
        <w:t>本项目计划</w:t>
      </w:r>
      <w:r>
        <w:rPr>
          <w:rFonts w:hint="default" w:asciiTheme="minorEastAsia" w:hAnsiTheme="minorEastAsia" w:eastAsiaTheme="minorEastAsia"/>
          <w:b/>
          <w:bCs/>
          <w:color w:val="auto"/>
          <w:szCs w:val="21"/>
          <w:highlight w:val="none"/>
        </w:rPr>
        <w:t>工期</w:t>
      </w:r>
      <w:r>
        <w:rPr>
          <w:rFonts w:hint="eastAsia" w:asciiTheme="minorEastAsia" w:hAnsiTheme="minorEastAsia" w:eastAsiaTheme="minorEastAsia"/>
          <w:b/>
          <w:bCs/>
          <w:color w:val="auto"/>
          <w:szCs w:val="21"/>
          <w:highlight w:val="none"/>
        </w:rPr>
        <w:t>共计</w:t>
      </w:r>
      <w:r>
        <w:rPr>
          <w:rFonts w:hint="eastAsia" w:asciiTheme="minorEastAsia" w:hAnsiTheme="minorEastAsia" w:eastAsiaTheme="minorEastAsia"/>
          <w:b/>
          <w:bCs/>
          <w:color w:val="auto"/>
          <w:szCs w:val="21"/>
          <w:highlight w:val="none"/>
          <w:lang w:val="en-US" w:eastAsia="zh-CN"/>
        </w:rPr>
        <w:t>50</w:t>
      </w:r>
      <w:r>
        <w:rPr>
          <w:rFonts w:hint="eastAsia" w:asciiTheme="minorEastAsia" w:hAnsiTheme="minorEastAsia" w:eastAsiaTheme="minorEastAsia"/>
          <w:b/>
          <w:bCs/>
          <w:color w:val="auto"/>
          <w:szCs w:val="21"/>
          <w:highlight w:val="none"/>
        </w:rPr>
        <w:t>日历天（含勘察、设计周期）</w:t>
      </w:r>
      <w:r>
        <w:rPr>
          <w:rFonts w:hint="eastAsia" w:asciiTheme="minorEastAsia" w:hAnsiTheme="minorEastAsia" w:eastAsiaTheme="minorEastAsia"/>
          <w:b/>
          <w:bCs/>
          <w:color w:val="auto"/>
          <w:szCs w:val="21"/>
          <w:highlight w:val="none"/>
          <w:lang w:eastAsia="zh-CN"/>
        </w:rPr>
        <w:t>。</w:t>
      </w:r>
      <w:r>
        <w:rPr>
          <w:rFonts w:hint="eastAsia" w:asciiTheme="minorEastAsia" w:hAnsiTheme="minorEastAsia" w:eastAsiaTheme="minorEastAsia"/>
          <w:b/>
          <w:bCs/>
          <w:color w:val="auto"/>
          <w:szCs w:val="21"/>
          <w:highlight w:val="none"/>
        </w:rPr>
        <w:t>合同签订后按建设方要求开工，总工期满足项目要求</w:t>
      </w:r>
      <w:r>
        <w:rPr>
          <w:rFonts w:hint="eastAsia" w:cs="Times New Roman" w:asciiTheme="minorEastAsia" w:hAnsiTheme="minorEastAsia" w:eastAsiaTheme="minorEastAsia"/>
          <w:color w:val="auto"/>
          <w:szCs w:val="21"/>
          <w:highlight w:val="none"/>
          <w:lang w:val="en-US" w:eastAsia="zh-CN"/>
        </w:rPr>
        <w:t>。</w:t>
      </w:r>
    </w:p>
    <w:p>
      <w:pPr>
        <w:snapToGrid w:val="0"/>
        <w:spacing w:line="360" w:lineRule="auto"/>
        <w:ind w:firstLine="422" w:firstLineChars="200"/>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b/>
          <w:bCs/>
          <w:color w:val="auto"/>
          <w:szCs w:val="21"/>
          <w:highlight w:val="none"/>
        </w:rPr>
        <w:t>2</w:t>
      </w:r>
      <w:r>
        <w:rPr>
          <w:rFonts w:asciiTheme="minorEastAsia" w:hAnsiTheme="minorEastAsia" w:eastAsiaTheme="minorEastAsia"/>
          <w:b/>
          <w:bCs/>
          <w:color w:val="auto"/>
          <w:szCs w:val="21"/>
          <w:highlight w:val="none"/>
        </w:rPr>
        <w:t>.6</w:t>
      </w:r>
      <w:r>
        <w:rPr>
          <w:rFonts w:hint="eastAsia" w:asciiTheme="minorEastAsia" w:hAnsiTheme="minorEastAsia" w:eastAsiaTheme="minorEastAsia"/>
          <w:b/>
          <w:bCs/>
          <w:color w:val="auto"/>
          <w:szCs w:val="21"/>
          <w:highlight w:val="none"/>
        </w:rPr>
        <w:t>项目实施地点：</w:t>
      </w:r>
      <w:r>
        <w:rPr>
          <w:rFonts w:hint="eastAsia" w:asciiTheme="minorEastAsia" w:hAnsiTheme="minorEastAsia" w:eastAsiaTheme="minorEastAsia"/>
          <w:color w:val="auto"/>
          <w:szCs w:val="21"/>
          <w:highlight w:val="none"/>
        </w:rPr>
        <w:t>云南省</w:t>
      </w:r>
      <w:r>
        <w:rPr>
          <w:rFonts w:hint="eastAsia" w:asciiTheme="minorEastAsia" w:hAnsiTheme="minorEastAsia" w:eastAsiaTheme="minorEastAsia"/>
          <w:color w:val="auto"/>
          <w:szCs w:val="21"/>
          <w:highlight w:val="none"/>
          <w:lang w:val="en-US" w:eastAsia="zh-CN"/>
        </w:rPr>
        <w:t>个旧市老厂镇</w:t>
      </w:r>
    </w:p>
    <w:p>
      <w:pPr>
        <w:snapToGrid w:val="0"/>
        <w:spacing w:line="360" w:lineRule="auto"/>
        <w:ind w:firstLine="422"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2.</w:t>
      </w:r>
      <w:r>
        <w:rPr>
          <w:rFonts w:asciiTheme="minorEastAsia" w:hAnsiTheme="minorEastAsia" w:eastAsiaTheme="minorEastAsia"/>
          <w:b/>
          <w:bCs/>
          <w:color w:val="auto"/>
          <w:szCs w:val="21"/>
          <w:highlight w:val="none"/>
        </w:rPr>
        <w:t>7</w:t>
      </w:r>
      <w:r>
        <w:rPr>
          <w:rFonts w:hint="eastAsia" w:asciiTheme="minorEastAsia" w:hAnsiTheme="minorEastAsia" w:eastAsiaTheme="minorEastAsia"/>
          <w:b/>
          <w:bCs/>
          <w:color w:val="auto"/>
          <w:szCs w:val="21"/>
          <w:highlight w:val="none"/>
        </w:rPr>
        <w:t>质量标准及要求：</w:t>
      </w:r>
      <w:r>
        <w:rPr>
          <w:rFonts w:hint="eastAsia" w:asciiTheme="minorEastAsia" w:hAnsiTheme="minorEastAsia" w:eastAsiaTheme="minorEastAsia"/>
          <w:color w:val="auto"/>
          <w:szCs w:val="21"/>
          <w:highlight w:val="none"/>
        </w:rPr>
        <w:t>符合国家、行业相关标准和规范，满足招标人要求。</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2.7.1设计质量标准：符合国家、地方及行业现行的设计标准、规范和规程的要求，确保设计成果资料完整、真实准确、清晰有据、符合项目实际。</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2.7.2采购要求的质量标准：提供的设备和材料是全新的、符合国家质量标准、有关手续完备、具有生产厂家质量合格证明，实现高水平达标投产，主要技术经济指标达到设计值，满足接入电网要求，同时满足招标文件各项技术要求。</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2.7.3施工要求的质量标准：符合国家、地方及电力行业现行相关的强制性标准、质量验收（或检验评定）标准及规范的要求，工程经最终质量验收评定，所有建筑安装工程合格率100%，单位工程优良率100%，保证电力设施的正常运行及设施设备的安全，并确保一次性验收合格。</w:t>
      </w:r>
    </w:p>
    <w:p>
      <w:pPr>
        <w:snapToGrid w:val="0"/>
        <w:spacing w:line="360" w:lineRule="auto"/>
        <w:ind w:firstLine="422" w:firstLineChars="200"/>
        <w:rPr>
          <w:rFonts w:hint="eastAsia"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2</w:t>
      </w:r>
      <w:r>
        <w:rPr>
          <w:rFonts w:asciiTheme="minorEastAsia" w:hAnsiTheme="minorEastAsia" w:eastAsiaTheme="minorEastAsia"/>
          <w:b/>
          <w:bCs/>
          <w:color w:val="auto"/>
          <w:szCs w:val="21"/>
          <w:highlight w:val="none"/>
        </w:rPr>
        <w:t>.8</w:t>
      </w:r>
      <w:r>
        <w:rPr>
          <w:rFonts w:hint="eastAsia" w:asciiTheme="minorEastAsia" w:hAnsiTheme="minorEastAsia" w:eastAsiaTheme="minorEastAsia"/>
          <w:b/>
          <w:bCs/>
          <w:color w:val="auto"/>
          <w:szCs w:val="21"/>
          <w:highlight w:val="none"/>
        </w:rPr>
        <w:t>资金来源：</w:t>
      </w:r>
      <w:r>
        <w:rPr>
          <w:rFonts w:hint="eastAsia" w:asciiTheme="minorEastAsia" w:hAnsiTheme="minorEastAsia" w:eastAsiaTheme="minorEastAsia"/>
          <w:bCs/>
          <w:color w:val="auto"/>
          <w:szCs w:val="21"/>
          <w:highlight w:val="none"/>
        </w:rPr>
        <w:t>企业</w:t>
      </w:r>
      <w:r>
        <w:rPr>
          <w:rFonts w:hint="eastAsia" w:asciiTheme="minorEastAsia" w:hAnsiTheme="minorEastAsia" w:eastAsiaTheme="minorEastAsia"/>
          <w:color w:val="auto"/>
          <w:szCs w:val="21"/>
          <w:highlight w:val="none"/>
        </w:rPr>
        <w:t>自筹，已落实。</w:t>
      </w:r>
    </w:p>
    <w:p>
      <w:pPr>
        <w:snapToGrid w:val="0"/>
        <w:spacing w:line="360" w:lineRule="auto"/>
        <w:ind w:firstLine="422" w:firstLineChars="200"/>
        <w:rPr>
          <w:rFonts w:hint="eastAsia" w:cs="Times New Roman" w:asciiTheme="minorEastAsia" w:hAnsiTheme="minorEastAsia" w:eastAsiaTheme="minorEastAsia"/>
          <w:color w:val="auto"/>
          <w:szCs w:val="21"/>
          <w:highlight w:val="none"/>
          <w:lang w:val="en-US" w:eastAsia="zh-CN"/>
        </w:rPr>
      </w:pPr>
      <w:r>
        <w:rPr>
          <w:rFonts w:hint="eastAsia" w:asciiTheme="minorEastAsia" w:hAnsiTheme="minorEastAsia" w:eastAsiaTheme="minorEastAsia"/>
          <w:b/>
          <w:bCs/>
          <w:color w:val="auto"/>
          <w:szCs w:val="21"/>
          <w:highlight w:val="none"/>
          <w:lang w:val="en-US" w:eastAsia="zh-CN"/>
        </w:rPr>
        <w:t>2.9本项目招标预算价：</w:t>
      </w:r>
      <w:r>
        <w:rPr>
          <w:rFonts w:hint="eastAsia" w:cs="Times New Roman" w:asciiTheme="minorEastAsia" w:hAnsiTheme="minorEastAsia" w:eastAsiaTheme="minorEastAsia"/>
          <w:color w:val="auto"/>
          <w:szCs w:val="21"/>
          <w:highlight w:val="none"/>
          <w:lang w:val="en-US" w:eastAsia="zh-CN"/>
        </w:rPr>
        <w:t>395万元。投标人的投标报价不得高于此预算价，否则其投标文件作否决投标处理。</w:t>
      </w:r>
    </w:p>
    <w:p>
      <w:pPr>
        <w:pStyle w:val="3"/>
        <w:bidi w:val="0"/>
        <w:rPr>
          <w:rFonts w:hint="eastAsia"/>
          <w:color w:val="auto"/>
          <w:highlight w:val="none"/>
          <w:lang w:val="en-US" w:eastAsia="zh-CN"/>
        </w:rPr>
      </w:pPr>
      <w:bookmarkStart w:id="17" w:name="_Toc385344431"/>
      <w:bookmarkStart w:id="18" w:name="_Toc519163179"/>
      <w:bookmarkStart w:id="19" w:name="_Toc490599200"/>
      <w:bookmarkStart w:id="20" w:name="_Toc130564874"/>
      <w:bookmarkStart w:id="21" w:name="_Toc21911"/>
      <w:r>
        <w:rPr>
          <w:rFonts w:hint="eastAsia"/>
          <w:color w:val="auto"/>
          <w:highlight w:val="none"/>
          <w:lang w:val="en-US" w:eastAsia="zh-CN"/>
        </w:rPr>
        <w:t>三、谈判申请人资格要求</w:t>
      </w:r>
      <w:bookmarkEnd w:id="16"/>
      <w:bookmarkEnd w:id="17"/>
      <w:bookmarkEnd w:id="18"/>
      <w:bookmarkEnd w:id="19"/>
      <w:bookmarkEnd w:id="20"/>
      <w:bookmarkEnd w:id="21"/>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bookmarkStart w:id="22" w:name="_Toc385344432"/>
      <w:bookmarkStart w:id="23" w:name="_Toc519163180"/>
      <w:bookmarkStart w:id="24" w:name="_Toc490599201"/>
      <w:bookmarkStart w:id="25" w:name="_Toc86124036"/>
      <w:bookmarkStart w:id="26" w:name="_Toc130564875"/>
      <w:r>
        <w:rPr>
          <w:rFonts w:hint="eastAsia" w:cs="Times New Roman" w:asciiTheme="minorEastAsia" w:hAnsiTheme="minorEastAsia" w:eastAsiaTheme="minorEastAsia"/>
          <w:color w:val="auto"/>
          <w:szCs w:val="21"/>
          <w:highlight w:val="none"/>
          <w:lang w:val="en-US" w:eastAsia="zh-CN"/>
        </w:rPr>
        <w:t>3.1申请人资质要求（以下条件需同时具备）：</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(1) 独立申请人或联合体申请人各成员方均为中华人民共和国境内合法注册的独立企业法人，具有独立承担民事责任能力及独立订立合同的权利，提供有效的营业执照（提供扫描件并加盖公章）。</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 独立申请人或联合体申请人施工方应具备国家建设主管部门核发的电力工程施工总承包叁级（含叁级）及以上资质或输变电工程专业承包叁级（含叁级）及以上资质，同时具备承装（修、试）电力设施许可证承装三级、承修三级、承试三级（含三级）及以上资质，具有建设行政主管部门核发的安全生产许可证且在有效期内（提供扫描件并加盖公章）。</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 独立申请人或联合体申请人勘察设计方应具有工程设计电力行业级（含乙级）及以上资质或工程设计电力行业（送电工程）专业乙级（含乙级）及以上资质或工程设计综合资质甲级（提供扫描件并加盖公章）。</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3.2申请人业绩要求：</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(1) 如是独立申请人：具有至少2个国内新建10kV及以上输电（送电）线路总承包业绩，或者提供至少2个国内新建10kV及以上输电（送电）线路设计业绩和施工业绩。</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 如是联合体申请人：联合体中的施工方具有至少2个国内新建10kV及以上输电（送电）线路施工业绩或总承包业绩；联合体中的勘察设计方具有至少2个国内新建10kV及以上输电（送电）线路设计业绩或总承包业绩。</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联合体申请人勘察设计方、施工方提供的业绩仅分别适用于自身使用。</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以上业绩均须提供合同文件扫描件及业主提供的完工（或验收）证明（提供材料的扫描件并对其真实性负责）</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3.3拟派本项目的主要人员要求（申请人应同时满足以下要求）：</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(1) 项目经理（即项目总负责人）的资格要求：拟任项目经理应具有注册贰级建造师执业证书（须注册在本单位），及有效的安全生产考核合格证书（B证），至少具有1个担任国内10kV及以上电压等级新建线路工程施工项目经理的业绩（须提供合同或当期任命文件等证明材料，合同中需体现职务为“项目经理”或“项目总负责人”）。</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 设计负责人的资格要求：拟任设计负责人应具有工程师（含工程师）及以上职称证书，至少具有1个担任国内新建10kV及以上输电（送电）线路设计负责人（或设总或副设总）的业绩（须提供合同或当期任命文件等证明材料，证明材料需体现职务为“设计负责人”或“设总”或“副设总”）。</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 技术负责人的资格要求：拟任技术负责人应具有电气或机电或工程类专业工程师（含工程师）及以上职称，至少具有1个担任国内10kV及以上电压等级新建线路工程技术负责人的业绩（须提供合同或当期任命文件等证明材料，证明材料需体现职务为“技术负责人”）。</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(4) 拟任专职安全负责人应具有有效的《安全生产考核合格证书》C证或以上证书。</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以上人员按照要求提供相应资质证书（扫描件加盖公章），且必须为本单位正式职工，需提供劳动合同及近期（2024年5月至2024年11月）（新成立的公司对社保缴费证明不作要求）的社保证明材料（扫描件加盖公章）。</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3.4财务要求：独立申请人或联合体申请人各成员方近三年财务状况良好，具有顺利完成本招标项目的服务能力，提供近三年（2021年、2022年、2023年）经会计师事务所或其他审计机构审计的财务报表（提供资产负债表、利润表或损益表、现金流量表）及审计报告的扫描件；成立不满3年的企业（以营业执照成立日期为准）提供成立年度至今经会计师事务所或其他审计机构审计的财务报表及审计报告的扫描件。成立不满1年的企业（以营业执照成立日期为准），提供自成立至投标截止日止的财务报表(包括资产负债表、利润表、现金流量表)。</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3.5信誉要求（独立申请人或联合体申请人各成员方均需提供）：</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(1) 没有处于被责令停产、停业或进入破产程序，且资产未被重组、接管和冻结，也未被司法机关采取财产保全或强制执行措施（提供书面承诺或相关证明材料）。</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(2) 没有处于行政主管部门禁止投标的处罚期内（提供书面承诺或相关证明材料）。</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 2021年1月1日起至今，在大型基础设施、公用事业等关系社会公共利益、公众安全的项目中，未因出现重大质量或违约等问题被通报并停止或暂停授权（提供书面承诺或相关证明材料）。</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(4) 申请人未被列入“信用中国”网(www.creditchina.gov.cn)“严重失信主体名单”、“重大税收违法失信主体名单”；未被列入“中国执行信息公开网”（http://zxgk.court.gov.cn/shixin/）“失信被执行人”名单。（相关查询结果以招标人、招标代理机构开标当天现场查询结果为准。）。</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3.6 本项目接受联合体投标。</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联合体投标的，提供联合体协议书并应满足下列要求：组成联合体的独立法人不得超过2家，由一个勘察设计单位和一个施工单位组成。联合体必须明确牵头人，由申请人自行确定。联合体资质按照联合体协议书约定的分工认定。联合体各方不得再以自己名义单独或参加其他联合体参与同一标段投标或者未划分标段的同一招标项目投标。</w:t>
      </w:r>
    </w:p>
    <w:p>
      <w:pPr>
        <w:pStyle w:val="3"/>
        <w:bidi w:val="0"/>
        <w:rPr>
          <w:rFonts w:hint="eastAsia"/>
          <w:color w:val="auto"/>
          <w:highlight w:val="none"/>
          <w:lang w:val="en-US" w:eastAsia="zh-CN"/>
        </w:rPr>
      </w:pPr>
      <w:bookmarkStart w:id="27" w:name="_Toc13952"/>
      <w:r>
        <w:rPr>
          <w:rFonts w:hint="eastAsia"/>
          <w:color w:val="auto"/>
          <w:highlight w:val="none"/>
          <w:lang w:val="en-US" w:eastAsia="zh-CN"/>
        </w:rPr>
        <w:t>四、谈判文件的获取</w:t>
      </w:r>
      <w:bookmarkEnd w:id="22"/>
      <w:bookmarkEnd w:id="23"/>
      <w:bookmarkEnd w:id="24"/>
      <w:bookmarkEnd w:id="25"/>
      <w:bookmarkEnd w:id="26"/>
      <w:bookmarkEnd w:id="27"/>
    </w:p>
    <w:p>
      <w:pPr>
        <w:snapToGrid w:val="0"/>
        <w:spacing w:line="360" w:lineRule="auto"/>
        <w:ind w:firstLine="420" w:firstLineChars="200"/>
        <w:rPr>
          <w:rFonts w:hint="default" w:cs="Times New Roman" w:asciiTheme="minorEastAsia" w:hAnsiTheme="minorEastAsia" w:eastAsiaTheme="minorEastAsia"/>
          <w:color w:val="auto"/>
          <w:szCs w:val="21"/>
          <w:highlight w:val="none"/>
          <w:lang w:val="en-US" w:eastAsia="zh-CN"/>
        </w:rPr>
      </w:pPr>
      <w:bookmarkStart w:id="28" w:name="_Toc86124037"/>
      <w:bookmarkStart w:id="29" w:name="_Toc385344433"/>
      <w:bookmarkStart w:id="30" w:name="_Toc490599202"/>
      <w:bookmarkStart w:id="31" w:name="_Toc130564876"/>
      <w:bookmarkStart w:id="32" w:name="_Toc519163181"/>
      <w:r>
        <w:rPr>
          <w:rFonts w:hint="default" w:cs="Times New Roman" w:asciiTheme="minorEastAsia" w:hAnsiTheme="minorEastAsia" w:eastAsiaTheme="minorEastAsia"/>
          <w:color w:val="auto"/>
          <w:szCs w:val="21"/>
          <w:highlight w:val="none"/>
          <w:lang w:val="en-US" w:eastAsia="zh-CN"/>
        </w:rPr>
        <w:t>采购文件随公告在“云南能投集团招采发布平台”发布，不再另行线下提供纸质采购文件，凡有意参与者可在本公告期内自行查看和下载( http:/lzcfb.cnyeig.cn/sjhz/ )，并于</w:t>
      </w:r>
      <w:r>
        <w:rPr>
          <w:rFonts w:hint="default" w:cs="Times New Roman" w:asciiTheme="minorEastAsia" w:hAnsiTheme="minorEastAsia" w:eastAsiaTheme="minorEastAsia"/>
          <w:color w:val="auto"/>
          <w:szCs w:val="21"/>
          <w:highlight w:val="none"/>
          <w:lang w:val="en-US" w:eastAsia="zh-CN"/>
        </w:rPr>
        <w:t>202</w:t>
      </w:r>
      <w:r>
        <w:rPr>
          <w:rFonts w:hint="eastAsia" w:cs="Times New Roman" w:asciiTheme="minorEastAsia" w:hAnsiTheme="minorEastAsia" w:eastAsiaTheme="minorEastAsia"/>
          <w:color w:val="auto"/>
          <w:szCs w:val="21"/>
          <w:highlight w:val="none"/>
          <w:lang w:val="en-US" w:eastAsia="zh-CN"/>
        </w:rPr>
        <w:t>5</w:t>
      </w:r>
      <w:r>
        <w:rPr>
          <w:rFonts w:hint="default" w:cs="Times New Roman" w:asciiTheme="minorEastAsia" w:hAnsiTheme="minorEastAsia" w:eastAsiaTheme="minorEastAsia"/>
          <w:color w:val="auto"/>
          <w:szCs w:val="21"/>
          <w:highlight w:val="none"/>
          <w:lang w:val="en-US" w:eastAsia="zh-CN"/>
        </w:rPr>
        <w:t>年</w:t>
      </w:r>
      <w:r>
        <w:rPr>
          <w:rFonts w:hint="eastAsia" w:cs="Times New Roman" w:asciiTheme="minorEastAsia" w:hAnsiTheme="minorEastAsia" w:eastAsiaTheme="minorEastAsia"/>
          <w:color w:val="auto"/>
          <w:szCs w:val="21"/>
          <w:highlight w:val="none"/>
          <w:lang w:val="en-US" w:eastAsia="zh-CN"/>
        </w:rPr>
        <w:t>1</w:t>
      </w:r>
      <w:r>
        <w:rPr>
          <w:rFonts w:hint="default" w:cs="Times New Roman" w:asciiTheme="minorEastAsia" w:hAnsiTheme="minorEastAsia" w:eastAsiaTheme="minorEastAsia"/>
          <w:color w:val="auto"/>
          <w:szCs w:val="21"/>
          <w:highlight w:val="none"/>
          <w:lang w:val="en-US" w:eastAsia="zh-CN"/>
        </w:rPr>
        <w:t>月</w:t>
      </w:r>
      <w:r>
        <w:rPr>
          <w:rFonts w:hint="eastAsia" w:cs="Times New Roman" w:asciiTheme="minorEastAsia" w:hAnsiTheme="minorEastAsia" w:eastAsiaTheme="minorEastAsia"/>
          <w:color w:val="auto"/>
          <w:szCs w:val="21"/>
          <w:highlight w:val="none"/>
          <w:lang w:val="en-US" w:eastAsia="zh-CN"/>
        </w:rPr>
        <w:t>7</w:t>
      </w:r>
      <w:r>
        <w:rPr>
          <w:rFonts w:hint="default" w:cs="Times New Roman" w:asciiTheme="minorEastAsia" w:hAnsiTheme="minorEastAsia" w:eastAsiaTheme="minorEastAsia"/>
          <w:color w:val="auto"/>
          <w:szCs w:val="21"/>
          <w:highlight w:val="none"/>
          <w:lang w:val="en-US" w:eastAsia="zh-CN"/>
        </w:rPr>
        <w:t>日17时00分</w:t>
      </w:r>
      <w:r>
        <w:rPr>
          <w:rFonts w:hint="default" w:cs="Times New Roman" w:asciiTheme="minorEastAsia" w:hAnsiTheme="minorEastAsia" w:eastAsiaTheme="minorEastAsia"/>
          <w:color w:val="auto"/>
          <w:szCs w:val="21"/>
          <w:highlight w:val="none"/>
          <w:lang w:val="en-US" w:eastAsia="zh-CN"/>
        </w:rPr>
        <w:t>前以书面形式确认是否参加本次采购活动（格式见附件），同时需将确认函盖章后的电子版发送至电子邮箱</w:t>
      </w:r>
      <w:r>
        <w:rPr>
          <w:rFonts w:hint="eastAsia" w:cs="Times New Roman" w:asciiTheme="minorEastAsia" w:hAnsiTheme="minorEastAsia" w:eastAsiaTheme="minorEastAsia"/>
          <w:color w:val="auto"/>
          <w:szCs w:val="21"/>
          <w:highlight w:val="none"/>
          <w:lang w:val="en-US" w:eastAsia="zh-CN"/>
        </w:rPr>
        <w:t>1749651748</w:t>
      </w:r>
      <w:r>
        <w:rPr>
          <w:rFonts w:hint="default" w:cs="Times New Roman" w:asciiTheme="minorEastAsia" w:hAnsiTheme="minorEastAsia" w:eastAsiaTheme="minorEastAsia"/>
          <w:color w:val="auto"/>
          <w:szCs w:val="21"/>
          <w:highlight w:val="none"/>
          <w:lang w:val="en-US" w:eastAsia="zh-CN"/>
        </w:rPr>
        <w:t>@qq.com</w:t>
      </w:r>
      <w:r>
        <w:rPr>
          <w:rFonts w:hint="default" w:cs="Times New Roman" w:asciiTheme="minorEastAsia" w:hAnsiTheme="minorEastAsia" w:eastAsiaTheme="minorEastAsia"/>
          <w:color w:val="auto"/>
          <w:szCs w:val="21"/>
          <w:highlight w:val="none"/>
          <w:lang w:val="en-US" w:eastAsia="zh-CN"/>
        </w:rPr>
        <w:t>。在本公告规定的时间内未按上述要求发送电子邮件至指定邮箱者，不得递交响应文件或参加竞谈。</w:t>
      </w:r>
    </w:p>
    <w:p>
      <w:pPr>
        <w:pStyle w:val="3"/>
        <w:bidi w:val="0"/>
        <w:rPr>
          <w:rFonts w:hint="eastAsia"/>
          <w:color w:val="auto"/>
          <w:highlight w:val="none"/>
          <w:lang w:val="en-US" w:eastAsia="zh-CN"/>
        </w:rPr>
      </w:pPr>
      <w:bookmarkStart w:id="33" w:name="_Toc15955"/>
      <w:r>
        <w:rPr>
          <w:rFonts w:hint="eastAsia"/>
          <w:color w:val="auto"/>
          <w:highlight w:val="none"/>
          <w:lang w:val="en-US" w:eastAsia="zh-CN"/>
        </w:rPr>
        <w:t>五、响应文件的递交</w:t>
      </w:r>
      <w:bookmarkEnd w:id="28"/>
      <w:bookmarkEnd w:id="29"/>
      <w:bookmarkEnd w:id="30"/>
      <w:bookmarkEnd w:id="31"/>
      <w:bookmarkEnd w:id="32"/>
      <w:bookmarkEnd w:id="33"/>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5.1响应文件递交时间：</w:t>
      </w:r>
      <w:r>
        <w:rPr>
          <w:rFonts w:hint="eastAsia" w:cs="Times New Roman" w:asciiTheme="minorEastAsia" w:hAnsiTheme="minorEastAsia" w:eastAsiaTheme="minorEastAsia"/>
          <w:color w:val="auto"/>
          <w:szCs w:val="21"/>
          <w:highlight w:val="none"/>
          <w:lang w:val="en-US" w:eastAsia="zh-CN"/>
        </w:rPr>
        <w:t>2025年1月10</w:t>
      </w:r>
      <w:bookmarkStart w:id="786" w:name="_GoBack"/>
      <w:bookmarkEnd w:id="786"/>
      <w:r>
        <w:rPr>
          <w:rFonts w:hint="eastAsia" w:cs="Times New Roman" w:asciiTheme="minorEastAsia" w:hAnsiTheme="minorEastAsia" w:eastAsiaTheme="minorEastAsia"/>
          <w:color w:val="auto"/>
          <w:szCs w:val="21"/>
          <w:highlight w:val="none"/>
          <w:lang w:val="en-US" w:eastAsia="zh-CN"/>
        </w:rPr>
        <w:t>日8时30分至9时30分（北京时间）</w:t>
      </w:r>
      <w:r>
        <w:rPr>
          <w:rFonts w:hint="eastAsia" w:cs="Times New Roman" w:asciiTheme="minorEastAsia" w:hAnsiTheme="minorEastAsia" w:eastAsiaTheme="minorEastAsia"/>
          <w:color w:val="auto"/>
          <w:szCs w:val="21"/>
          <w:highlight w:val="none"/>
          <w:lang w:val="en-US" w:eastAsia="zh-CN"/>
        </w:rPr>
        <w:t>。</w:t>
      </w:r>
    </w:p>
    <w:p>
      <w:pPr>
        <w:snapToGrid w:val="0"/>
        <w:spacing w:line="360" w:lineRule="auto"/>
        <w:ind w:firstLine="420" w:firstLineChars="200"/>
        <w:rPr>
          <w:rFonts w:hint="eastAsia" w:cs="Times New Roman" w:asciiTheme="minorEastAsia" w:hAnsiTheme="minorEastAsia" w:eastAsiaTheme="minorEastAsia"/>
          <w:color w:val="auto"/>
          <w:szCs w:val="21"/>
          <w:highlight w:val="none"/>
          <w:lang w:val="en-US" w:eastAsia="zh-CN"/>
        </w:rPr>
      </w:pPr>
      <w:r>
        <w:rPr>
          <w:rFonts w:hint="eastAsia" w:cs="Times New Roman" w:asciiTheme="minorEastAsia" w:hAnsiTheme="minorEastAsia" w:eastAsiaTheme="minorEastAsia"/>
          <w:color w:val="auto"/>
          <w:szCs w:val="21"/>
          <w:highlight w:val="none"/>
          <w:lang w:val="en-US" w:eastAsia="zh-CN"/>
        </w:rPr>
        <w:t>5.2提交响应文件截止时间及开始谈判时间：</w:t>
      </w:r>
      <w:r>
        <w:rPr>
          <w:rFonts w:hint="eastAsia" w:cs="Times New Roman" w:asciiTheme="minorEastAsia" w:hAnsiTheme="minorEastAsia" w:eastAsiaTheme="minorEastAsia"/>
          <w:color w:val="auto"/>
          <w:szCs w:val="21"/>
          <w:highlight w:val="none"/>
          <w:lang w:val="en-US" w:eastAsia="zh-CN"/>
        </w:rPr>
        <w:t>2025年1月10日9时30分（北京时间）</w:t>
      </w:r>
      <w:r>
        <w:rPr>
          <w:rFonts w:hint="eastAsia" w:cs="Times New Roman" w:asciiTheme="minorEastAsia" w:hAnsiTheme="minorEastAsia" w:eastAsiaTheme="minorEastAsia"/>
          <w:color w:val="auto"/>
          <w:szCs w:val="21"/>
          <w:highlight w:val="none"/>
          <w:lang w:val="en-US" w:eastAsia="zh-CN"/>
        </w:rPr>
        <w:t>。</w:t>
      </w:r>
    </w:p>
    <w:p>
      <w:pPr>
        <w:snapToGrid w:val="0"/>
        <w:spacing w:line="360" w:lineRule="auto"/>
        <w:ind w:firstLine="420" w:firstLineChars="200"/>
        <w:rPr>
          <w:rFonts w:hint="default" w:cs="Times New Roman" w:asciiTheme="minorEastAsia" w:hAnsiTheme="minorEastAsia" w:eastAsiaTheme="minorEastAsia"/>
          <w:color w:val="auto"/>
          <w:szCs w:val="21"/>
          <w:highlight w:val="none"/>
          <w:lang w:val="en-US" w:eastAsia="zh-CN"/>
        </w:rPr>
      </w:pPr>
      <w:r>
        <w:rPr>
          <w:rFonts w:hint="default" w:cs="Times New Roman" w:asciiTheme="minorEastAsia" w:hAnsiTheme="minorEastAsia" w:eastAsiaTheme="minorEastAsia"/>
          <w:color w:val="auto"/>
          <w:szCs w:val="21"/>
          <w:highlight w:val="none"/>
          <w:lang w:val="en-US" w:eastAsia="zh-CN"/>
        </w:rPr>
        <w:t>递交地址</w:t>
      </w:r>
      <w:r>
        <w:rPr>
          <w:rFonts w:hint="eastAsia" w:cs="Times New Roman" w:asciiTheme="minorEastAsia" w:hAnsiTheme="minorEastAsia" w:eastAsiaTheme="minorEastAsia"/>
          <w:color w:val="auto"/>
          <w:szCs w:val="21"/>
          <w:highlight w:val="none"/>
          <w:lang w:val="en-US" w:eastAsia="zh-CN"/>
        </w:rPr>
        <w:t>：</w:t>
      </w:r>
      <w:r>
        <w:rPr>
          <w:rFonts w:hint="eastAsia" w:cs="Times New Roman" w:asciiTheme="minorEastAsia" w:hAnsiTheme="minorEastAsia" w:eastAsiaTheme="minorEastAsia"/>
          <w:color w:val="auto"/>
          <w:szCs w:val="21"/>
          <w:highlight w:val="none"/>
          <w:lang w:val="en-US" w:eastAsia="zh-CN"/>
        </w:rPr>
        <w:t>云南省红河哈尼族彝族自治州个旧市三家寨新农村4栋个旧云能投绿色能源开发有限公司2楼会议室，</w:t>
      </w:r>
      <w:r>
        <w:rPr>
          <w:rFonts w:hint="default" w:cs="Times New Roman" w:asciiTheme="minorEastAsia" w:hAnsiTheme="minorEastAsia" w:eastAsiaTheme="minorEastAsia"/>
          <w:color w:val="auto"/>
          <w:szCs w:val="21"/>
          <w:highlight w:val="none"/>
          <w:lang w:val="en-US" w:eastAsia="zh-CN"/>
        </w:rPr>
        <w:t>逾期送达的或者未送达指定地点的竞争性谈判响应文件，采购人不予受理</w:t>
      </w:r>
      <w:r>
        <w:rPr>
          <w:rFonts w:hint="eastAsia" w:cs="Times New Roman" w:asciiTheme="minorEastAsia" w:hAnsiTheme="minorEastAsia" w:eastAsiaTheme="minorEastAsia"/>
          <w:color w:val="auto"/>
          <w:szCs w:val="21"/>
          <w:highlight w:val="none"/>
          <w:lang w:val="en-US" w:eastAsia="zh-CN"/>
        </w:rPr>
        <w:t>逾期送达的或者未送达指定地点的响应文件，将被拒收。</w:t>
      </w:r>
    </w:p>
    <w:p>
      <w:pPr>
        <w:pStyle w:val="3"/>
        <w:bidi w:val="0"/>
        <w:rPr>
          <w:color w:val="auto"/>
          <w:highlight w:val="none"/>
        </w:rPr>
      </w:pPr>
      <w:bookmarkStart w:id="34" w:name="_Toc130564877"/>
      <w:bookmarkStart w:id="35" w:name="_Toc28384"/>
      <w:bookmarkStart w:id="36" w:name="_Toc399765223"/>
      <w:bookmarkStart w:id="37" w:name="_Toc121866627"/>
      <w:bookmarkStart w:id="38" w:name="_Toc401560508"/>
      <w:r>
        <w:rPr>
          <w:color w:val="auto"/>
          <w:highlight w:val="none"/>
        </w:rPr>
        <w:t>六、发布公告的媒体</w:t>
      </w:r>
      <w:bookmarkEnd w:id="34"/>
      <w:bookmarkEnd w:id="35"/>
      <w:bookmarkEnd w:id="36"/>
      <w:bookmarkEnd w:id="37"/>
      <w:bookmarkEnd w:id="38"/>
    </w:p>
    <w:p>
      <w:pPr>
        <w:wordWrap w:val="0"/>
        <w:snapToGrid w:val="0"/>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本次竞争性谈判公告</w:t>
      </w:r>
      <w:r>
        <w:rPr>
          <w:rFonts w:hint="default" w:cs="Times New Roman" w:asciiTheme="minorEastAsia" w:hAnsiTheme="minorEastAsia" w:eastAsiaTheme="minorEastAsia"/>
          <w:color w:val="auto"/>
          <w:szCs w:val="21"/>
          <w:highlight w:val="none"/>
          <w:lang w:val="en-US" w:eastAsia="zh-CN"/>
        </w:rPr>
        <w:t>“云南能投集团招采发布平台”( http:/lzcfb.cnyeig.cn/sjhz/ )</w:t>
      </w:r>
      <w:r>
        <w:rPr>
          <w:rFonts w:hint="eastAsia" w:asciiTheme="minorEastAsia" w:hAnsiTheme="minorEastAsia" w:eastAsiaTheme="minorEastAsia"/>
          <w:color w:val="auto"/>
          <w:szCs w:val="21"/>
          <w:highlight w:val="none"/>
        </w:rPr>
        <w:t>上发布。</w:t>
      </w:r>
    </w:p>
    <w:p>
      <w:pPr>
        <w:pStyle w:val="3"/>
        <w:bidi w:val="0"/>
        <w:rPr>
          <w:color w:val="auto"/>
          <w:highlight w:val="none"/>
        </w:rPr>
      </w:pPr>
      <w:bookmarkStart w:id="39" w:name="_Toc399765224"/>
      <w:bookmarkStart w:id="40" w:name="_Toc28185"/>
      <w:bookmarkStart w:id="41" w:name="_Toc130564878"/>
      <w:bookmarkStart w:id="42" w:name="_Toc121866628"/>
      <w:bookmarkStart w:id="43" w:name="_Toc401560509"/>
      <w:r>
        <w:rPr>
          <w:rFonts w:hint="eastAsia"/>
          <w:color w:val="auto"/>
          <w:highlight w:val="none"/>
        </w:rPr>
        <w:t>七</w:t>
      </w:r>
      <w:r>
        <w:rPr>
          <w:color w:val="auto"/>
          <w:highlight w:val="none"/>
        </w:rPr>
        <w:t>、联系方式</w:t>
      </w:r>
      <w:bookmarkEnd w:id="39"/>
      <w:bookmarkEnd w:id="40"/>
      <w:bookmarkEnd w:id="41"/>
      <w:bookmarkEnd w:id="42"/>
      <w:bookmarkEnd w:id="43"/>
    </w:p>
    <w:p>
      <w:pPr>
        <w:adjustRightInd w:val="0"/>
        <w:snapToGrid w:val="0"/>
        <w:spacing w:line="360" w:lineRule="auto"/>
        <w:ind w:firstLine="422" w:firstLineChars="200"/>
        <w:rPr>
          <w:rFonts w:hint="eastAsia" w:asciiTheme="minorEastAsia" w:hAnsiTheme="minorEastAsia" w:eastAsiaTheme="minorEastAsia"/>
          <w:b/>
          <w:color w:val="auto"/>
          <w:szCs w:val="21"/>
          <w:highlight w:val="none"/>
          <w:lang w:eastAsia="zh-CN"/>
        </w:rPr>
      </w:pPr>
      <w:r>
        <w:rPr>
          <w:rFonts w:hint="eastAsia" w:asciiTheme="minorEastAsia" w:hAnsiTheme="minorEastAsia" w:eastAsiaTheme="minorEastAsia"/>
          <w:b/>
          <w:color w:val="auto"/>
          <w:szCs w:val="21"/>
          <w:highlight w:val="none"/>
        </w:rPr>
        <w:t>招标人：</w:t>
      </w:r>
      <w:r>
        <w:rPr>
          <w:rFonts w:hint="eastAsia" w:asciiTheme="minorEastAsia" w:hAnsiTheme="minorEastAsia" w:eastAsiaTheme="minorEastAsia"/>
          <w:b/>
          <w:color w:val="auto"/>
          <w:szCs w:val="21"/>
          <w:highlight w:val="none"/>
          <w:lang w:eastAsia="zh-CN"/>
        </w:rPr>
        <w:t>个旧云能投绿色能源开发有限公司</w:t>
      </w:r>
    </w:p>
    <w:p>
      <w:pPr>
        <w:adjustRightInd w:val="0"/>
        <w:snapToGrid w:val="0"/>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地  址：</w:t>
      </w:r>
      <w:r>
        <w:rPr>
          <w:rFonts w:hint="eastAsia" w:cs="Times New Roman" w:asciiTheme="minorEastAsia" w:hAnsiTheme="minorEastAsia" w:eastAsiaTheme="minorEastAsia"/>
          <w:color w:val="auto"/>
          <w:szCs w:val="21"/>
          <w:highlight w:val="none"/>
          <w:lang w:val="en-US" w:eastAsia="zh-CN"/>
        </w:rPr>
        <w:t>云南省红河哈尼族彝族自治州个旧市三家寨新农村4栋</w:t>
      </w:r>
    </w:p>
    <w:p>
      <w:pPr>
        <w:adjustRightInd w:val="0"/>
        <w:snapToGrid w:val="0"/>
        <w:spacing w:line="360" w:lineRule="auto"/>
        <w:ind w:firstLine="420" w:firstLineChars="200"/>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rPr>
        <w:t>联系人：</w:t>
      </w:r>
      <w:r>
        <w:rPr>
          <w:rFonts w:hint="eastAsia" w:asciiTheme="minorEastAsia" w:hAnsiTheme="minorEastAsia" w:eastAsiaTheme="minorEastAsia"/>
          <w:color w:val="auto"/>
          <w:szCs w:val="21"/>
          <w:highlight w:val="none"/>
          <w:lang w:val="en-US" w:eastAsia="zh-CN"/>
        </w:rPr>
        <w:t>胡工</w:t>
      </w:r>
    </w:p>
    <w:p>
      <w:pPr>
        <w:adjustRightInd w:val="0"/>
        <w:snapToGrid w:val="0"/>
        <w:spacing w:line="360" w:lineRule="auto"/>
        <w:ind w:firstLine="420" w:firstLineChars="200"/>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rPr>
        <w:t>电  话：</w:t>
      </w:r>
      <w:r>
        <w:rPr>
          <w:rFonts w:hint="eastAsia" w:asciiTheme="minorEastAsia" w:hAnsiTheme="minorEastAsia" w:eastAsiaTheme="minorEastAsia"/>
          <w:color w:val="auto"/>
          <w:szCs w:val="21"/>
          <w:highlight w:val="none"/>
          <w:lang w:val="en-US" w:eastAsia="zh-CN"/>
        </w:rPr>
        <w:t>13678792863</w:t>
      </w:r>
    </w:p>
    <w:p>
      <w:pPr>
        <w:adjustRightInd w:val="0"/>
        <w:snapToGrid w:val="0"/>
        <w:spacing w:line="360" w:lineRule="auto"/>
        <w:ind w:firstLine="422" w:firstLineChars="200"/>
        <w:rPr>
          <w:rFonts w:hint="eastAsia" w:asciiTheme="minorEastAsia" w:hAnsiTheme="minorEastAsia" w:eastAsiaTheme="minorEastAsia"/>
          <w:color w:val="auto"/>
          <w:szCs w:val="21"/>
          <w:highlight w:val="none"/>
        </w:rPr>
        <w:sectPr>
          <w:headerReference r:id="rId6" w:type="first"/>
          <w:footerReference r:id="rId8" w:type="first"/>
          <w:footerReference r:id="rId7" w:type="default"/>
          <w:pgSz w:w="11906" w:h="16838"/>
          <w:pgMar w:top="1440" w:right="1800" w:bottom="1440" w:left="1800" w:header="720" w:footer="567" w:gutter="0"/>
          <w:cols w:space="720" w:num="1"/>
          <w:titlePg/>
          <w:docGrid w:type="lines" w:linePitch="331" w:charSpace="0"/>
        </w:sectPr>
      </w:pPr>
      <w:r>
        <w:rPr>
          <w:rFonts w:hint="eastAsia" w:asciiTheme="minorEastAsia" w:hAnsiTheme="minorEastAsia" w:eastAsiaTheme="minorEastAsia"/>
          <w:b/>
          <w:color w:val="auto"/>
          <w:szCs w:val="21"/>
          <w:highlight w:val="none"/>
        </w:rPr>
        <w:t>异议受理人和联系方式：</w:t>
      </w:r>
      <w:r>
        <w:rPr>
          <w:rFonts w:hint="eastAsia" w:cs="Times New Roman" w:asciiTheme="minorEastAsia" w:hAnsiTheme="minorEastAsia" w:eastAsiaTheme="minorEastAsia"/>
          <w:color w:val="auto"/>
          <w:szCs w:val="21"/>
          <w:highlight w:val="none"/>
        </w:rPr>
        <w:t>云南省绿色能源产业集团有限公司纪委</w:t>
      </w:r>
      <w:r>
        <w:rPr>
          <w:rFonts w:hint="eastAsia" w:asciiTheme="minorEastAsia" w:hAnsiTheme="minorEastAsia" w:eastAsiaTheme="minorEastAsia"/>
          <w:color w:val="auto"/>
          <w:szCs w:val="21"/>
          <w:highlight w:val="none"/>
        </w:rPr>
        <w:t>办公室进行电话举报，电话：0871-64981473</w:t>
      </w:r>
      <w:r>
        <w:rPr>
          <w:rFonts w:hint="eastAsia" w:asciiTheme="minorEastAsia" w:hAnsiTheme="minorEastAsia" w:eastAsiaTheme="minorEastAsia"/>
          <w:color w:val="auto"/>
          <w:szCs w:val="21"/>
          <w:highlight w:val="none"/>
        </w:rPr>
        <w:t>。</w:t>
      </w:r>
    </w:p>
    <w:p>
      <w:pPr>
        <w:rPr>
          <w:rFonts w:hint="eastAsia" w:ascii="宋体" w:hAnsi="宋体" w:cs="宋体"/>
          <w:color w:val="auto"/>
          <w:sz w:val="24"/>
          <w:szCs w:val="24"/>
          <w:highlight w:val="none"/>
        </w:rPr>
      </w:pPr>
    </w:p>
    <w:p>
      <w:pPr>
        <w:rPr>
          <w:rFonts w:ascii="宋体" w:hAnsi="宋体" w:cs="宋体"/>
          <w:color w:val="auto"/>
          <w:sz w:val="24"/>
          <w:szCs w:val="24"/>
          <w:highlight w:val="none"/>
          <w:u w:val="double"/>
        </w:rPr>
      </w:pPr>
      <w:r>
        <w:rPr>
          <w:rFonts w:hint="eastAsia" w:ascii="宋体" w:hAnsi="宋体" w:cs="宋体"/>
          <w:color w:val="auto"/>
          <w:sz w:val="24"/>
          <w:szCs w:val="24"/>
          <w:highlight w:val="none"/>
        </w:rPr>
        <w:t>附件：确认函</w:t>
      </w:r>
    </w:p>
    <w:p>
      <w:pPr>
        <w:spacing w:line="360" w:lineRule="auto"/>
        <w:jc w:val="center"/>
        <w:rPr>
          <w:rFonts w:eastAsia="方正仿宋_GBK"/>
          <w:color w:val="auto"/>
          <w:sz w:val="32"/>
          <w:szCs w:val="32"/>
          <w:highlight w:val="none"/>
        </w:rPr>
      </w:pPr>
      <w:r>
        <w:rPr>
          <w:rFonts w:hint="eastAsia" w:ascii="方正小标宋简体" w:hAnsi="宋体" w:eastAsia="方正小标宋简体"/>
          <w:bCs/>
          <w:color w:val="auto"/>
          <w:kern w:val="0"/>
          <w:sz w:val="32"/>
          <w:szCs w:val="20"/>
          <w:highlight w:val="none"/>
        </w:rPr>
        <w:t>确</w:t>
      </w:r>
      <w:r>
        <w:rPr>
          <w:rFonts w:hint="eastAsia" w:ascii="方正小标宋简体" w:hAnsi="宋体" w:eastAsia="方正小标宋简体"/>
          <w:bCs/>
          <w:color w:val="auto"/>
          <w:kern w:val="0"/>
          <w:sz w:val="32"/>
          <w:szCs w:val="20"/>
          <w:highlight w:val="none"/>
          <w:lang w:val="en-US" w:eastAsia="zh-CN"/>
        </w:rPr>
        <w:t xml:space="preserve">  </w:t>
      </w:r>
      <w:r>
        <w:rPr>
          <w:rFonts w:hint="eastAsia" w:ascii="方正小标宋简体" w:hAnsi="宋体" w:eastAsia="方正小标宋简体"/>
          <w:bCs/>
          <w:color w:val="auto"/>
          <w:kern w:val="0"/>
          <w:sz w:val="32"/>
          <w:szCs w:val="20"/>
          <w:highlight w:val="none"/>
        </w:rPr>
        <w:t>认</w:t>
      </w:r>
      <w:r>
        <w:rPr>
          <w:rFonts w:hint="eastAsia" w:ascii="方正小标宋简体" w:hAnsi="宋体" w:eastAsia="方正小标宋简体"/>
          <w:bCs/>
          <w:color w:val="auto"/>
          <w:kern w:val="0"/>
          <w:sz w:val="32"/>
          <w:szCs w:val="20"/>
          <w:highlight w:val="none"/>
          <w:lang w:val="en-US" w:eastAsia="zh-CN"/>
        </w:rPr>
        <w:t xml:space="preserve">  </w:t>
      </w:r>
      <w:r>
        <w:rPr>
          <w:rFonts w:hint="eastAsia" w:ascii="方正小标宋简体" w:hAnsi="宋体" w:eastAsia="方正小标宋简体"/>
          <w:bCs/>
          <w:color w:val="auto"/>
          <w:kern w:val="0"/>
          <w:sz w:val="32"/>
          <w:szCs w:val="20"/>
          <w:highlight w:val="none"/>
        </w:rPr>
        <w:t>函</w:t>
      </w:r>
    </w:p>
    <w:p>
      <w:pPr>
        <w:spacing w:line="360" w:lineRule="auto"/>
        <w:rPr>
          <w:rFonts w:hint="eastAsia"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个旧云能投绿色能源开发有限公司</w:t>
      </w:r>
      <w:r>
        <w:rPr>
          <w:rFonts w:ascii="宋体" w:hAnsi="宋体" w:cs="宋体"/>
          <w:color w:val="auto"/>
          <w:sz w:val="24"/>
          <w:highlight w:val="none"/>
        </w:rPr>
        <w:t>：</w:t>
      </w:r>
    </w:p>
    <w:p>
      <w:pPr>
        <w:spacing w:line="360" w:lineRule="auto"/>
        <w:ind w:firstLine="460" w:firstLineChars="192"/>
        <w:rPr>
          <w:rFonts w:ascii="宋体" w:hAnsi="宋体" w:cs="宋体"/>
          <w:color w:val="auto"/>
          <w:sz w:val="24"/>
          <w:highlight w:val="none"/>
        </w:rPr>
      </w:pPr>
      <w:r>
        <w:rPr>
          <w:rFonts w:ascii="宋体" w:hAnsi="宋体" w:cs="宋体"/>
          <w:color w:val="auto"/>
          <w:sz w:val="24"/>
          <w:highlight w:val="none"/>
        </w:rPr>
        <w:t>我单位对</w:t>
      </w:r>
      <w:r>
        <w:rPr>
          <w:rFonts w:hint="eastAsia" w:ascii="宋体" w:hAnsi="宋体" w:cs="宋体"/>
          <w:color w:val="auto"/>
          <w:sz w:val="24"/>
          <w:highlight w:val="none"/>
        </w:rPr>
        <w:t>贵公司的</w:t>
      </w:r>
      <w:r>
        <w:rPr>
          <w:rFonts w:hint="eastAsia" w:ascii="宋体" w:hAnsi="宋体" w:cs="宋体"/>
          <w:color w:val="auto"/>
          <w:sz w:val="24"/>
          <w:highlight w:val="none"/>
          <w:u w:val="single"/>
        </w:rPr>
        <w:t>背阴山尾矿库分布式光伏发电项目送出</w:t>
      </w:r>
      <w:r>
        <w:rPr>
          <w:rFonts w:hint="eastAsia" w:ascii="宋体" w:hAnsi="宋体" w:cs="宋体"/>
          <w:color w:val="auto"/>
          <w:sz w:val="24"/>
          <w:highlight w:val="none"/>
          <w:u w:val="single"/>
          <w:lang w:eastAsia="zh-CN"/>
        </w:rPr>
        <w:t>线路设计施工总承包工程</w:t>
      </w:r>
      <w:r>
        <w:rPr>
          <w:rFonts w:ascii="宋体" w:hAnsi="宋体" w:cs="宋体"/>
          <w:color w:val="auto"/>
          <w:sz w:val="24"/>
          <w:highlight w:val="none"/>
        </w:rPr>
        <w:t>的</w:t>
      </w:r>
      <w:r>
        <w:rPr>
          <w:rFonts w:hint="eastAsia" w:ascii="宋体" w:hAnsi="宋体" w:cs="宋体"/>
          <w:color w:val="auto"/>
          <w:sz w:val="24"/>
          <w:highlight w:val="none"/>
        </w:rPr>
        <w:t>竞争性谈判</w:t>
      </w:r>
      <w:r>
        <w:rPr>
          <w:rFonts w:ascii="宋体" w:hAnsi="宋体" w:cs="宋体"/>
          <w:color w:val="auto"/>
          <w:sz w:val="24"/>
          <w:highlight w:val="none"/>
        </w:rPr>
        <w:t>公告已知悉，我单位将按公告要求参加贵公司此项采购活动，并作出以下承诺：</w:t>
      </w:r>
    </w:p>
    <w:p>
      <w:pPr>
        <w:spacing w:line="360" w:lineRule="auto"/>
        <w:ind w:firstLine="460" w:firstLineChars="192"/>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我单位</w:t>
      </w:r>
      <w:r>
        <w:rPr>
          <w:rFonts w:ascii="宋体" w:hAnsi="宋体" w:cs="宋体"/>
          <w:color w:val="auto"/>
          <w:sz w:val="24"/>
          <w:highlight w:val="none"/>
        </w:rPr>
        <w:t>提供的相关服务不会构成对任何第三方的专利、版权、商标权、商业秘密等知识产权或其他财产权利的侵犯；</w:t>
      </w:r>
      <w:r>
        <w:rPr>
          <w:rFonts w:hint="eastAsia" w:ascii="宋体" w:hAnsi="宋体" w:cs="宋体"/>
          <w:color w:val="auto"/>
          <w:sz w:val="24"/>
          <w:highlight w:val="none"/>
        </w:rPr>
        <w:t>我单位对</w:t>
      </w:r>
      <w:r>
        <w:rPr>
          <w:rFonts w:ascii="宋体" w:hAnsi="宋体" w:cs="宋体"/>
          <w:color w:val="auto"/>
          <w:sz w:val="24"/>
          <w:highlight w:val="none"/>
        </w:rPr>
        <w:t>服务期间</w:t>
      </w:r>
      <w:r>
        <w:rPr>
          <w:rFonts w:hint="eastAsia" w:ascii="宋体" w:hAnsi="宋体" w:cs="宋体"/>
          <w:color w:val="auto"/>
          <w:sz w:val="24"/>
          <w:highlight w:val="none"/>
        </w:rPr>
        <w:t>知悉的</w:t>
      </w:r>
      <w:r>
        <w:rPr>
          <w:rFonts w:ascii="宋体" w:hAnsi="宋体" w:cs="宋体"/>
          <w:color w:val="auto"/>
          <w:sz w:val="24"/>
          <w:highlight w:val="none"/>
        </w:rPr>
        <w:t>涉及采购人发展战略、经营决策、企业管理、商业机密等内容</w:t>
      </w:r>
      <w:r>
        <w:rPr>
          <w:rFonts w:hint="eastAsia" w:ascii="宋体" w:hAnsi="宋体" w:cs="宋体"/>
          <w:color w:val="auto"/>
          <w:sz w:val="24"/>
          <w:highlight w:val="none"/>
        </w:rPr>
        <w:t>进行</w:t>
      </w:r>
      <w:r>
        <w:rPr>
          <w:rFonts w:ascii="宋体" w:hAnsi="宋体" w:cs="宋体"/>
          <w:color w:val="auto"/>
          <w:sz w:val="24"/>
          <w:highlight w:val="none"/>
        </w:rPr>
        <w:t>严格保密；如有上述情况发生，责任由</w:t>
      </w:r>
      <w:r>
        <w:rPr>
          <w:rFonts w:hint="eastAsia" w:ascii="宋体" w:hAnsi="宋体" w:cs="宋体"/>
          <w:color w:val="auto"/>
          <w:sz w:val="24"/>
          <w:highlight w:val="none"/>
        </w:rPr>
        <w:t>我单位</w:t>
      </w:r>
      <w:r>
        <w:rPr>
          <w:rFonts w:ascii="宋体" w:hAnsi="宋体" w:cs="宋体"/>
          <w:color w:val="auto"/>
          <w:sz w:val="24"/>
          <w:highlight w:val="none"/>
        </w:rPr>
        <w:t>承担。</w:t>
      </w:r>
    </w:p>
    <w:p>
      <w:pPr>
        <w:spacing w:line="360" w:lineRule="auto"/>
        <w:ind w:firstLine="460" w:firstLineChars="192"/>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我单位不属于</w:t>
      </w:r>
      <w:r>
        <w:rPr>
          <w:rFonts w:ascii="宋体" w:hAnsi="宋体" w:cs="宋体"/>
          <w:color w:val="auto"/>
          <w:sz w:val="24"/>
          <w:highlight w:val="none"/>
        </w:rPr>
        <w:t>与采购人存在利害关系可能影响采购公正性的法人、其他组织或者个人。</w:t>
      </w:r>
    </w:p>
    <w:p>
      <w:pPr>
        <w:spacing w:line="360" w:lineRule="auto"/>
        <w:ind w:firstLine="460" w:firstLineChars="192"/>
        <w:rPr>
          <w:rFonts w:ascii="宋体" w:hAnsi="宋体" w:cs="宋体"/>
          <w:color w:val="auto"/>
          <w:sz w:val="24"/>
          <w:highlight w:val="none"/>
        </w:rPr>
      </w:pPr>
    </w:p>
    <w:p>
      <w:pPr>
        <w:spacing w:line="360" w:lineRule="auto"/>
        <w:ind w:firstLine="460" w:firstLineChars="192"/>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XX单位</w:t>
      </w:r>
    </w:p>
    <w:p>
      <w:pPr>
        <w:spacing w:line="360" w:lineRule="auto"/>
        <w:ind w:firstLine="460" w:firstLineChars="192"/>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（单位盖章）               </w:t>
      </w:r>
    </w:p>
    <w:p>
      <w:pPr>
        <w:pStyle w:val="17"/>
        <w:ind w:firstLine="480"/>
        <w:rPr>
          <w:color w:val="auto"/>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202</w:t>
      </w:r>
      <w:r>
        <w:rPr>
          <w:rFonts w:hint="eastAsia" w:ascii="宋体" w:hAnsi="宋体" w:cs="宋体"/>
          <w:color w:val="auto"/>
          <w:sz w:val="24"/>
          <w:highlight w:val="none"/>
        </w:rPr>
        <w:t>X</w:t>
      </w:r>
      <w:r>
        <w:rPr>
          <w:rFonts w:ascii="宋体" w:hAnsi="宋体" w:cs="宋体"/>
          <w:color w:val="auto"/>
          <w:sz w:val="24"/>
          <w:highlight w:val="none"/>
        </w:rPr>
        <w:t>年</w:t>
      </w:r>
      <w:r>
        <w:rPr>
          <w:rFonts w:hint="eastAsia" w:ascii="宋体" w:hAnsi="宋体" w:cs="宋体"/>
          <w:color w:val="auto"/>
          <w:sz w:val="24"/>
          <w:highlight w:val="none"/>
        </w:rPr>
        <w:t>X</w:t>
      </w:r>
      <w:r>
        <w:rPr>
          <w:rFonts w:ascii="宋体" w:hAnsi="宋体" w:cs="宋体"/>
          <w:color w:val="auto"/>
          <w:sz w:val="24"/>
          <w:highlight w:val="none"/>
        </w:rPr>
        <w:t>月</w:t>
      </w:r>
      <w:r>
        <w:rPr>
          <w:rFonts w:hint="eastAsia" w:ascii="宋体" w:hAnsi="宋体" w:cs="宋体"/>
          <w:color w:val="auto"/>
          <w:sz w:val="24"/>
          <w:highlight w:val="none"/>
        </w:rPr>
        <w:t>X</w:t>
      </w:r>
      <w:r>
        <w:rPr>
          <w:rFonts w:ascii="宋体" w:hAnsi="宋体" w:cs="宋体"/>
          <w:color w:val="auto"/>
          <w:sz w:val="24"/>
          <w:highlight w:val="none"/>
        </w:rPr>
        <w:t>日</w:t>
      </w:r>
    </w:p>
    <w:p>
      <w:pPr>
        <w:adjustRightInd w:val="0"/>
        <w:snapToGrid w:val="0"/>
        <w:spacing w:line="360" w:lineRule="auto"/>
        <w:ind w:firstLine="420" w:firstLineChars="200"/>
        <w:rPr>
          <w:rFonts w:hint="eastAsia" w:asciiTheme="minorEastAsia" w:hAnsiTheme="minorEastAsia" w:eastAsiaTheme="minorEastAsia"/>
          <w:color w:val="auto"/>
          <w:szCs w:val="21"/>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36" w:lineRule="auto"/>
        <w:ind w:right="279" w:rightChars="133" w:firstLine="0" w:firstLineChars="0"/>
        <w:rPr>
          <w:color w:val="auto"/>
          <w:highlight w:val="none"/>
          <w:u w:val="single"/>
        </w:rPr>
      </w:pPr>
      <w:r>
        <w:rPr>
          <w:color w:val="auto"/>
          <w:szCs w:val="21"/>
          <w:highlight w:val="none"/>
          <w:u w:val="single"/>
        </w:rPr>
        <w:t>注：若投标人为联合体投标的，由联合体牵头人出具。</w:t>
      </w:r>
    </w:p>
    <w:p>
      <w:pPr>
        <w:pStyle w:val="28"/>
        <w:rPr>
          <w:rFonts w:hint="eastAsia"/>
          <w:color w:val="auto"/>
          <w:highlight w:val="none"/>
        </w:rPr>
        <w:sectPr>
          <w:pgSz w:w="11906" w:h="16838"/>
          <w:pgMar w:top="1440" w:right="1800" w:bottom="1440" w:left="1800" w:header="720" w:footer="567" w:gutter="0"/>
          <w:cols w:space="720" w:num="1"/>
          <w:titlePg/>
          <w:docGrid w:type="lines" w:linePitch="331" w:charSpace="0"/>
        </w:sectPr>
      </w:pPr>
    </w:p>
    <w:p>
      <w:pPr>
        <w:pStyle w:val="2"/>
        <w:bidi w:val="0"/>
        <w:rPr>
          <w:color w:val="auto"/>
          <w:highlight w:val="none"/>
        </w:rPr>
      </w:pPr>
      <w:bookmarkStart w:id="44" w:name="_Toc17151"/>
      <w:bookmarkStart w:id="45" w:name="_Toc130564879"/>
      <w:bookmarkStart w:id="46" w:name="_Toc14501"/>
      <w:bookmarkStart w:id="47" w:name="_Toc519163182"/>
      <w:r>
        <w:rPr>
          <w:color w:val="auto"/>
          <w:highlight w:val="none"/>
        </w:rPr>
        <w:t>第二章</w:t>
      </w:r>
      <w:r>
        <w:rPr>
          <w:rFonts w:hint="eastAsia"/>
          <w:color w:val="auto"/>
          <w:highlight w:val="none"/>
        </w:rPr>
        <w:t xml:space="preserve"> </w:t>
      </w:r>
      <w:r>
        <w:rPr>
          <w:color w:val="auto"/>
          <w:highlight w:val="none"/>
        </w:rPr>
        <w:t>谈判申请人须知</w:t>
      </w:r>
      <w:bookmarkEnd w:id="44"/>
      <w:bookmarkEnd w:id="45"/>
      <w:bookmarkEnd w:id="46"/>
      <w:bookmarkEnd w:id="47"/>
    </w:p>
    <w:p>
      <w:pPr>
        <w:keepNext/>
        <w:keepLines/>
        <w:spacing w:after="120" w:line="360" w:lineRule="auto"/>
        <w:jc w:val="center"/>
        <w:outlineLvl w:val="1"/>
        <w:rPr>
          <w:rFonts w:asciiTheme="minorEastAsia" w:hAnsiTheme="minorEastAsia" w:eastAsiaTheme="minorEastAsia"/>
          <w:b/>
          <w:bCs/>
          <w:color w:val="auto"/>
          <w:sz w:val="28"/>
          <w:szCs w:val="28"/>
          <w:highlight w:val="none"/>
        </w:rPr>
      </w:pPr>
      <w:bookmarkStart w:id="48" w:name="_Toc130564880"/>
      <w:bookmarkStart w:id="49" w:name="_Toc32011"/>
      <w:bookmarkStart w:id="50" w:name="_Toc86124039"/>
      <w:bookmarkStart w:id="51" w:name="_Toc490599204"/>
      <w:bookmarkStart w:id="52" w:name="_Toc519163183"/>
      <w:r>
        <w:rPr>
          <w:rFonts w:asciiTheme="minorEastAsia" w:hAnsiTheme="minorEastAsia" w:eastAsiaTheme="minorEastAsia"/>
          <w:b/>
          <w:bCs/>
          <w:color w:val="auto"/>
          <w:sz w:val="28"/>
          <w:szCs w:val="28"/>
          <w:highlight w:val="none"/>
        </w:rPr>
        <w:t>谈判申请人须知前附表</w:t>
      </w:r>
      <w:bookmarkEnd w:id="48"/>
      <w:bookmarkEnd w:id="49"/>
      <w:bookmarkEnd w:id="50"/>
      <w:bookmarkEnd w:id="51"/>
      <w:bookmarkEnd w:id="52"/>
    </w:p>
    <w:tbl>
      <w:tblPr>
        <w:tblStyle w:val="6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544"/>
        <w:gridCol w:w="4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131" w:type="dxa"/>
            <w:vAlign w:val="center"/>
          </w:tcPr>
          <w:p>
            <w:pPr>
              <w:autoSpaceDE w:val="0"/>
              <w:autoSpaceDN w:val="0"/>
              <w:adjustRightInd w:val="0"/>
              <w:snapToGrid w:val="0"/>
              <w:jc w:val="center"/>
              <w:rPr>
                <w:rFonts w:asciiTheme="minorEastAsia" w:hAnsiTheme="minorEastAsia" w:eastAsiaTheme="minorEastAsia"/>
                <w:b/>
                <w:color w:val="auto"/>
                <w:kern w:val="0"/>
                <w:szCs w:val="21"/>
                <w:highlight w:val="none"/>
              </w:rPr>
            </w:pPr>
            <w:r>
              <w:rPr>
                <w:rFonts w:asciiTheme="minorEastAsia" w:hAnsiTheme="minorEastAsia" w:eastAsiaTheme="minorEastAsia"/>
                <w:b/>
                <w:color w:val="auto"/>
                <w:kern w:val="0"/>
                <w:szCs w:val="21"/>
                <w:highlight w:val="none"/>
              </w:rPr>
              <w:t>条款号</w:t>
            </w:r>
          </w:p>
        </w:tc>
        <w:tc>
          <w:tcPr>
            <w:tcW w:w="2544" w:type="dxa"/>
            <w:vAlign w:val="center"/>
          </w:tcPr>
          <w:p>
            <w:pPr>
              <w:autoSpaceDE w:val="0"/>
              <w:autoSpaceDN w:val="0"/>
              <w:adjustRightInd w:val="0"/>
              <w:snapToGrid w:val="0"/>
              <w:jc w:val="center"/>
              <w:rPr>
                <w:rFonts w:asciiTheme="minorEastAsia" w:hAnsiTheme="minorEastAsia" w:eastAsiaTheme="minorEastAsia"/>
                <w:b/>
                <w:color w:val="auto"/>
                <w:kern w:val="0"/>
                <w:szCs w:val="21"/>
                <w:highlight w:val="none"/>
              </w:rPr>
            </w:pPr>
            <w:r>
              <w:rPr>
                <w:rFonts w:asciiTheme="minorEastAsia" w:hAnsiTheme="minorEastAsia" w:eastAsiaTheme="minorEastAsia"/>
                <w:b/>
                <w:color w:val="auto"/>
                <w:kern w:val="0"/>
                <w:szCs w:val="21"/>
                <w:highlight w:val="none"/>
              </w:rPr>
              <w:t>条款名称</w:t>
            </w:r>
          </w:p>
        </w:tc>
        <w:tc>
          <w:tcPr>
            <w:tcW w:w="4847" w:type="dxa"/>
            <w:vAlign w:val="center"/>
          </w:tcPr>
          <w:p>
            <w:pPr>
              <w:autoSpaceDE w:val="0"/>
              <w:autoSpaceDN w:val="0"/>
              <w:adjustRightInd w:val="0"/>
              <w:snapToGrid w:val="0"/>
              <w:jc w:val="center"/>
              <w:rPr>
                <w:rFonts w:asciiTheme="minorEastAsia" w:hAnsiTheme="minorEastAsia" w:eastAsiaTheme="minorEastAsia"/>
                <w:b/>
                <w:color w:val="auto"/>
                <w:kern w:val="0"/>
                <w:szCs w:val="21"/>
                <w:highlight w:val="none"/>
              </w:rPr>
            </w:pPr>
            <w:r>
              <w:rPr>
                <w:rFonts w:asciiTheme="minorEastAsia" w:hAnsiTheme="minorEastAsia" w:eastAsiaTheme="minorEastAsia"/>
                <w:b/>
                <w:color w:val="auto"/>
                <w:kern w:val="0"/>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restart"/>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u w:val="single"/>
              </w:rPr>
            </w:pPr>
            <w:r>
              <w:rPr>
                <w:rFonts w:asciiTheme="minorEastAsia" w:hAnsiTheme="minorEastAsia" w:eastAsiaTheme="minorEastAsia"/>
                <w:bCs/>
                <w:color w:val="auto"/>
                <w:kern w:val="0"/>
                <w:szCs w:val="21"/>
                <w:highlight w:val="none"/>
              </w:rPr>
              <w:t>招标人</w:t>
            </w:r>
          </w:p>
        </w:tc>
        <w:tc>
          <w:tcPr>
            <w:tcW w:w="4847" w:type="dxa"/>
            <w:vAlign w:val="center"/>
          </w:tcPr>
          <w:p>
            <w:pPr>
              <w:autoSpaceDE w:val="0"/>
              <w:autoSpaceDN w:val="0"/>
              <w:adjustRightInd w:val="0"/>
              <w:snapToGrid w:val="0"/>
              <w:jc w:val="left"/>
              <w:rPr>
                <w:rFonts w:hint="eastAsia" w:asciiTheme="minorEastAsia" w:hAnsiTheme="minorEastAsia" w:eastAsiaTheme="minorEastAsia"/>
                <w:color w:val="auto"/>
                <w:kern w:val="0"/>
                <w:szCs w:val="21"/>
                <w:highlight w:val="none"/>
                <w:lang w:eastAsia="zh-CN"/>
              </w:rPr>
            </w:pPr>
            <w:r>
              <w:rPr>
                <w:rFonts w:hint="eastAsia" w:asciiTheme="minorEastAsia" w:hAnsiTheme="minorEastAsia" w:eastAsiaTheme="minorEastAsia"/>
                <w:color w:val="auto"/>
                <w:kern w:val="0"/>
                <w:szCs w:val="21"/>
                <w:highlight w:val="none"/>
                <w:lang w:eastAsia="zh-CN"/>
              </w:rPr>
              <w:t>个旧云能投绿色能源开发有限公司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continue"/>
            <w:vAlign w:val="center"/>
          </w:tcPr>
          <w:p>
            <w:pPr>
              <w:snapToGrid w:val="0"/>
              <w:rPr>
                <w:rFonts w:asciiTheme="minorEastAsia" w:hAnsiTheme="minorEastAsia" w:eastAsiaTheme="minorEastAsia"/>
                <w:color w:val="auto"/>
                <w:szCs w:val="21"/>
                <w:highlight w:val="none"/>
              </w:rPr>
            </w:pPr>
          </w:p>
        </w:tc>
        <w:tc>
          <w:tcPr>
            <w:tcW w:w="2544" w:type="dxa"/>
            <w:vAlign w:val="center"/>
          </w:tcPr>
          <w:p>
            <w:pPr>
              <w:autoSpaceDE w:val="0"/>
              <w:autoSpaceDN w:val="0"/>
              <w:adjustRightInd w:val="0"/>
              <w:snapToGrid w:val="0"/>
              <w:jc w:val="left"/>
              <w:rPr>
                <w:rFonts w:asciiTheme="minorEastAsia" w:hAnsiTheme="minorEastAsia" w:eastAsiaTheme="minorEastAsia"/>
                <w:bCs/>
                <w:color w:val="auto"/>
                <w:kern w:val="0"/>
                <w:szCs w:val="21"/>
                <w:highlight w:val="none"/>
              </w:rPr>
            </w:pPr>
            <w:r>
              <w:rPr>
                <w:rFonts w:asciiTheme="minorEastAsia" w:hAnsiTheme="minorEastAsia" w:eastAsiaTheme="minorEastAsia"/>
                <w:bCs/>
                <w:color w:val="auto"/>
                <w:kern w:val="0"/>
                <w:szCs w:val="21"/>
                <w:highlight w:val="none"/>
              </w:rPr>
              <w:t>采购代理机构</w:t>
            </w:r>
          </w:p>
        </w:tc>
        <w:tc>
          <w:tcPr>
            <w:tcW w:w="4847" w:type="dxa"/>
            <w:vAlign w:val="center"/>
          </w:tcPr>
          <w:p>
            <w:pPr>
              <w:autoSpaceDE w:val="0"/>
              <w:autoSpaceDN w:val="0"/>
              <w:adjustRightInd w:val="0"/>
              <w:snapToGrid w:val="0"/>
              <w:jc w:val="left"/>
              <w:rPr>
                <w:rFonts w:hint="eastAsia" w:asciiTheme="minorEastAsia" w:hAnsiTheme="minorEastAsia" w:eastAsiaTheme="minorEastAsia"/>
                <w:color w:val="auto"/>
                <w:kern w:val="0"/>
                <w:szCs w:val="21"/>
                <w:highlight w:val="none"/>
                <w:lang w:eastAsia="zh-CN"/>
              </w:rPr>
            </w:pPr>
            <w:r>
              <w:rPr>
                <w:rFonts w:hint="eastAsia" w:asciiTheme="minorEastAsia" w:hAnsiTheme="minorEastAsia" w:eastAsiaTheme="minorEastAsia"/>
                <w:color w:val="auto"/>
                <w:kern w:val="0"/>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continue"/>
            <w:vAlign w:val="center"/>
          </w:tcPr>
          <w:p>
            <w:pPr>
              <w:snapToGrid w:val="0"/>
              <w:rPr>
                <w:rFonts w:asciiTheme="minorEastAsia" w:hAnsiTheme="minorEastAsia" w:eastAsiaTheme="minorEastAsia"/>
                <w:color w:val="auto"/>
                <w:szCs w:val="21"/>
                <w:highlight w:val="none"/>
              </w:rPr>
            </w:pP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项目名称</w:t>
            </w:r>
          </w:p>
        </w:tc>
        <w:tc>
          <w:tcPr>
            <w:tcW w:w="4847" w:type="dxa"/>
            <w:vAlign w:val="center"/>
          </w:tcPr>
          <w:p>
            <w:pPr>
              <w:autoSpaceDE w:val="0"/>
              <w:autoSpaceDN w:val="0"/>
              <w:adjustRightInd w:val="0"/>
              <w:snapToGrid w:val="0"/>
              <w:jc w:val="left"/>
              <w:rPr>
                <w:rFonts w:hint="eastAsia" w:asciiTheme="minorEastAsia" w:hAnsiTheme="minorEastAsia" w:eastAsiaTheme="minorEastAsia"/>
                <w:color w:val="auto"/>
                <w:kern w:val="0"/>
                <w:szCs w:val="21"/>
                <w:highlight w:val="none"/>
                <w:lang w:eastAsia="zh-CN"/>
              </w:rPr>
            </w:pPr>
            <w:r>
              <w:rPr>
                <w:rFonts w:hint="eastAsia" w:asciiTheme="minorEastAsia" w:hAnsiTheme="minorEastAsia" w:eastAsiaTheme="minorEastAsia"/>
                <w:color w:val="auto"/>
                <w:szCs w:val="21"/>
                <w:highlight w:val="none"/>
                <w:lang w:eastAsia="zh-CN"/>
              </w:rPr>
              <w:t>背阴山尾矿库分布式光伏发电项目送出线路设计施工总承包工程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continue"/>
            <w:vAlign w:val="center"/>
          </w:tcPr>
          <w:p>
            <w:pPr>
              <w:snapToGrid w:val="0"/>
              <w:rPr>
                <w:rFonts w:asciiTheme="minorEastAsia" w:hAnsiTheme="minorEastAsia" w:eastAsiaTheme="minorEastAsia"/>
                <w:color w:val="auto"/>
                <w:szCs w:val="21"/>
                <w:highlight w:val="none"/>
              </w:rPr>
            </w:pP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项目编号</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lang w:val="en-US" w:eastAsia="zh-CN"/>
              </w:rPr>
              <w:t>GJYNT-GC-202501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2</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资金来源</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企业自筹，已落实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3</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招标范围</w:t>
            </w:r>
          </w:p>
        </w:tc>
        <w:tc>
          <w:tcPr>
            <w:tcW w:w="4847" w:type="dxa"/>
            <w:vAlign w:val="center"/>
          </w:tcPr>
          <w:p>
            <w:pPr>
              <w:autoSpaceDE w:val="0"/>
              <w:autoSpaceDN w:val="0"/>
              <w:snapToGrid w:val="0"/>
              <w:textAlignment w:val="bottom"/>
              <w:rPr>
                <w:rFonts w:hint="eastAsia"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见第一章“竞争性谈判公告”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3.2</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服务期限</w:t>
            </w:r>
          </w:p>
        </w:tc>
        <w:tc>
          <w:tcPr>
            <w:tcW w:w="4847" w:type="dxa"/>
            <w:vAlign w:val="center"/>
          </w:tcPr>
          <w:p>
            <w:pPr>
              <w:autoSpaceDE w:val="0"/>
              <w:autoSpaceDN w:val="0"/>
              <w:snapToGrid w:val="0"/>
              <w:textAlignment w:val="bottom"/>
              <w:rPr>
                <w:rFonts w:hint="eastAsia"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lang w:val="en-US" w:eastAsia="zh-CN"/>
              </w:rPr>
              <w:t>自合同签订之日起至本项目结束之日止（具体以合同约定为准）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3.3</w:t>
            </w:r>
          </w:p>
        </w:tc>
        <w:tc>
          <w:tcPr>
            <w:tcW w:w="2544" w:type="dxa"/>
            <w:vAlign w:val="center"/>
          </w:tcPr>
          <w:p>
            <w:pPr>
              <w:autoSpaceDE w:val="0"/>
              <w:autoSpaceDN w:val="0"/>
              <w:adjustRightInd w:val="0"/>
              <w:snapToGrid w:val="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项目实施地点</w:t>
            </w:r>
          </w:p>
        </w:tc>
        <w:tc>
          <w:tcPr>
            <w:tcW w:w="4847" w:type="dxa"/>
            <w:vAlign w:val="center"/>
          </w:tcPr>
          <w:p>
            <w:pPr>
              <w:autoSpaceDE w:val="0"/>
              <w:autoSpaceDN w:val="0"/>
              <w:snapToGrid w:val="0"/>
              <w:textAlignment w:val="bottom"/>
              <w:rPr>
                <w:rFonts w:hint="default" w:asciiTheme="minorEastAsia" w:hAnsiTheme="minorEastAsia" w:eastAsiaTheme="minorEastAsia"/>
                <w:bCs/>
                <w:color w:val="auto"/>
                <w:szCs w:val="21"/>
                <w:highlight w:val="none"/>
                <w:lang w:val="en-US" w:eastAsia="zh-CN"/>
              </w:rPr>
            </w:pPr>
            <w:r>
              <w:rPr>
                <w:rFonts w:hint="eastAsia" w:asciiTheme="minorEastAsia" w:hAnsiTheme="minorEastAsia" w:eastAsiaTheme="minorEastAsia"/>
                <w:bCs/>
                <w:color w:val="auto"/>
                <w:szCs w:val="21"/>
                <w:highlight w:val="none"/>
              </w:rPr>
              <w:t>红河哈尼族彝族自治州个旧市</w:t>
            </w:r>
            <w:r>
              <w:rPr>
                <w:rFonts w:hint="eastAsia" w:asciiTheme="minorEastAsia" w:hAnsiTheme="minorEastAsia" w:eastAsiaTheme="minorEastAsia"/>
                <w:bCs/>
                <w:color w:val="auto"/>
                <w:szCs w:val="21"/>
                <w:highlight w:val="none"/>
                <w:lang w:val="en-US" w:eastAsia="zh-CN"/>
              </w:rPr>
              <w:t>老厂镇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6</w:t>
            </w:r>
          </w:p>
        </w:tc>
        <w:tc>
          <w:tcPr>
            <w:tcW w:w="2544" w:type="dxa"/>
            <w:vAlign w:val="center"/>
          </w:tcPr>
          <w:p>
            <w:pPr>
              <w:pStyle w:val="37"/>
              <w:snapToGrid w:val="0"/>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服务质量标准</w:t>
            </w:r>
          </w:p>
        </w:tc>
        <w:tc>
          <w:tcPr>
            <w:tcW w:w="4847" w:type="dxa"/>
            <w:vAlign w:val="center"/>
          </w:tcPr>
          <w:p>
            <w:pPr>
              <w:autoSpaceDE w:val="0"/>
              <w:autoSpaceDN w:val="0"/>
              <w:adjustRightInd w:val="0"/>
              <w:snapToGrid w:val="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符合国家、行业相关标准和规范，满足招标人要求。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7</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谈判申请人</w:t>
            </w:r>
            <w:r>
              <w:rPr>
                <w:rFonts w:hint="eastAsia" w:asciiTheme="minorEastAsia" w:hAnsiTheme="minorEastAsia" w:eastAsiaTheme="minorEastAsia"/>
                <w:color w:val="auto"/>
                <w:kern w:val="0"/>
                <w:szCs w:val="21"/>
                <w:highlight w:val="none"/>
              </w:rPr>
              <w:t>资格要求</w:t>
            </w:r>
          </w:p>
        </w:tc>
        <w:tc>
          <w:tcPr>
            <w:tcW w:w="4847" w:type="dxa"/>
            <w:vAlign w:val="center"/>
          </w:tcPr>
          <w:p>
            <w:pPr>
              <w:snapToGrid w:val="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见第一章“竞争性谈判公告”。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8</w:t>
            </w:r>
          </w:p>
        </w:tc>
        <w:tc>
          <w:tcPr>
            <w:tcW w:w="2544" w:type="dxa"/>
            <w:vAlign w:val="center"/>
          </w:tcPr>
          <w:p>
            <w:pPr>
              <w:autoSpaceDE w:val="0"/>
              <w:autoSpaceDN w:val="0"/>
              <w:snapToGrid w:val="0"/>
              <w:textAlignment w:val="bottom"/>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谈判文件</w:t>
            </w:r>
            <w:r>
              <w:rPr>
                <w:rFonts w:hint="eastAsia" w:asciiTheme="minorEastAsia" w:hAnsiTheme="minorEastAsia" w:eastAsiaTheme="minorEastAsia"/>
                <w:color w:val="auto"/>
                <w:kern w:val="0"/>
                <w:szCs w:val="21"/>
                <w:highlight w:val="none"/>
              </w:rPr>
              <w:t>澄清</w:t>
            </w:r>
            <w:r>
              <w:rPr>
                <w:rFonts w:hint="eastAsia" w:asciiTheme="minorEastAsia" w:hAnsiTheme="minorEastAsia" w:eastAsiaTheme="minorEastAsia"/>
                <w:color w:val="auto"/>
                <w:szCs w:val="21"/>
                <w:highlight w:val="none"/>
              </w:rPr>
              <w:t>截止时间</w:t>
            </w:r>
          </w:p>
        </w:tc>
        <w:tc>
          <w:tcPr>
            <w:tcW w:w="4847" w:type="dxa"/>
            <w:vAlign w:val="center"/>
          </w:tcPr>
          <w:p>
            <w:pPr>
              <w:autoSpaceDE w:val="0"/>
              <w:autoSpaceDN w:val="0"/>
              <w:snapToGrid w:val="0"/>
              <w:textAlignment w:val="bottom"/>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提交响应文件截止时间</w:t>
            </w:r>
            <w:r>
              <w:rPr>
                <w:rFonts w:hint="eastAsia" w:asciiTheme="minorEastAsia" w:hAnsiTheme="minorEastAsia" w:eastAsiaTheme="minorEastAsia"/>
                <w:color w:val="auto"/>
                <w:szCs w:val="21"/>
                <w:highlight w:val="none"/>
                <w:u w:val="single"/>
              </w:rPr>
              <w:t>3</w:t>
            </w:r>
            <w:r>
              <w:rPr>
                <w:rFonts w:hint="eastAsia" w:asciiTheme="minorEastAsia" w:hAnsiTheme="minorEastAsia" w:eastAsiaTheme="minorEastAsia"/>
                <w:color w:val="auto"/>
                <w:szCs w:val="21"/>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9</w:t>
            </w:r>
          </w:p>
        </w:tc>
        <w:tc>
          <w:tcPr>
            <w:tcW w:w="2544" w:type="dxa"/>
            <w:vAlign w:val="center"/>
          </w:tcPr>
          <w:p>
            <w:pPr>
              <w:autoSpaceDE w:val="0"/>
              <w:autoSpaceDN w:val="0"/>
              <w:snapToGrid w:val="0"/>
              <w:textAlignment w:val="bottom"/>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szCs w:val="21"/>
                <w:highlight w:val="none"/>
              </w:rPr>
              <w:t>本项目谈判小组根据与谈判申请人谈判情况可能实质性变动的内容</w:t>
            </w:r>
          </w:p>
        </w:tc>
        <w:tc>
          <w:tcPr>
            <w:tcW w:w="4847" w:type="dxa"/>
            <w:vAlign w:val="center"/>
          </w:tcPr>
          <w:p>
            <w:pPr>
              <w:autoSpaceDE w:val="0"/>
              <w:autoSpaceDN w:val="0"/>
              <w:snapToGrid w:val="0"/>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第五章 项目需求及服务要求。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10</w:t>
            </w:r>
          </w:p>
        </w:tc>
        <w:tc>
          <w:tcPr>
            <w:tcW w:w="2544" w:type="dxa"/>
            <w:vAlign w:val="center"/>
          </w:tcPr>
          <w:p>
            <w:pPr>
              <w:autoSpaceDE w:val="0"/>
              <w:autoSpaceDN w:val="0"/>
              <w:snapToGrid w:val="0"/>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构成响应文件的其他资料</w:t>
            </w:r>
          </w:p>
        </w:tc>
        <w:tc>
          <w:tcPr>
            <w:tcW w:w="4847" w:type="dxa"/>
            <w:vAlign w:val="center"/>
          </w:tcPr>
          <w:p>
            <w:pPr>
              <w:autoSpaceDE w:val="0"/>
              <w:autoSpaceDN w:val="0"/>
              <w:snapToGrid w:val="0"/>
              <w:textAlignment w:val="bottom"/>
              <w:rPr>
                <w:rFonts w:asciiTheme="minorEastAsia" w:hAnsiTheme="minorEastAsia" w:eastAsiaTheme="minorEastAsia"/>
                <w:bCs/>
                <w:color w:val="auto"/>
                <w:szCs w:val="21"/>
                <w:highlight w:val="none"/>
              </w:rPr>
            </w:pPr>
            <w:r>
              <w:rPr>
                <w:rFonts w:asciiTheme="minorEastAsia" w:hAnsiTheme="minorEastAsia" w:eastAsiaTheme="minorEastAsia"/>
                <w:bCs/>
                <w:color w:val="auto"/>
                <w:szCs w:val="21"/>
                <w:highlight w:val="none"/>
              </w:rPr>
              <w:t>1.</w:t>
            </w:r>
            <w:r>
              <w:rPr>
                <w:rFonts w:hint="eastAsia" w:asciiTheme="minorEastAsia" w:hAnsiTheme="minorEastAsia" w:eastAsiaTheme="minorEastAsia"/>
                <w:bCs/>
                <w:color w:val="auto"/>
                <w:szCs w:val="21"/>
                <w:highlight w:val="none"/>
              </w:rPr>
              <w:t>第五章“项目需求及服务要求”中要求提供的其他资料；</w:t>
            </w:r>
          </w:p>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bCs/>
                <w:color w:val="auto"/>
                <w:szCs w:val="21"/>
                <w:highlight w:val="none"/>
              </w:rPr>
              <w:t>2.</w:t>
            </w:r>
            <w:r>
              <w:rPr>
                <w:rFonts w:hint="eastAsia" w:asciiTheme="minorEastAsia" w:hAnsiTheme="minorEastAsia" w:eastAsiaTheme="minorEastAsia"/>
                <w:bCs/>
                <w:color w:val="auto"/>
                <w:szCs w:val="21"/>
                <w:highlight w:val="none"/>
              </w:rPr>
              <w:t>谈判文件中所涉及到的相关资料及证明文件或供应商认为必须提供的其他相关资料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11</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有效期</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递交响应文件的截止日期后</w:t>
            </w:r>
            <w:r>
              <w:rPr>
                <w:rFonts w:hint="eastAsia" w:asciiTheme="minorEastAsia" w:hAnsiTheme="minorEastAsia" w:eastAsiaTheme="minorEastAsia"/>
                <w:color w:val="auto"/>
                <w:kern w:val="0"/>
                <w:szCs w:val="21"/>
                <w:highlight w:val="none"/>
                <w:u w:val="single"/>
              </w:rPr>
              <w:t>90</w:t>
            </w:r>
            <w:r>
              <w:rPr>
                <w:rFonts w:asciiTheme="minorEastAsia" w:hAnsiTheme="minorEastAsia" w:eastAsiaTheme="minorEastAsia"/>
                <w:color w:val="auto"/>
                <w:kern w:val="0"/>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12</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响应文件份数</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b/>
                <w:color w:val="auto"/>
                <w:kern w:val="0"/>
                <w:szCs w:val="21"/>
                <w:highlight w:val="none"/>
              </w:rPr>
              <w:t>正本壹份，副本贰</w:t>
            </w:r>
            <w:r>
              <w:rPr>
                <w:rFonts w:asciiTheme="minorEastAsia" w:hAnsiTheme="minorEastAsia" w:eastAsiaTheme="minorEastAsia"/>
                <w:b/>
                <w:color w:val="auto"/>
                <w:kern w:val="0"/>
                <w:szCs w:val="21"/>
                <w:highlight w:val="none"/>
              </w:rPr>
              <w:t>份</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电子版响应文件一份（光盘刻录或U盘）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13</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谈判</w:t>
            </w:r>
            <w:r>
              <w:rPr>
                <w:rFonts w:asciiTheme="minorEastAsia" w:hAnsiTheme="minorEastAsia" w:eastAsiaTheme="minorEastAsia"/>
                <w:color w:val="auto"/>
                <w:kern w:val="0"/>
                <w:szCs w:val="21"/>
                <w:highlight w:val="none"/>
              </w:rPr>
              <w:t>保证金</w:t>
            </w:r>
          </w:p>
        </w:tc>
        <w:tc>
          <w:tcPr>
            <w:tcW w:w="4847" w:type="dxa"/>
            <w:vAlign w:val="center"/>
          </w:tcPr>
          <w:p>
            <w:pPr>
              <w:adjustRightInd w:val="0"/>
              <w:snapToGrid w:val="0"/>
              <w:jc w:val="left"/>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14</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递交响应文件的截止时间</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见第一章“竞争性谈判公告”。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15</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递交响应文件地点</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u w:val="single"/>
              </w:rPr>
              <w:t>见第一章“竞争性谈判公告”。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16</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是否退还响应文件</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17</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谈判时间和地点</w:t>
            </w:r>
          </w:p>
        </w:tc>
        <w:tc>
          <w:tcPr>
            <w:tcW w:w="4847" w:type="dxa"/>
            <w:vAlign w:val="center"/>
          </w:tcPr>
          <w:p>
            <w:pPr>
              <w:autoSpaceDE w:val="0"/>
              <w:autoSpaceDN w:val="0"/>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谈判时间</w:t>
            </w:r>
            <w:r>
              <w:rPr>
                <w:rFonts w:hint="eastAsia" w:asciiTheme="minorEastAsia" w:hAnsiTheme="minorEastAsia" w:eastAsiaTheme="minorEastAsia"/>
                <w:color w:val="auto"/>
                <w:kern w:val="0"/>
                <w:szCs w:val="21"/>
                <w:highlight w:val="none"/>
              </w:rPr>
              <w:t>：同“递交响应文件的截止时间”</w:t>
            </w:r>
          </w:p>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谈判地点：</w:t>
            </w:r>
            <w:r>
              <w:rPr>
                <w:rFonts w:hint="eastAsia" w:asciiTheme="minorEastAsia" w:hAnsiTheme="minorEastAsia" w:eastAsiaTheme="minorEastAsia"/>
                <w:color w:val="auto"/>
                <w:kern w:val="0"/>
                <w:szCs w:val="21"/>
                <w:highlight w:val="none"/>
              </w:rPr>
              <w:t>同“递交响应文件地点”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restart"/>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18</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谈判程序和评审方法</w:t>
            </w:r>
          </w:p>
        </w:tc>
        <w:tc>
          <w:tcPr>
            <w:tcW w:w="4847"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综合评估打分法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Merge w:val="continue"/>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p>
        </w:tc>
        <w:tc>
          <w:tcPr>
            <w:tcW w:w="7391" w:type="dxa"/>
            <w:gridSpan w:val="2"/>
            <w:vAlign w:val="center"/>
          </w:tcPr>
          <w:p>
            <w:pPr>
              <w:autoSpaceDE w:val="0"/>
              <w:autoSpaceDN w:val="0"/>
              <w:adjustRightInd w:val="0"/>
              <w:snapToGrid w:val="0"/>
              <w:jc w:val="left"/>
              <w:rPr>
                <w:rFonts w:asciiTheme="minorEastAsia" w:hAnsiTheme="minorEastAsia" w:eastAsiaTheme="minorEastAsia"/>
                <w:b/>
                <w:color w:val="auto"/>
                <w:kern w:val="0"/>
                <w:szCs w:val="21"/>
                <w:highlight w:val="none"/>
                <w:u w:val="single"/>
              </w:rPr>
            </w:pPr>
            <w:r>
              <w:rPr>
                <w:rFonts w:asciiTheme="minorEastAsia" w:hAnsiTheme="minorEastAsia" w:eastAsiaTheme="minorEastAsia"/>
                <w:b/>
                <w:color w:val="auto"/>
                <w:kern w:val="0"/>
                <w:szCs w:val="21"/>
                <w:highlight w:val="none"/>
                <w:u w:val="single"/>
              </w:rPr>
              <w:t>第六章“</w:t>
            </w:r>
            <w:r>
              <w:rPr>
                <w:rFonts w:hint="eastAsia" w:asciiTheme="minorEastAsia" w:hAnsiTheme="minorEastAsia" w:eastAsiaTheme="minorEastAsia"/>
                <w:b/>
                <w:color w:val="auto"/>
                <w:kern w:val="0"/>
                <w:szCs w:val="21"/>
                <w:highlight w:val="none"/>
                <w:u w:val="single"/>
              </w:rPr>
              <w:t>谈判程序和评审方法</w:t>
            </w:r>
            <w:r>
              <w:rPr>
                <w:rFonts w:asciiTheme="minorEastAsia" w:hAnsiTheme="minorEastAsia" w:eastAsiaTheme="minorEastAsia"/>
                <w:b/>
                <w:color w:val="auto"/>
                <w:kern w:val="0"/>
                <w:szCs w:val="21"/>
                <w:highlight w:val="none"/>
                <w:u w:val="single"/>
              </w:rPr>
              <w:t>”第2.1款</w:t>
            </w:r>
            <w:r>
              <w:rPr>
                <w:rFonts w:hint="eastAsia" w:asciiTheme="minorEastAsia" w:hAnsiTheme="minorEastAsia" w:eastAsiaTheme="minorEastAsia"/>
                <w:b/>
                <w:color w:val="auto"/>
                <w:kern w:val="0"/>
                <w:szCs w:val="21"/>
                <w:highlight w:val="none"/>
                <w:u w:val="single"/>
              </w:rPr>
              <w:t>资格</w:t>
            </w:r>
            <w:r>
              <w:rPr>
                <w:rFonts w:asciiTheme="minorEastAsia" w:hAnsiTheme="minorEastAsia" w:eastAsiaTheme="minorEastAsia"/>
                <w:b/>
                <w:color w:val="auto"/>
                <w:kern w:val="0"/>
                <w:szCs w:val="21"/>
                <w:highlight w:val="none"/>
                <w:u w:val="single"/>
              </w:rPr>
              <w:t>审查标准规定的内容</w:t>
            </w:r>
            <w:r>
              <w:rPr>
                <w:rFonts w:hint="eastAsia" w:asciiTheme="minorEastAsia" w:hAnsiTheme="minorEastAsia" w:eastAsiaTheme="minorEastAsia"/>
                <w:b/>
                <w:color w:val="auto"/>
                <w:kern w:val="0"/>
                <w:szCs w:val="21"/>
                <w:highlight w:val="none"/>
                <w:u w:val="single"/>
              </w:rPr>
              <w:t>，</w:t>
            </w:r>
            <w:r>
              <w:rPr>
                <w:rFonts w:asciiTheme="minorEastAsia" w:hAnsiTheme="minorEastAsia" w:eastAsiaTheme="minorEastAsia"/>
                <w:b/>
                <w:color w:val="auto"/>
                <w:kern w:val="0"/>
                <w:szCs w:val="21"/>
                <w:highlight w:val="none"/>
                <w:u w:val="single"/>
              </w:rPr>
              <w:t>为参加谈判的谈判申请人必须具备的资格条件，凡有一条不满足的谈判申请人不再参与谈判。请各参加谈判的谈判申请人仔细阅读</w:t>
            </w:r>
            <w:r>
              <w:rPr>
                <w:rFonts w:hint="eastAsia" w:asciiTheme="minorEastAsia" w:hAnsiTheme="minorEastAsia" w:eastAsiaTheme="minorEastAsia"/>
                <w:b/>
                <w:color w:val="auto"/>
                <w:kern w:val="0"/>
                <w:szCs w:val="21"/>
                <w:highlight w:val="none"/>
                <w:u w:val="single"/>
              </w:rPr>
              <w:t>资格</w:t>
            </w:r>
            <w:r>
              <w:rPr>
                <w:rFonts w:asciiTheme="minorEastAsia" w:hAnsiTheme="minorEastAsia" w:eastAsiaTheme="minorEastAsia"/>
                <w:b/>
                <w:color w:val="auto"/>
                <w:kern w:val="0"/>
                <w:szCs w:val="21"/>
                <w:highlight w:val="none"/>
                <w:u w:val="singl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19</w:t>
            </w:r>
          </w:p>
        </w:tc>
        <w:tc>
          <w:tcPr>
            <w:tcW w:w="2544" w:type="dxa"/>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采购代理服务费</w:t>
            </w:r>
          </w:p>
        </w:tc>
        <w:tc>
          <w:tcPr>
            <w:tcW w:w="4847" w:type="dxa"/>
            <w:vAlign w:val="center"/>
          </w:tcPr>
          <w:p>
            <w:pPr>
              <w:widowControl/>
              <w:adjustRightInd w:val="0"/>
              <w:snapToGrid w:val="0"/>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utoSpaceDE w:val="0"/>
              <w:autoSpaceDN w:val="0"/>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20</w:t>
            </w:r>
          </w:p>
        </w:tc>
        <w:tc>
          <w:tcPr>
            <w:tcW w:w="7391" w:type="dxa"/>
            <w:gridSpan w:val="2"/>
            <w:vAlign w:val="center"/>
          </w:tcPr>
          <w:p>
            <w:pPr>
              <w:autoSpaceDE w:val="0"/>
              <w:autoSpaceDN w:val="0"/>
              <w:adjustRightInd w:val="0"/>
              <w:snapToGrid w:val="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w:t>
            </w:r>
          </w:p>
        </w:tc>
        <w:tc>
          <w:tcPr>
            <w:tcW w:w="7391" w:type="dxa"/>
            <w:gridSpan w:val="2"/>
            <w:vAlign w:val="center"/>
          </w:tcPr>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本项目不允许任何形式的分包、转包。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djustRightInd w:val="0"/>
              <w:snapToGrid w:val="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2）</w:t>
            </w:r>
          </w:p>
        </w:tc>
        <w:tc>
          <w:tcPr>
            <w:tcW w:w="7391" w:type="dxa"/>
            <w:gridSpan w:val="2"/>
            <w:vAlign w:val="center"/>
          </w:tcPr>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纪律和监督：</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对招标人的纪律要求</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招标人不得泄漏招标投标活动中应当保密的情况和资料，不得与</w:t>
            </w:r>
            <w:r>
              <w:rPr>
                <w:rFonts w:hint="eastAsia" w:asciiTheme="minorEastAsia" w:hAnsiTheme="minorEastAsia" w:eastAsiaTheme="minorEastAsia"/>
                <w:color w:val="auto"/>
                <w:kern w:val="0"/>
                <w:szCs w:val="21"/>
                <w:highlight w:val="none"/>
                <w:lang w:eastAsia="zh-CN"/>
              </w:rPr>
              <w:t>申请人</w:t>
            </w:r>
            <w:r>
              <w:rPr>
                <w:rFonts w:hint="eastAsia" w:asciiTheme="minorEastAsia" w:hAnsiTheme="minorEastAsia" w:eastAsiaTheme="minorEastAsia"/>
                <w:color w:val="auto"/>
                <w:kern w:val="0"/>
                <w:szCs w:val="21"/>
                <w:highlight w:val="none"/>
              </w:rPr>
              <w:t>串通损害国家利益、社会公共利益或者他人合法权益。</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2</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对</w:t>
            </w:r>
            <w:r>
              <w:rPr>
                <w:rFonts w:hint="eastAsia" w:asciiTheme="minorEastAsia" w:hAnsiTheme="minorEastAsia" w:eastAsiaTheme="minorEastAsia"/>
                <w:color w:val="auto"/>
                <w:kern w:val="0"/>
                <w:szCs w:val="21"/>
                <w:highlight w:val="none"/>
                <w:lang w:eastAsia="zh-CN"/>
              </w:rPr>
              <w:t>申请人</w:t>
            </w:r>
            <w:r>
              <w:rPr>
                <w:rFonts w:hint="eastAsia" w:asciiTheme="minorEastAsia" w:hAnsiTheme="minorEastAsia" w:eastAsiaTheme="minorEastAsia"/>
                <w:color w:val="auto"/>
                <w:kern w:val="0"/>
                <w:szCs w:val="21"/>
                <w:highlight w:val="none"/>
              </w:rPr>
              <w:t>的纪律要求</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eastAsia="zh-CN"/>
              </w:rPr>
              <w:t>申请人</w:t>
            </w:r>
            <w:r>
              <w:rPr>
                <w:rFonts w:hint="eastAsia" w:asciiTheme="minorEastAsia" w:hAnsiTheme="minorEastAsia" w:eastAsiaTheme="minorEastAsia"/>
                <w:color w:val="auto"/>
                <w:kern w:val="0"/>
                <w:szCs w:val="21"/>
                <w:highlight w:val="none"/>
              </w:rPr>
              <w:t>不得相互串通投标或者与招标人串通投标，不得向招标人或者评标委员会成员行贿谋取中标，不得以他人名义投标或者以其他方式弄虚作假骗取中标；</w:t>
            </w:r>
            <w:r>
              <w:rPr>
                <w:rFonts w:hint="eastAsia" w:asciiTheme="minorEastAsia" w:hAnsiTheme="minorEastAsia" w:eastAsiaTheme="minorEastAsia"/>
                <w:color w:val="auto"/>
                <w:kern w:val="0"/>
                <w:szCs w:val="21"/>
                <w:highlight w:val="none"/>
                <w:lang w:eastAsia="zh-CN"/>
              </w:rPr>
              <w:t>申请人</w:t>
            </w:r>
            <w:r>
              <w:rPr>
                <w:rFonts w:hint="eastAsia" w:asciiTheme="minorEastAsia" w:hAnsiTheme="minorEastAsia" w:eastAsiaTheme="minorEastAsia"/>
                <w:color w:val="auto"/>
                <w:kern w:val="0"/>
                <w:szCs w:val="21"/>
                <w:highlight w:val="none"/>
              </w:rPr>
              <w:t>不得以任何方式干扰、影响评标工作。</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3</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对评标委员会成员的纪律要求</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4</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对与评标活动有关的工作人员的纪律要求</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5</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投诉</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eastAsia="zh-CN"/>
              </w:rPr>
              <w:t>申请人</w:t>
            </w:r>
            <w:r>
              <w:rPr>
                <w:rFonts w:hint="eastAsia" w:asciiTheme="minorEastAsia" w:hAnsiTheme="minorEastAsia" w:eastAsiaTheme="minorEastAsia"/>
                <w:color w:val="auto"/>
                <w:kern w:val="0"/>
                <w:szCs w:val="21"/>
                <w:highlight w:val="none"/>
              </w:rPr>
              <w:t>和其他利害关系人认为本次招标活动违反法律、法规和规章规定的，有权向有关行政监督部门投诉。对发现在本次招投标过程中存在的任何违规、违纪情况也可以致电举报</w:t>
            </w:r>
            <w:r>
              <w:rPr>
                <w:rFonts w:hint="eastAsia" w:asciiTheme="minorEastAsia" w:hAnsiTheme="minorEastAsia" w:eastAsiaTheme="minorEastAsia"/>
                <w:color w:val="auto"/>
                <w:szCs w:val="21"/>
                <w:highlight w:val="none"/>
              </w:rPr>
              <w:t>0871-64981473</w:t>
            </w:r>
            <w:r>
              <w:rPr>
                <w:rFonts w:hint="eastAsia" w:asciiTheme="minorEastAsia" w:hAnsiTheme="minorEastAsia" w:eastAsiaTheme="minorEastAsia"/>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1" w:type="dxa"/>
            <w:vAlign w:val="center"/>
          </w:tcPr>
          <w:p>
            <w:pPr>
              <w:adjustRightInd w:val="0"/>
              <w:snapToGrid w:val="0"/>
              <w:jc w:val="center"/>
              <w:rPr>
                <w:rFonts w:asciiTheme="minorEastAsia" w:hAnsiTheme="minorEastAsia" w:eastAsiaTheme="minorEastAsia" w:cstheme="minorBidi"/>
                <w:color w:val="auto"/>
                <w:sz w:val="24"/>
                <w:szCs w:val="28"/>
                <w:highlight w:val="none"/>
              </w:rPr>
            </w:pPr>
            <w:r>
              <w:rPr>
                <w:rFonts w:hint="eastAsia" w:asciiTheme="minorEastAsia" w:hAnsiTheme="minorEastAsia" w:eastAsiaTheme="minorEastAsia" w:cstheme="minorBidi"/>
                <w:color w:val="auto"/>
                <w:sz w:val="24"/>
                <w:szCs w:val="28"/>
                <w:highlight w:val="none"/>
              </w:rPr>
              <w:t>3）</w:t>
            </w:r>
          </w:p>
        </w:tc>
        <w:tc>
          <w:tcPr>
            <w:tcW w:w="7391" w:type="dxa"/>
            <w:gridSpan w:val="2"/>
            <w:vAlign w:val="center"/>
          </w:tcPr>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递交谈判申请文件时须按谈判文件的要求，携带下列证件（或资料），交由工作人员现场登记：</w:t>
            </w:r>
          </w:p>
          <w:p>
            <w:pPr>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w:t>
            </w:r>
            <w:r>
              <w:rPr>
                <w:rFonts w:hint="eastAsia" w:asciiTheme="minorEastAsia" w:hAnsiTheme="minorEastAsia" w:eastAsiaTheme="minorEastAsia"/>
                <w:color w:val="auto"/>
                <w:kern w:val="0"/>
                <w:szCs w:val="21"/>
                <w:highlight w:val="none"/>
              </w:rPr>
              <w:t>营业执照副本（复印件加盖单位公章）</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2</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投标保证金的有效凭证（复印件）</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3</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如法定代表人参与投标时提供：</w:t>
            </w:r>
          </w:p>
          <w:p>
            <w:pPr>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fldChar w:fldCharType="begin"/>
            </w:r>
            <w:r>
              <w:rPr>
                <w:rFonts w:asciiTheme="minorEastAsia" w:hAnsiTheme="minorEastAsia" w:eastAsiaTheme="minorEastAsia"/>
                <w:color w:val="auto"/>
                <w:kern w:val="0"/>
                <w:szCs w:val="21"/>
                <w:highlight w:val="none"/>
              </w:rPr>
              <w:instrText xml:space="preserve"> </w:instrText>
            </w:r>
            <w:r>
              <w:rPr>
                <w:rFonts w:hint="eastAsia" w:asciiTheme="minorEastAsia" w:hAnsiTheme="minorEastAsia" w:eastAsiaTheme="minorEastAsia"/>
                <w:color w:val="auto"/>
                <w:kern w:val="0"/>
                <w:szCs w:val="21"/>
                <w:highlight w:val="none"/>
              </w:rPr>
              <w:instrText xml:space="preserve">= 1 \* GB3</w:instrText>
            </w:r>
            <w:r>
              <w:rPr>
                <w:rFonts w:asciiTheme="minorEastAsia" w:hAnsiTheme="minorEastAsia" w:eastAsiaTheme="minorEastAsia"/>
                <w:color w:val="auto"/>
                <w:kern w:val="0"/>
                <w:szCs w:val="21"/>
                <w:highlight w:val="none"/>
              </w:rPr>
              <w:instrText xml:space="preserve"> </w:instrText>
            </w:r>
            <w:r>
              <w:rPr>
                <w:rFonts w:asciiTheme="minorEastAsia" w:hAnsiTheme="minorEastAsia" w:eastAsiaTheme="minorEastAsia"/>
                <w:color w:val="auto"/>
                <w:kern w:val="0"/>
                <w:szCs w:val="21"/>
                <w:highlight w:val="none"/>
              </w:rPr>
              <w:fldChar w:fldCharType="separate"/>
            </w:r>
            <w:r>
              <w:rPr>
                <w:rFonts w:hint="eastAsia" w:asciiTheme="minorEastAsia" w:hAnsiTheme="minorEastAsia" w:eastAsiaTheme="minorEastAsia"/>
                <w:color w:val="auto"/>
                <w:kern w:val="0"/>
                <w:szCs w:val="21"/>
                <w:highlight w:val="none"/>
              </w:rPr>
              <w:t>①</w:t>
            </w:r>
            <w:r>
              <w:rPr>
                <w:rFonts w:asciiTheme="minorEastAsia" w:hAnsiTheme="minorEastAsia" w:eastAsiaTheme="minorEastAsia"/>
                <w:color w:val="auto"/>
                <w:kern w:val="0"/>
                <w:szCs w:val="21"/>
                <w:highlight w:val="none"/>
              </w:rPr>
              <w:fldChar w:fldCharType="end"/>
            </w:r>
            <w:r>
              <w:rPr>
                <w:rFonts w:hint="eastAsia" w:asciiTheme="minorEastAsia" w:hAnsiTheme="minorEastAsia" w:eastAsiaTheme="minorEastAsia"/>
                <w:color w:val="auto"/>
                <w:kern w:val="0"/>
                <w:szCs w:val="21"/>
                <w:highlight w:val="none"/>
              </w:rPr>
              <w:t>法定代表人身份证明书（原件）</w:t>
            </w:r>
          </w:p>
          <w:p>
            <w:pPr>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fldChar w:fldCharType="begin"/>
            </w:r>
            <w:r>
              <w:rPr>
                <w:rFonts w:asciiTheme="minorEastAsia" w:hAnsiTheme="minorEastAsia" w:eastAsiaTheme="minorEastAsia"/>
                <w:color w:val="auto"/>
                <w:kern w:val="0"/>
                <w:szCs w:val="21"/>
                <w:highlight w:val="none"/>
              </w:rPr>
              <w:instrText xml:space="preserve"> </w:instrText>
            </w:r>
            <w:r>
              <w:rPr>
                <w:rFonts w:hint="eastAsia" w:asciiTheme="minorEastAsia" w:hAnsiTheme="minorEastAsia" w:eastAsiaTheme="minorEastAsia"/>
                <w:color w:val="auto"/>
                <w:kern w:val="0"/>
                <w:szCs w:val="21"/>
                <w:highlight w:val="none"/>
              </w:rPr>
              <w:instrText xml:space="preserve">= 2 \* GB3</w:instrText>
            </w:r>
            <w:r>
              <w:rPr>
                <w:rFonts w:asciiTheme="minorEastAsia" w:hAnsiTheme="minorEastAsia" w:eastAsiaTheme="minorEastAsia"/>
                <w:color w:val="auto"/>
                <w:kern w:val="0"/>
                <w:szCs w:val="21"/>
                <w:highlight w:val="none"/>
              </w:rPr>
              <w:instrText xml:space="preserve"> </w:instrText>
            </w:r>
            <w:r>
              <w:rPr>
                <w:rFonts w:asciiTheme="minorEastAsia" w:hAnsiTheme="minorEastAsia" w:eastAsiaTheme="minorEastAsia"/>
                <w:color w:val="auto"/>
                <w:kern w:val="0"/>
                <w:szCs w:val="21"/>
                <w:highlight w:val="none"/>
              </w:rPr>
              <w:fldChar w:fldCharType="separate"/>
            </w:r>
            <w:r>
              <w:rPr>
                <w:rFonts w:hint="eastAsia" w:asciiTheme="minorEastAsia" w:hAnsiTheme="minorEastAsia" w:eastAsiaTheme="minorEastAsia"/>
                <w:color w:val="auto"/>
                <w:kern w:val="0"/>
                <w:szCs w:val="21"/>
                <w:highlight w:val="none"/>
              </w:rPr>
              <w:t>②</w:t>
            </w:r>
            <w:r>
              <w:rPr>
                <w:rFonts w:asciiTheme="minorEastAsia" w:hAnsiTheme="minorEastAsia" w:eastAsiaTheme="minorEastAsia"/>
                <w:color w:val="auto"/>
                <w:kern w:val="0"/>
                <w:szCs w:val="21"/>
                <w:highlight w:val="none"/>
              </w:rPr>
              <w:fldChar w:fldCharType="end"/>
            </w:r>
            <w:r>
              <w:rPr>
                <w:rFonts w:hint="eastAsia" w:asciiTheme="minorEastAsia" w:hAnsiTheme="minorEastAsia" w:eastAsiaTheme="minorEastAsia"/>
                <w:color w:val="auto"/>
                <w:kern w:val="0"/>
                <w:szCs w:val="21"/>
                <w:highlight w:val="none"/>
              </w:rPr>
              <w:t>法定代表人身份证（原件）</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4</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如代理人投标时提供：</w:t>
            </w:r>
          </w:p>
          <w:p>
            <w:pPr>
              <w:adjustRightInd w:val="0"/>
              <w:snapToGrid w:val="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①法定代表人身份证明书（原件）</w:t>
            </w:r>
          </w:p>
          <w:p>
            <w:pPr>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fldChar w:fldCharType="begin"/>
            </w:r>
            <w:r>
              <w:rPr>
                <w:rFonts w:asciiTheme="minorEastAsia" w:hAnsiTheme="minorEastAsia" w:eastAsiaTheme="minorEastAsia"/>
                <w:color w:val="auto"/>
                <w:kern w:val="0"/>
                <w:szCs w:val="21"/>
                <w:highlight w:val="none"/>
              </w:rPr>
              <w:instrText xml:space="preserve"> </w:instrText>
            </w:r>
            <w:r>
              <w:rPr>
                <w:rFonts w:hint="eastAsia" w:asciiTheme="minorEastAsia" w:hAnsiTheme="minorEastAsia" w:eastAsiaTheme="minorEastAsia"/>
                <w:color w:val="auto"/>
                <w:kern w:val="0"/>
                <w:szCs w:val="21"/>
                <w:highlight w:val="none"/>
              </w:rPr>
              <w:instrText xml:space="preserve">= 2 \* GB3</w:instrText>
            </w:r>
            <w:r>
              <w:rPr>
                <w:rFonts w:asciiTheme="minorEastAsia" w:hAnsiTheme="minorEastAsia" w:eastAsiaTheme="minorEastAsia"/>
                <w:color w:val="auto"/>
                <w:kern w:val="0"/>
                <w:szCs w:val="21"/>
                <w:highlight w:val="none"/>
              </w:rPr>
              <w:instrText xml:space="preserve"> </w:instrText>
            </w:r>
            <w:r>
              <w:rPr>
                <w:rFonts w:asciiTheme="minorEastAsia" w:hAnsiTheme="minorEastAsia" w:eastAsiaTheme="minorEastAsia"/>
                <w:color w:val="auto"/>
                <w:kern w:val="0"/>
                <w:szCs w:val="21"/>
                <w:highlight w:val="none"/>
              </w:rPr>
              <w:fldChar w:fldCharType="separate"/>
            </w:r>
            <w:r>
              <w:rPr>
                <w:rFonts w:hint="eastAsia" w:asciiTheme="minorEastAsia" w:hAnsiTheme="minorEastAsia" w:eastAsiaTheme="minorEastAsia"/>
                <w:color w:val="auto"/>
                <w:kern w:val="0"/>
                <w:szCs w:val="21"/>
                <w:highlight w:val="none"/>
              </w:rPr>
              <w:t>②</w:t>
            </w:r>
            <w:r>
              <w:rPr>
                <w:rFonts w:asciiTheme="minorEastAsia" w:hAnsiTheme="minorEastAsia" w:eastAsiaTheme="minorEastAsia"/>
                <w:color w:val="auto"/>
                <w:kern w:val="0"/>
                <w:szCs w:val="21"/>
                <w:highlight w:val="none"/>
              </w:rPr>
              <w:fldChar w:fldCharType="end"/>
            </w:r>
            <w:r>
              <w:rPr>
                <w:rFonts w:hint="eastAsia" w:asciiTheme="minorEastAsia" w:hAnsiTheme="minorEastAsia" w:eastAsiaTheme="minorEastAsia"/>
                <w:color w:val="auto"/>
                <w:kern w:val="0"/>
                <w:szCs w:val="21"/>
                <w:highlight w:val="none"/>
              </w:rPr>
              <w:t>法定代表人授权委托书（原件）</w:t>
            </w:r>
          </w:p>
          <w:p>
            <w:pPr>
              <w:adjustRightInd w:val="0"/>
              <w:snapToGrid w:val="0"/>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fldChar w:fldCharType="begin"/>
            </w:r>
            <w:r>
              <w:rPr>
                <w:rFonts w:asciiTheme="minorEastAsia" w:hAnsiTheme="minorEastAsia" w:eastAsiaTheme="minorEastAsia"/>
                <w:color w:val="auto"/>
                <w:kern w:val="0"/>
                <w:szCs w:val="21"/>
                <w:highlight w:val="none"/>
              </w:rPr>
              <w:instrText xml:space="preserve"> </w:instrText>
            </w:r>
            <w:r>
              <w:rPr>
                <w:rFonts w:hint="eastAsia" w:asciiTheme="minorEastAsia" w:hAnsiTheme="minorEastAsia" w:eastAsiaTheme="minorEastAsia"/>
                <w:color w:val="auto"/>
                <w:kern w:val="0"/>
                <w:szCs w:val="21"/>
                <w:highlight w:val="none"/>
              </w:rPr>
              <w:instrText xml:space="preserve">= 3 \* GB3</w:instrText>
            </w:r>
            <w:r>
              <w:rPr>
                <w:rFonts w:asciiTheme="minorEastAsia" w:hAnsiTheme="minorEastAsia" w:eastAsiaTheme="minorEastAsia"/>
                <w:color w:val="auto"/>
                <w:kern w:val="0"/>
                <w:szCs w:val="21"/>
                <w:highlight w:val="none"/>
              </w:rPr>
              <w:instrText xml:space="preserve"> </w:instrText>
            </w:r>
            <w:r>
              <w:rPr>
                <w:rFonts w:asciiTheme="minorEastAsia" w:hAnsiTheme="minorEastAsia" w:eastAsiaTheme="minorEastAsia"/>
                <w:color w:val="auto"/>
                <w:kern w:val="0"/>
                <w:szCs w:val="21"/>
                <w:highlight w:val="none"/>
              </w:rPr>
              <w:fldChar w:fldCharType="separate"/>
            </w:r>
            <w:r>
              <w:rPr>
                <w:rFonts w:hint="eastAsia" w:asciiTheme="minorEastAsia" w:hAnsiTheme="minorEastAsia" w:eastAsiaTheme="minorEastAsia"/>
                <w:color w:val="auto"/>
                <w:kern w:val="0"/>
                <w:szCs w:val="21"/>
                <w:highlight w:val="none"/>
              </w:rPr>
              <w:t>③</w:t>
            </w:r>
            <w:r>
              <w:rPr>
                <w:rFonts w:asciiTheme="minorEastAsia" w:hAnsiTheme="minorEastAsia" w:eastAsiaTheme="minorEastAsia"/>
                <w:color w:val="auto"/>
                <w:kern w:val="0"/>
                <w:szCs w:val="21"/>
                <w:highlight w:val="none"/>
              </w:rPr>
              <w:fldChar w:fldCharType="end"/>
            </w:r>
            <w:r>
              <w:rPr>
                <w:rFonts w:hint="eastAsia" w:asciiTheme="minorEastAsia" w:hAnsiTheme="minorEastAsia" w:eastAsiaTheme="minorEastAsia"/>
                <w:color w:val="auto"/>
                <w:kern w:val="0"/>
                <w:szCs w:val="21"/>
                <w:highlight w:val="none"/>
              </w:rPr>
              <w:t>委托代理人身份证（原件）</w:t>
            </w:r>
          </w:p>
        </w:tc>
      </w:tr>
    </w:tbl>
    <w:p>
      <w:pPr>
        <w:widowControl/>
        <w:jc w:val="left"/>
        <w:rPr>
          <w:rFonts w:asciiTheme="minorEastAsia" w:hAnsiTheme="minorEastAsia" w:eastAsiaTheme="minorEastAsia"/>
          <w:b/>
          <w:bCs/>
          <w:color w:val="auto"/>
          <w:sz w:val="24"/>
          <w:highlight w:val="none"/>
        </w:rPr>
      </w:pPr>
      <w:bookmarkStart w:id="53" w:name="_Toc86124040"/>
    </w:p>
    <w:p>
      <w:pPr>
        <w:widowControl/>
        <w:jc w:val="left"/>
        <w:rPr>
          <w:rFonts w:asciiTheme="minorEastAsia" w:hAnsiTheme="minorEastAsia" w:eastAsiaTheme="minorEastAsia"/>
          <w:b/>
          <w:bCs/>
          <w:color w:val="auto"/>
          <w:sz w:val="24"/>
          <w:highlight w:val="none"/>
        </w:rPr>
      </w:pPr>
      <w:r>
        <w:rPr>
          <w:rFonts w:asciiTheme="minorEastAsia" w:hAnsiTheme="minorEastAsia" w:eastAsiaTheme="minorEastAsia"/>
          <w:b/>
          <w:bCs/>
          <w:color w:val="auto"/>
          <w:sz w:val="24"/>
          <w:highlight w:val="none"/>
        </w:rPr>
        <w:br w:type="page"/>
      </w:r>
    </w:p>
    <w:p>
      <w:pPr>
        <w:keepNext/>
        <w:keepLines/>
        <w:spacing w:after="120"/>
        <w:jc w:val="center"/>
        <w:outlineLvl w:val="1"/>
        <w:rPr>
          <w:rFonts w:asciiTheme="minorEastAsia" w:hAnsiTheme="minorEastAsia" w:eastAsiaTheme="minorEastAsia"/>
          <w:b/>
          <w:bCs/>
          <w:color w:val="auto"/>
          <w:sz w:val="28"/>
          <w:szCs w:val="28"/>
          <w:highlight w:val="none"/>
        </w:rPr>
      </w:pPr>
      <w:bookmarkStart w:id="54" w:name="_Toc21347"/>
      <w:bookmarkStart w:id="55" w:name="_Toc130564881"/>
      <w:bookmarkStart w:id="56" w:name="_Toc139987910"/>
      <w:r>
        <w:rPr>
          <w:rFonts w:asciiTheme="minorEastAsia" w:hAnsiTheme="minorEastAsia" w:eastAsiaTheme="minorEastAsia"/>
          <w:b/>
          <w:bCs/>
          <w:color w:val="auto"/>
          <w:sz w:val="28"/>
          <w:szCs w:val="28"/>
          <w:highlight w:val="none"/>
        </w:rPr>
        <w:t>一、总则</w:t>
      </w:r>
      <w:bookmarkEnd w:id="53"/>
      <w:bookmarkEnd w:id="54"/>
      <w:bookmarkEnd w:id="55"/>
      <w:bookmarkEnd w:id="56"/>
    </w:p>
    <w:p>
      <w:pPr>
        <w:keepNext/>
        <w:keepLines/>
        <w:spacing w:before="120" w:after="120" w:line="360" w:lineRule="exact"/>
        <w:ind w:firstLine="480" w:firstLineChars="200"/>
        <w:outlineLvl w:val="2"/>
        <w:rPr>
          <w:rFonts w:asciiTheme="minorEastAsia" w:hAnsiTheme="minorEastAsia" w:eastAsiaTheme="minorEastAsia"/>
          <w:b/>
          <w:bCs/>
          <w:color w:val="auto"/>
          <w:sz w:val="24"/>
          <w:highlight w:val="none"/>
        </w:rPr>
      </w:pPr>
      <w:bookmarkStart w:id="57" w:name="_Toc130564315"/>
      <w:bookmarkStart w:id="58" w:name="_Toc519163184"/>
      <w:bookmarkStart w:id="59" w:name="_Toc130564882"/>
      <w:bookmarkStart w:id="60" w:name="_Toc490599205"/>
      <w:bookmarkStart w:id="61" w:name="_Toc385344438"/>
      <w:bookmarkStart w:id="62" w:name="_Toc107864002"/>
      <w:bookmarkStart w:id="63" w:name="_Toc30422"/>
      <w:bookmarkStart w:id="64" w:name="_Toc329810186"/>
      <w:bookmarkStart w:id="65" w:name="_Toc130562739"/>
      <w:bookmarkStart w:id="66" w:name="_Toc139987911"/>
      <w:r>
        <w:rPr>
          <w:rFonts w:hint="eastAsia" w:asciiTheme="minorEastAsia" w:hAnsiTheme="minorEastAsia" w:eastAsiaTheme="minorEastAsia"/>
          <w:b/>
          <w:bCs/>
          <w:color w:val="auto"/>
          <w:sz w:val="24"/>
          <w:highlight w:val="none"/>
        </w:rPr>
        <w:t>1.</w:t>
      </w:r>
      <w:r>
        <w:rPr>
          <w:rFonts w:asciiTheme="minorEastAsia" w:hAnsiTheme="minorEastAsia" w:eastAsiaTheme="minorEastAsia"/>
          <w:b/>
          <w:bCs/>
          <w:color w:val="auto"/>
          <w:sz w:val="24"/>
          <w:highlight w:val="none"/>
        </w:rPr>
        <w:t>项目概况</w:t>
      </w:r>
      <w:bookmarkEnd w:id="57"/>
      <w:bookmarkEnd w:id="58"/>
      <w:bookmarkEnd w:id="59"/>
      <w:bookmarkEnd w:id="60"/>
      <w:bookmarkEnd w:id="61"/>
      <w:bookmarkEnd w:id="62"/>
      <w:bookmarkEnd w:id="63"/>
      <w:bookmarkEnd w:id="64"/>
      <w:bookmarkEnd w:id="65"/>
      <w:bookmarkEnd w:id="66"/>
    </w:p>
    <w:p>
      <w:pPr>
        <w:spacing w:line="400" w:lineRule="exact"/>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1.1 </w:t>
      </w:r>
      <w:r>
        <w:rPr>
          <w:rFonts w:hint="eastAsia" w:asciiTheme="minorEastAsia" w:hAnsiTheme="minorEastAsia" w:eastAsiaTheme="minorEastAsia"/>
          <w:color w:val="auto"/>
          <w:szCs w:val="21"/>
          <w:highlight w:val="none"/>
        </w:rPr>
        <w:t>参照</w:t>
      </w:r>
      <w:r>
        <w:rPr>
          <w:rFonts w:asciiTheme="minorEastAsia" w:hAnsiTheme="minorEastAsia" w:eastAsiaTheme="minorEastAsia"/>
          <w:color w:val="auto"/>
          <w:szCs w:val="21"/>
          <w:highlight w:val="none"/>
        </w:rPr>
        <w:t>《中华人民共和国招标投标法》等有关法律、法规和规章的规定，本项目已</w:t>
      </w:r>
      <w:r>
        <w:rPr>
          <w:rFonts w:hint="eastAsia" w:asciiTheme="minorEastAsia" w:hAnsiTheme="minorEastAsia" w:eastAsiaTheme="minorEastAsia"/>
          <w:color w:val="auto"/>
          <w:szCs w:val="21"/>
          <w:highlight w:val="none"/>
        </w:rPr>
        <w:t>获主管部门批准</w:t>
      </w:r>
      <w:r>
        <w:rPr>
          <w:rFonts w:asciiTheme="minorEastAsia" w:hAnsiTheme="minorEastAsia" w:eastAsiaTheme="minorEastAsia"/>
          <w:color w:val="auto"/>
          <w:szCs w:val="21"/>
          <w:highlight w:val="none"/>
        </w:rPr>
        <w:t>，现对本次</w:t>
      </w:r>
      <w:r>
        <w:rPr>
          <w:rFonts w:hint="eastAsia" w:asciiTheme="minorEastAsia" w:hAnsiTheme="minorEastAsia" w:eastAsiaTheme="minorEastAsia"/>
          <w:color w:val="auto"/>
          <w:szCs w:val="21"/>
          <w:highlight w:val="none"/>
        </w:rPr>
        <w:t>项目</w:t>
      </w:r>
      <w:r>
        <w:rPr>
          <w:rFonts w:asciiTheme="minorEastAsia" w:hAnsiTheme="minorEastAsia" w:eastAsiaTheme="minorEastAsia"/>
          <w:color w:val="auto"/>
          <w:szCs w:val="21"/>
          <w:highlight w:val="none"/>
        </w:rPr>
        <w:t>进行竞争性谈判采购。</w:t>
      </w:r>
    </w:p>
    <w:p>
      <w:pPr>
        <w:spacing w:line="400" w:lineRule="exact"/>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1.2 本项目招标人、项目名称及项目编号：</w:t>
      </w:r>
      <w:r>
        <w:rPr>
          <w:rFonts w:hint="eastAsia" w:asciiTheme="minorEastAsia" w:hAnsiTheme="minorEastAsia" w:eastAsiaTheme="minorEastAsia"/>
          <w:color w:val="auto"/>
          <w:szCs w:val="21"/>
          <w:highlight w:val="none"/>
          <w:lang w:val="en-US" w:eastAsia="zh-CN"/>
        </w:rPr>
        <w:t>GJYNT-GC-202501</w:t>
      </w:r>
      <w:r>
        <w:rPr>
          <w:rFonts w:hint="eastAsia" w:asciiTheme="minorEastAsia" w:hAnsiTheme="minorEastAsia" w:eastAsiaTheme="minorEastAsia"/>
          <w:color w:val="auto"/>
          <w:szCs w:val="21"/>
          <w:highlight w:val="none"/>
          <w:lang w:val="en-US" w:eastAsia="zh-CN"/>
        </w:rPr>
        <w:t>，</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keepNext/>
        <w:keepLines/>
        <w:spacing w:before="120" w:after="120" w:line="360" w:lineRule="exact"/>
        <w:ind w:firstLine="480" w:firstLineChars="200"/>
        <w:outlineLvl w:val="2"/>
        <w:rPr>
          <w:rFonts w:asciiTheme="minorEastAsia" w:hAnsiTheme="minorEastAsia" w:eastAsiaTheme="minorEastAsia"/>
          <w:b/>
          <w:bCs/>
          <w:color w:val="auto"/>
          <w:sz w:val="24"/>
          <w:highlight w:val="none"/>
        </w:rPr>
      </w:pPr>
      <w:bookmarkStart w:id="67" w:name="_Toc130564316"/>
      <w:bookmarkStart w:id="68" w:name="_Toc139987912"/>
      <w:bookmarkStart w:id="69" w:name="_Toc15674"/>
      <w:bookmarkStart w:id="70" w:name="_Toc265142411"/>
      <w:bookmarkStart w:id="71" w:name="_Toc490599206"/>
      <w:bookmarkStart w:id="72" w:name="_Toc130564883"/>
      <w:bookmarkStart w:id="73" w:name="_Toc385344439"/>
      <w:bookmarkStart w:id="74" w:name="_Toc107864003"/>
      <w:bookmarkStart w:id="75" w:name="_Toc130562740"/>
      <w:bookmarkStart w:id="76" w:name="_Toc329810187"/>
      <w:bookmarkStart w:id="77" w:name="_Toc519163185"/>
      <w:r>
        <w:rPr>
          <w:rFonts w:hint="eastAsia" w:asciiTheme="minorEastAsia" w:hAnsiTheme="minorEastAsia" w:eastAsiaTheme="minorEastAsia"/>
          <w:b/>
          <w:bCs/>
          <w:color w:val="auto"/>
          <w:sz w:val="24"/>
          <w:highlight w:val="none"/>
        </w:rPr>
        <w:t>2.</w:t>
      </w:r>
      <w:r>
        <w:rPr>
          <w:rFonts w:asciiTheme="minorEastAsia" w:hAnsiTheme="minorEastAsia" w:eastAsiaTheme="minorEastAsia"/>
          <w:b/>
          <w:bCs/>
          <w:color w:val="auto"/>
          <w:sz w:val="24"/>
          <w:highlight w:val="none"/>
        </w:rPr>
        <w:t>资金来源</w:t>
      </w:r>
      <w:bookmarkEnd w:id="67"/>
      <w:bookmarkEnd w:id="68"/>
      <w:bookmarkEnd w:id="69"/>
      <w:bookmarkEnd w:id="70"/>
      <w:bookmarkEnd w:id="71"/>
      <w:bookmarkEnd w:id="72"/>
      <w:bookmarkEnd w:id="73"/>
      <w:bookmarkEnd w:id="74"/>
      <w:bookmarkEnd w:id="75"/>
      <w:bookmarkEnd w:id="76"/>
      <w:bookmarkEnd w:id="77"/>
    </w:p>
    <w:p>
      <w:pPr>
        <w:spacing w:line="400" w:lineRule="exact"/>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2.1</w:t>
      </w:r>
      <w:r>
        <w:rPr>
          <w:rFonts w:hint="eastAsia" w:asciiTheme="minorEastAsia" w:hAnsiTheme="minorEastAsia" w:eastAsiaTheme="minorEastAsia"/>
          <w:color w:val="auto"/>
          <w:szCs w:val="21"/>
          <w:highlight w:val="none"/>
        </w:rPr>
        <w:t>企业自筹</w:t>
      </w:r>
      <w:r>
        <w:rPr>
          <w:rFonts w:asciiTheme="minorEastAsia" w:hAnsiTheme="minorEastAsia" w:eastAsiaTheme="minorEastAsia"/>
          <w:color w:val="auto"/>
          <w:szCs w:val="21"/>
          <w:highlight w:val="none"/>
        </w:rPr>
        <w:t>，用于采购“</w:t>
      </w:r>
      <w:r>
        <w:rPr>
          <w:rFonts w:hint="eastAsia" w:asciiTheme="minorEastAsia" w:hAnsiTheme="minorEastAsia" w:eastAsiaTheme="minorEastAsia"/>
          <w:b/>
          <w:bCs/>
          <w:color w:val="auto"/>
          <w:szCs w:val="21"/>
          <w:highlight w:val="none"/>
        </w:rPr>
        <w:t>第五章</w:t>
      </w:r>
      <w:r>
        <w:rPr>
          <w:rFonts w:asciiTheme="minorEastAsia" w:hAnsiTheme="minorEastAsia" w:eastAsiaTheme="minorEastAsia"/>
          <w:color w:val="auto"/>
          <w:szCs w:val="21"/>
          <w:highlight w:val="none"/>
        </w:rPr>
        <w:t>”所列</w:t>
      </w:r>
      <w:r>
        <w:rPr>
          <w:rFonts w:hint="eastAsia" w:asciiTheme="minorEastAsia" w:hAnsiTheme="minorEastAsia" w:eastAsiaTheme="minorEastAsia"/>
          <w:color w:val="auto"/>
          <w:szCs w:val="21"/>
          <w:highlight w:val="none"/>
        </w:rPr>
        <w:t>需求</w:t>
      </w:r>
      <w:r>
        <w:rPr>
          <w:rFonts w:asciiTheme="minorEastAsia" w:hAnsiTheme="minorEastAsia" w:eastAsiaTheme="minorEastAsia"/>
          <w:color w:val="auto"/>
          <w:szCs w:val="21"/>
          <w:highlight w:val="none"/>
        </w:rPr>
        <w:t>。</w:t>
      </w:r>
    </w:p>
    <w:p>
      <w:pPr>
        <w:keepNext/>
        <w:keepLines/>
        <w:spacing w:before="120" w:after="120" w:line="360" w:lineRule="exact"/>
        <w:ind w:firstLine="480" w:firstLineChars="200"/>
        <w:outlineLvl w:val="2"/>
        <w:rPr>
          <w:rFonts w:asciiTheme="minorEastAsia" w:hAnsiTheme="minorEastAsia" w:eastAsiaTheme="minorEastAsia"/>
          <w:b/>
          <w:bCs/>
          <w:color w:val="auto"/>
          <w:sz w:val="24"/>
          <w:highlight w:val="none"/>
        </w:rPr>
      </w:pPr>
      <w:bookmarkStart w:id="78" w:name="_Toc130564884"/>
      <w:bookmarkStart w:id="79" w:name="_Toc329810188"/>
      <w:bookmarkStart w:id="80" w:name="_Toc107864004"/>
      <w:bookmarkStart w:id="81" w:name="_Toc519163186"/>
      <w:bookmarkStart w:id="82" w:name="_Toc139987913"/>
      <w:bookmarkStart w:id="83" w:name="_Toc11077"/>
      <w:bookmarkStart w:id="84" w:name="_Toc385344440"/>
      <w:bookmarkStart w:id="85" w:name="_Toc130564317"/>
      <w:bookmarkStart w:id="86" w:name="_Toc265142412"/>
      <w:bookmarkStart w:id="87" w:name="_Toc490599207"/>
      <w:bookmarkStart w:id="88" w:name="_Toc130562741"/>
      <w:r>
        <w:rPr>
          <w:rFonts w:hint="eastAsia" w:asciiTheme="minorEastAsia" w:hAnsiTheme="minorEastAsia" w:eastAsiaTheme="minorEastAsia"/>
          <w:b/>
          <w:bCs/>
          <w:color w:val="auto"/>
          <w:sz w:val="24"/>
          <w:highlight w:val="none"/>
        </w:rPr>
        <w:t>3.招标</w:t>
      </w:r>
      <w:r>
        <w:rPr>
          <w:rFonts w:asciiTheme="minorEastAsia" w:hAnsiTheme="minorEastAsia" w:eastAsiaTheme="minorEastAsia"/>
          <w:b/>
          <w:bCs/>
          <w:color w:val="auto"/>
          <w:sz w:val="24"/>
          <w:highlight w:val="none"/>
        </w:rPr>
        <w:t>范围</w:t>
      </w:r>
      <w:bookmarkEnd w:id="78"/>
      <w:bookmarkEnd w:id="79"/>
      <w:bookmarkEnd w:id="80"/>
      <w:bookmarkEnd w:id="81"/>
      <w:bookmarkEnd w:id="82"/>
      <w:bookmarkEnd w:id="83"/>
      <w:bookmarkEnd w:id="84"/>
      <w:bookmarkEnd w:id="85"/>
      <w:bookmarkEnd w:id="86"/>
      <w:bookmarkEnd w:id="87"/>
      <w:bookmarkEnd w:id="88"/>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3.1 本项目</w:t>
      </w:r>
      <w:r>
        <w:rPr>
          <w:rFonts w:hint="eastAsia" w:asciiTheme="minorEastAsia" w:hAnsiTheme="minorEastAsia" w:eastAsiaTheme="minorEastAsia"/>
          <w:color w:val="auto"/>
          <w:szCs w:val="21"/>
          <w:highlight w:val="none"/>
        </w:rPr>
        <w:t>招标范围</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spacing w:line="360" w:lineRule="auto"/>
        <w:ind w:firstLine="420"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w:t>
      </w: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本项目服务期限：</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3.3本项目</w:t>
      </w:r>
      <w:r>
        <w:rPr>
          <w:rFonts w:hint="eastAsia" w:asciiTheme="minorEastAsia" w:hAnsiTheme="minorEastAsia" w:eastAsiaTheme="minorEastAsia"/>
          <w:color w:val="auto"/>
          <w:szCs w:val="21"/>
          <w:highlight w:val="none"/>
        </w:rPr>
        <w:t>项目实施地点</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spacing w:line="360" w:lineRule="auto"/>
        <w:ind w:firstLine="420" w:firstLineChars="200"/>
        <w:jc w:val="left"/>
        <w:rPr>
          <w:rFonts w:asciiTheme="minorEastAsia" w:hAnsiTheme="minorEastAsia" w:eastAsiaTheme="minorEastAsia"/>
          <w:color w:val="auto"/>
          <w:szCs w:val="21"/>
          <w:highlight w:val="none"/>
        </w:rPr>
      </w:pPr>
      <w:r>
        <w:rPr>
          <w:rFonts w:hint="eastAsia" w:cs="Times New Roman" w:asciiTheme="minorEastAsia" w:hAnsiTheme="minorEastAsia" w:eastAsiaTheme="minorEastAsia"/>
          <w:color w:val="auto"/>
          <w:szCs w:val="21"/>
          <w:highlight w:val="none"/>
        </w:rPr>
        <w:t>3</w:t>
      </w:r>
      <w:r>
        <w:rPr>
          <w:rFonts w:cs="Times New Roman" w:asciiTheme="minorEastAsia" w:hAnsiTheme="minorEastAsia" w:eastAsiaTheme="minorEastAsia"/>
          <w:color w:val="auto"/>
          <w:szCs w:val="21"/>
          <w:highlight w:val="none"/>
        </w:rPr>
        <w:t>.4</w:t>
      </w:r>
      <w:r>
        <w:rPr>
          <w:rFonts w:hint="eastAsia" w:cs="Times New Roman" w:asciiTheme="minorEastAsia" w:hAnsiTheme="minorEastAsia" w:eastAsiaTheme="minorEastAsia"/>
          <w:color w:val="auto"/>
          <w:szCs w:val="21"/>
          <w:highlight w:val="none"/>
        </w:rPr>
        <w:t>质量标</w:t>
      </w:r>
      <w:r>
        <w:rPr>
          <w:rFonts w:hint="eastAsia" w:asciiTheme="minorEastAsia" w:hAnsiTheme="minorEastAsia" w:eastAsiaTheme="minorEastAsia"/>
          <w:color w:val="auto"/>
          <w:szCs w:val="21"/>
          <w:highlight w:val="none"/>
        </w:rPr>
        <w:t>准及要求</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pStyle w:val="37"/>
        <w:ind w:firstLine="420" w:firstLineChars="200"/>
        <w:rPr>
          <w:rFonts w:asciiTheme="minorEastAsia" w:hAnsiTheme="minorEastAsia" w:eastAsiaTheme="minorEastAsia"/>
          <w:color w:val="auto"/>
          <w:highlight w:val="none"/>
        </w:rPr>
      </w:pPr>
      <w:r>
        <w:rPr>
          <w:rFonts w:hint="eastAsia" w:cs="Times New Roman" w:asciiTheme="minorEastAsia" w:hAnsiTheme="minorEastAsia" w:eastAsiaTheme="minorEastAsia"/>
          <w:color w:val="auto"/>
          <w:kern w:val="2"/>
          <w:sz w:val="21"/>
          <w:szCs w:val="21"/>
          <w:highlight w:val="none"/>
          <w:lang w:val="en-US" w:eastAsia="zh-CN" w:bidi="ar-SA"/>
        </w:rPr>
        <w:t>3.5 本项目资金</w:t>
      </w:r>
      <w:r>
        <w:rPr>
          <w:rFonts w:hint="eastAsia" w:asciiTheme="minorEastAsia" w:hAnsiTheme="minorEastAsia" w:eastAsiaTheme="minorEastAsia"/>
          <w:color w:val="auto"/>
          <w:szCs w:val="21"/>
          <w:highlight w:val="none"/>
        </w:rPr>
        <w:t>来源：</w:t>
      </w:r>
      <w:r>
        <w:rPr>
          <w:rFonts w:asciiTheme="minorEastAsia" w:hAnsiTheme="minorEastAsia" w:eastAsiaTheme="minorEastAsia"/>
          <w:color w:val="auto"/>
          <w:szCs w:val="21"/>
          <w:highlight w:val="none"/>
        </w:rPr>
        <w:t>见“</w:t>
      </w:r>
      <w:r>
        <w:rPr>
          <w:rFonts w:asciiTheme="minorEastAsia" w:hAnsiTheme="minorEastAsia" w:eastAsiaTheme="minorEastAsia"/>
          <w:b/>
          <w:bCs/>
          <w:color w:val="auto"/>
          <w:szCs w:val="21"/>
          <w:highlight w:val="none"/>
        </w:rPr>
        <w:t>谈判申请人须知前附表</w:t>
      </w:r>
      <w:r>
        <w:rPr>
          <w:rFonts w:asciiTheme="minorEastAsia" w:hAnsiTheme="minorEastAsia" w:eastAsiaTheme="minorEastAsia"/>
          <w:color w:val="auto"/>
          <w:szCs w:val="21"/>
          <w:highlight w:val="none"/>
        </w:rPr>
        <w:t>”。</w:t>
      </w:r>
    </w:p>
    <w:p>
      <w:pPr>
        <w:keepNext/>
        <w:keepLines/>
        <w:spacing w:line="360" w:lineRule="exact"/>
        <w:ind w:firstLine="480" w:firstLineChars="200"/>
        <w:outlineLvl w:val="2"/>
        <w:rPr>
          <w:rFonts w:asciiTheme="minorEastAsia" w:hAnsiTheme="minorEastAsia" w:eastAsiaTheme="minorEastAsia"/>
          <w:b/>
          <w:bCs/>
          <w:color w:val="auto"/>
          <w:sz w:val="24"/>
          <w:highlight w:val="none"/>
        </w:rPr>
      </w:pPr>
      <w:bookmarkStart w:id="89" w:name="_Toc519163187"/>
      <w:bookmarkStart w:id="90" w:name="_Toc130564318"/>
      <w:bookmarkStart w:id="91" w:name="_Toc139987914"/>
      <w:bookmarkStart w:id="92" w:name="_Toc329810189"/>
      <w:bookmarkStart w:id="93" w:name="_Toc130564885"/>
      <w:bookmarkStart w:id="94" w:name="_Toc130562742"/>
      <w:bookmarkStart w:id="95" w:name="_Toc385344441"/>
      <w:bookmarkStart w:id="96" w:name="_Toc25395"/>
      <w:bookmarkStart w:id="97" w:name="_Toc490599208"/>
      <w:bookmarkStart w:id="98" w:name="_Toc107864005"/>
      <w:r>
        <w:rPr>
          <w:rFonts w:hint="eastAsia" w:asciiTheme="minorEastAsia" w:hAnsiTheme="minorEastAsia" w:eastAsiaTheme="minorEastAsia"/>
          <w:b/>
          <w:bCs/>
          <w:color w:val="auto"/>
          <w:sz w:val="24"/>
          <w:highlight w:val="none"/>
        </w:rPr>
        <w:t>4.</w:t>
      </w:r>
      <w:r>
        <w:rPr>
          <w:rFonts w:asciiTheme="minorEastAsia" w:hAnsiTheme="minorEastAsia" w:eastAsiaTheme="minorEastAsia"/>
          <w:b/>
          <w:bCs/>
          <w:color w:val="auto"/>
          <w:sz w:val="24"/>
          <w:highlight w:val="none"/>
        </w:rPr>
        <w:t>合格的谈判申请人（以下简称谈判申请人）</w:t>
      </w:r>
      <w:bookmarkEnd w:id="89"/>
      <w:bookmarkEnd w:id="90"/>
      <w:bookmarkEnd w:id="91"/>
      <w:bookmarkEnd w:id="92"/>
      <w:bookmarkEnd w:id="93"/>
      <w:bookmarkEnd w:id="94"/>
      <w:bookmarkEnd w:id="95"/>
      <w:bookmarkEnd w:id="96"/>
      <w:bookmarkEnd w:id="97"/>
      <w:bookmarkEnd w:id="98"/>
    </w:p>
    <w:p>
      <w:pPr>
        <w:spacing w:line="440" w:lineRule="exact"/>
        <w:ind w:firstLine="472" w:firstLineChars="225"/>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“详见第一章 竞争性谈判公告”</w:t>
      </w:r>
    </w:p>
    <w:p>
      <w:pPr>
        <w:keepNext/>
        <w:keepLines/>
        <w:spacing w:line="360" w:lineRule="exact"/>
        <w:ind w:firstLine="480" w:firstLineChars="200"/>
        <w:outlineLvl w:val="2"/>
        <w:rPr>
          <w:rFonts w:asciiTheme="minorEastAsia" w:hAnsiTheme="minorEastAsia" w:eastAsiaTheme="minorEastAsia"/>
          <w:b/>
          <w:bCs/>
          <w:color w:val="auto"/>
          <w:sz w:val="24"/>
          <w:highlight w:val="none"/>
        </w:rPr>
      </w:pPr>
      <w:bookmarkStart w:id="99" w:name="_Hlt200176664"/>
      <w:bookmarkEnd w:id="99"/>
      <w:bookmarkStart w:id="100" w:name="_Toc130562743"/>
      <w:bookmarkStart w:id="101" w:name="_Toc139987915"/>
      <w:bookmarkStart w:id="102" w:name="_Toc519163188"/>
      <w:bookmarkStart w:id="103" w:name="_Toc329810190"/>
      <w:bookmarkStart w:id="104" w:name="_Toc130564886"/>
      <w:bookmarkStart w:id="105" w:name="_Toc385344442"/>
      <w:bookmarkStart w:id="106" w:name="_Toc107864006"/>
      <w:bookmarkStart w:id="107" w:name="_Toc9259"/>
      <w:bookmarkStart w:id="108" w:name="_Toc490599209"/>
      <w:bookmarkStart w:id="109" w:name="_Toc130564319"/>
      <w:r>
        <w:rPr>
          <w:rFonts w:hint="eastAsia" w:asciiTheme="minorEastAsia" w:hAnsiTheme="minorEastAsia" w:eastAsiaTheme="minorEastAsia"/>
          <w:b/>
          <w:bCs/>
          <w:color w:val="auto"/>
          <w:sz w:val="24"/>
          <w:highlight w:val="none"/>
        </w:rPr>
        <w:t>5.</w:t>
      </w:r>
      <w:r>
        <w:rPr>
          <w:rFonts w:asciiTheme="minorEastAsia" w:hAnsiTheme="minorEastAsia" w:eastAsiaTheme="minorEastAsia"/>
          <w:b/>
          <w:bCs/>
          <w:color w:val="auto"/>
          <w:sz w:val="24"/>
          <w:highlight w:val="none"/>
        </w:rPr>
        <w:t>谈判费用</w:t>
      </w:r>
      <w:bookmarkEnd w:id="100"/>
      <w:bookmarkEnd w:id="101"/>
      <w:bookmarkEnd w:id="102"/>
      <w:bookmarkEnd w:id="103"/>
      <w:bookmarkEnd w:id="104"/>
      <w:bookmarkEnd w:id="105"/>
      <w:bookmarkEnd w:id="106"/>
      <w:bookmarkEnd w:id="107"/>
      <w:bookmarkEnd w:id="108"/>
      <w:bookmarkEnd w:id="109"/>
    </w:p>
    <w:p>
      <w:pPr>
        <w:spacing w:line="360" w:lineRule="exact"/>
        <w:ind w:firstLine="42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无论是否成交，谈判申请人自行承担所有与参加谈判有关的全部费用。</w:t>
      </w:r>
    </w:p>
    <w:p>
      <w:pPr>
        <w:spacing w:line="360" w:lineRule="exact"/>
        <w:ind w:firstLine="420" w:firstLineChars="200"/>
        <w:rPr>
          <w:rFonts w:asciiTheme="minorEastAsia" w:hAnsiTheme="minorEastAsia" w:eastAsiaTheme="minorEastAsia"/>
          <w:color w:val="auto"/>
          <w:highlight w:val="none"/>
        </w:rPr>
      </w:pPr>
    </w:p>
    <w:p>
      <w:pPr>
        <w:keepNext/>
        <w:keepLines/>
        <w:spacing w:after="120"/>
        <w:jc w:val="center"/>
        <w:outlineLvl w:val="1"/>
        <w:rPr>
          <w:rFonts w:asciiTheme="minorEastAsia" w:hAnsiTheme="minorEastAsia" w:eastAsiaTheme="minorEastAsia"/>
          <w:b/>
          <w:bCs/>
          <w:color w:val="auto"/>
          <w:sz w:val="28"/>
          <w:szCs w:val="28"/>
          <w:highlight w:val="none"/>
        </w:rPr>
      </w:pPr>
      <w:bookmarkStart w:id="110" w:name="_Toc130564887"/>
      <w:bookmarkStart w:id="111" w:name="_Toc490599210"/>
      <w:bookmarkStart w:id="112" w:name="_Toc6698"/>
      <w:bookmarkStart w:id="113" w:name="_Toc519163189"/>
      <w:bookmarkStart w:id="114" w:name="_Toc86124047"/>
      <w:bookmarkStart w:id="115" w:name="_Toc139987916"/>
      <w:r>
        <w:rPr>
          <w:rFonts w:asciiTheme="minorEastAsia" w:hAnsiTheme="minorEastAsia" w:eastAsiaTheme="minorEastAsia"/>
          <w:b/>
          <w:bCs/>
          <w:color w:val="auto"/>
          <w:sz w:val="28"/>
          <w:szCs w:val="28"/>
          <w:highlight w:val="none"/>
        </w:rPr>
        <w:t>二、谈判文件</w:t>
      </w:r>
      <w:bookmarkEnd w:id="110"/>
      <w:bookmarkEnd w:id="111"/>
      <w:bookmarkEnd w:id="112"/>
      <w:bookmarkEnd w:id="113"/>
      <w:bookmarkEnd w:id="114"/>
      <w:bookmarkEnd w:id="115"/>
    </w:p>
    <w:p>
      <w:pPr>
        <w:keepNext/>
        <w:keepLines/>
        <w:spacing w:line="360" w:lineRule="exact"/>
        <w:ind w:firstLine="480" w:firstLineChars="200"/>
        <w:outlineLvl w:val="2"/>
        <w:rPr>
          <w:rFonts w:asciiTheme="minorEastAsia" w:hAnsiTheme="minorEastAsia" w:eastAsiaTheme="minorEastAsia"/>
          <w:b/>
          <w:bCs/>
          <w:color w:val="auto"/>
          <w:sz w:val="24"/>
          <w:highlight w:val="none"/>
        </w:rPr>
      </w:pPr>
      <w:bookmarkStart w:id="116" w:name="_Toc329810192"/>
      <w:bookmarkStart w:id="117" w:name="_Toc29672"/>
      <w:bookmarkStart w:id="118" w:name="_Toc107864008"/>
      <w:bookmarkStart w:id="119" w:name="_Toc139987917"/>
      <w:bookmarkStart w:id="120" w:name="_Toc130564321"/>
      <w:bookmarkStart w:id="121" w:name="_Toc519163190"/>
      <w:bookmarkStart w:id="122" w:name="_Toc490599211"/>
      <w:bookmarkStart w:id="123" w:name="_Toc130564888"/>
      <w:bookmarkStart w:id="124" w:name="_Toc130562745"/>
      <w:bookmarkStart w:id="125" w:name="_Toc385344444"/>
      <w:r>
        <w:rPr>
          <w:rFonts w:hint="eastAsia" w:asciiTheme="minorEastAsia" w:hAnsiTheme="minorEastAsia" w:eastAsiaTheme="minorEastAsia"/>
          <w:b/>
          <w:bCs/>
          <w:color w:val="auto"/>
          <w:sz w:val="24"/>
          <w:highlight w:val="none"/>
        </w:rPr>
        <w:t>6.</w:t>
      </w:r>
      <w:r>
        <w:rPr>
          <w:rFonts w:asciiTheme="minorEastAsia" w:hAnsiTheme="minorEastAsia" w:eastAsiaTheme="minorEastAsia"/>
          <w:b/>
          <w:bCs/>
          <w:color w:val="auto"/>
          <w:sz w:val="24"/>
          <w:highlight w:val="none"/>
        </w:rPr>
        <w:t>谈判文件的组成</w:t>
      </w:r>
      <w:bookmarkEnd w:id="116"/>
      <w:bookmarkEnd w:id="117"/>
      <w:bookmarkEnd w:id="118"/>
      <w:bookmarkEnd w:id="119"/>
      <w:bookmarkEnd w:id="120"/>
      <w:bookmarkEnd w:id="121"/>
      <w:bookmarkEnd w:id="122"/>
      <w:bookmarkEnd w:id="123"/>
      <w:bookmarkEnd w:id="124"/>
      <w:bookmarkEnd w:id="125"/>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要求提供的</w:t>
      </w:r>
      <w:r>
        <w:rPr>
          <w:rFonts w:hint="eastAsia" w:asciiTheme="minorEastAsia" w:hAnsiTheme="minorEastAsia" w:eastAsiaTheme="minorEastAsia"/>
          <w:color w:val="auto"/>
          <w:szCs w:val="21"/>
          <w:highlight w:val="none"/>
        </w:rPr>
        <w:t>服务</w:t>
      </w:r>
      <w:r>
        <w:rPr>
          <w:rFonts w:asciiTheme="minorEastAsia" w:hAnsiTheme="minorEastAsia" w:eastAsiaTheme="minorEastAsia"/>
          <w:color w:val="auto"/>
          <w:szCs w:val="21"/>
          <w:highlight w:val="none"/>
        </w:rPr>
        <w:t>、采购过程及合同条款在谈判文件中均有说明，谈判文件共六章，各章的内容如下：</w:t>
      </w:r>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第一章</w:t>
      </w:r>
      <w:r>
        <w:rPr>
          <w:rFonts w:hint="eastAsia" w:asciiTheme="minorEastAsia" w:hAnsiTheme="minorEastAsia" w:eastAsiaTheme="minorEastAsia"/>
          <w:color w:val="auto"/>
          <w:szCs w:val="21"/>
          <w:highlight w:val="none"/>
        </w:rPr>
        <w:t xml:space="preserve"> 竞争性谈判公告</w:t>
      </w:r>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第二章</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谈判申请人须知</w:t>
      </w:r>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第三章</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合同书样式及主要条款</w:t>
      </w:r>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第四章</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响应文件格式</w:t>
      </w:r>
    </w:p>
    <w:p>
      <w:pPr>
        <w:spacing w:line="360" w:lineRule="auto"/>
        <w:ind w:left="502"/>
        <w:jc w:val="left"/>
        <w:rPr>
          <w:rFonts w:hint="default" w:asciiTheme="minorEastAsia" w:hAnsiTheme="minorEastAsia" w:eastAsiaTheme="minorEastAsia"/>
          <w:color w:val="auto"/>
          <w:szCs w:val="21"/>
          <w:highlight w:val="none"/>
          <w:lang w:val="en-US" w:eastAsia="zh-CN"/>
        </w:rPr>
      </w:pPr>
      <w:r>
        <w:rPr>
          <w:rFonts w:asciiTheme="minorEastAsia" w:hAnsiTheme="minorEastAsia" w:eastAsiaTheme="minorEastAsia"/>
          <w:color w:val="auto"/>
          <w:szCs w:val="21"/>
          <w:highlight w:val="none"/>
        </w:rPr>
        <w:t>第五章</w:t>
      </w:r>
      <w:r>
        <w:rPr>
          <w:rFonts w:hint="eastAsia"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lang w:val="en-US" w:eastAsia="zh-CN"/>
        </w:rPr>
        <w:t>技术方案</w:t>
      </w:r>
    </w:p>
    <w:p>
      <w:pPr>
        <w:spacing w:line="360" w:lineRule="auto"/>
        <w:ind w:left="502"/>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第六章</w:t>
      </w:r>
      <w:r>
        <w:rPr>
          <w:rFonts w:hint="eastAsia" w:asciiTheme="minorEastAsia" w:hAnsiTheme="minorEastAsia" w:eastAsiaTheme="minorEastAsia"/>
          <w:color w:val="auto"/>
          <w:szCs w:val="21"/>
          <w:highlight w:val="none"/>
        </w:rPr>
        <w:t xml:space="preserve"> 谈判程序及</w:t>
      </w:r>
      <w:bookmarkStart w:id="126" w:name="_Toc86124049"/>
      <w:bookmarkStart w:id="127" w:name="_Toc385344445"/>
      <w:bookmarkStart w:id="128" w:name="_Toc329810193"/>
      <w:bookmarkStart w:id="129" w:name="_Toc490599212"/>
      <w:bookmarkStart w:id="130" w:name="_Toc519163191"/>
      <w:r>
        <w:rPr>
          <w:rFonts w:hint="eastAsia" w:asciiTheme="minorEastAsia" w:hAnsiTheme="minorEastAsia" w:eastAsiaTheme="minorEastAsia"/>
          <w:color w:val="auto"/>
          <w:szCs w:val="21"/>
          <w:highlight w:val="none"/>
        </w:rPr>
        <w:t>评审方法</w:t>
      </w:r>
    </w:p>
    <w:p>
      <w:pPr>
        <w:keepNext/>
        <w:keepLines/>
        <w:spacing w:line="360" w:lineRule="exact"/>
        <w:ind w:firstLine="480" w:firstLineChars="200"/>
        <w:outlineLvl w:val="2"/>
        <w:rPr>
          <w:rFonts w:hint="eastAsia" w:cs="Times New Roman" w:asciiTheme="minorEastAsia" w:hAnsiTheme="minorEastAsia" w:eastAsiaTheme="minorEastAsia"/>
          <w:b/>
          <w:bCs/>
          <w:color w:val="auto"/>
          <w:sz w:val="24"/>
          <w:highlight w:val="none"/>
        </w:rPr>
      </w:pPr>
      <w:r>
        <w:rPr>
          <w:rFonts w:hint="eastAsia" w:cs="Times New Roman" w:asciiTheme="minorEastAsia" w:hAnsiTheme="minorEastAsia" w:eastAsiaTheme="minorEastAsia"/>
          <w:b/>
          <w:bCs/>
          <w:color w:val="auto"/>
          <w:sz w:val="24"/>
          <w:highlight w:val="none"/>
        </w:rPr>
        <w:t>7.谈判文件的澄清</w:t>
      </w:r>
      <w:bookmarkEnd w:id="126"/>
      <w:r>
        <w:rPr>
          <w:rFonts w:hint="eastAsia" w:cs="Times New Roman" w:asciiTheme="minorEastAsia" w:hAnsiTheme="minorEastAsia" w:eastAsiaTheme="minorEastAsia"/>
          <w:b/>
          <w:bCs/>
          <w:color w:val="auto"/>
          <w:sz w:val="24"/>
          <w:highlight w:val="none"/>
        </w:rPr>
        <w:t>、修改</w:t>
      </w:r>
      <w:bookmarkEnd w:id="127"/>
      <w:bookmarkEnd w:id="128"/>
      <w:bookmarkEnd w:id="129"/>
      <w:bookmarkEnd w:id="130"/>
    </w:p>
    <w:p>
      <w:pPr>
        <w:spacing w:line="360" w:lineRule="auto"/>
        <w:ind w:firstLine="420" w:firstLineChars="200"/>
        <w:jc w:val="left"/>
        <w:rPr>
          <w:rFonts w:cs="Times New Roman" w:asciiTheme="minorEastAsia" w:hAnsiTheme="minorEastAsia" w:eastAsiaTheme="minorEastAsia"/>
          <w:color w:val="auto"/>
          <w:szCs w:val="21"/>
          <w:highlight w:val="none"/>
        </w:rPr>
      </w:pPr>
      <w:r>
        <w:rPr>
          <w:rFonts w:cs="Times New Roman" w:asciiTheme="minorEastAsia" w:hAnsiTheme="minorEastAsia" w:eastAsiaTheme="minorEastAsia"/>
          <w:color w:val="auto"/>
          <w:szCs w:val="21"/>
          <w:highlight w:val="none"/>
        </w:rPr>
        <w:t>7.1 参加谈判申请人应认真审核</w:t>
      </w:r>
      <w:r>
        <w:rPr>
          <w:rFonts w:hint="eastAsia" w:cs="Times New Roman" w:asciiTheme="minorEastAsia" w:hAnsiTheme="minorEastAsia" w:eastAsiaTheme="minorEastAsia"/>
          <w:color w:val="auto"/>
          <w:szCs w:val="21"/>
          <w:highlight w:val="none"/>
        </w:rPr>
        <w:t>谈判文件</w:t>
      </w:r>
      <w:r>
        <w:rPr>
          <w:rFonts w:cs="Times New Roman" w:asciiTheme="minorEastAsia" w:hAnsiTheme="minorEastAsia" w:eastAsiaTheme="minorEastAsia"/>
          <w:color w:val="auto"/>
          <w:szCs w:val="21"/>
          <w:highlight w:val="none"/>
        </w:rPr>
        <w:t>，</w:t>
      </w:r>
      <w:r>
        <w:rPr>
          <w:rFonts w:hint="eastAsia" w:cs="Times New Roman" w:asciiTheme="minorEastAsia" w:hAnsiTheme="minorEastAsia" w:eastAsiaTheme="minorEastAsia"/>
          <w:color w:val="auto"/>
          <w:szCs w:val="21"/>
          <w:highlight w:val="none"/>
        </w:rPr>
        <w:t>如有疑问的，谈判申请人可以在“谈判申请人须知前附表”规定截止时间前以澄清函形式（加盖单位章）要求采购代理机构澄清，</w:t>
      </w:r>
      <w:r>
        <w:rPr>
          <w:rFonts w:cs="Times New Roman" w:asciiTheme="minorEastAsia" w:hAnsiTheme="minorEastAsia" w:eastAsiaTheme="minorEastAsia"/>
          <w:color w:val="auto"/>
          <w:szCs w:val="21"/>
          <w:highlight w:val="none"/>
        </w:rPr>
        <w:t>截止时间后送达的澄清要求概不接受</w:t>
      </w:r>
      <w:r>
        <w:rPr>
          <w:rFonts w:hint="eastAsia" w:cs="Times New Roman" w:asciiTheme="minorEastAsia" w:hAnsiTheme="minorEastAsia" w:eastAsiaTheme="minorEastAsia"/>
          <w:color w:val="auto"/>
          <w:szCs w:val="21"/>
          <w:highlight w:val="none"/>
        </w:rPr>
        <w:t>。</w:t>
      </w:r>
    </w:p>
    <w:p>
      <w:pPr>
        <w:spacing w:line="360" w:lineRule="auto"/>
        <w:ind w:firstLine="420" w:firstLineChars="200"/>
        <w:jc w:val="left"/>
        <w:rPr>
          <w:rFonts w:cs="Times New Roman" w:asciiTheme="minorEastAsia" w:hAnsiTheme="minorEastAsia" w:eastAsiaTheme="minorEastAsia"/>
          <w:color w:val="auto"/>
          <w:szCs w:val="21"/>
          <w:highlight w:val="none"/>
        </w:rPr>
      </w:pPr>
      <w:r>
        <w:rPr>
          <w:rFonts w:cs="Times New Roman" w:asciiTheme="minorEastAsia" w:hAnsiTheme="minorEastAsia" w:eastAsiaTheme="minorEastAsia"/>
          <w:color w:val="auto"/>
          <w:szCs w:val="21"/>
          <w:highlight w:val="none"/>
        </w:rPr>
        <w:t xml:space="preserve">7.2 </w:t>
      </w:r>
      <w:r>
        <w:rPr>
          <w:rFonts w:hint="eastAsia" w:cs="Times New Roman" w:asciiTheme="minorEastAsia" w:hAnsiTheme="minorEastAsia" w:eastAsiaTheme="minorEastAsia"/>
          <w:color w:val="auto"/>
          <w:szCs w:val="21"/>
          <w:highlight w:val="none"/>
          <w:lang w:val="en-US" w:eastAsia="zh-CN"/>
        </w:rPr>
        <w:t>招标人</w:t>
      </w:r>
      <w:r>
        <w:rPr>
          <w:rFonts w:hint="eastAsia" w:cs="Times New Roman" w:asciiTheme="minorEastAsia" w:hAnsiTheme="minorEastAsia" w:eastAsiaTheme="minorEastAsia"/>
          <w:color w:val="auto"/>
          <w:szCs w:val="21"/>
          <w:highlight w:val="none"/>
        </w:rPr>
        <w:t>将以书面形式答复所有购买谈判文件的谈判申请人</w:t>
      </w:r>
      <w:r>
        <w:rPr>
          <w:rFonts w:cs="Times New Roman" w:asciiTheme="minorEastAsia" w:hAnsiTheme="minorEastAsia" w:eastAsiaTheme="minorEastAsia"/>
          <w:color w:val="auto"/>
          <w:szCs w:val="21"/>
          <w:highlight w:val="none"/>
        </w:rPr>
        <w:t>（答复中不包含问题的来源）要求澄清的问题，其他澄清方式无效。</w:t>
      </w:r>
    </w:p>
    <w:p>
      <w:pPr>
        <w:spacing w:line="360" w:lineRule="auto"/>
        <w:ind w:firstLine="420" w:firstLineChars="200"/>
        <w:jc w:val="left"/>
        <w:rPr>
          <w:rFonts w:cs="Times New Roman" w:asciiTheme="minorEastAsia" w:hAnsiTheme="minorEastAsia" w:eastAsiaTheme="minorEastAsia"/>
          <w:color w:val="auto"/>
          <w:szCs w:val="21"/>
          <w:highlight w:val="none"/>
        </w:rPr>
      </w:pPr>
      <w:r>
        <w:rPr>
          <w:rFonts w:cs="Times New Roman" w:asciiTheme="minorEastAsia" w:hAnsiTheme="minorEastAsia" w:eastAsiaTheme="minorEastAsia"/>
          <w:color w:val="auto"/>
          <w:szCs w:val="21"/>
          <w:highlight w:val="none"/>
        </w:rPr>
        <w:t>7.3</w:t>
      </w:r>
      <w:r>
        <w:rPr>
          <w:rFonts w:hint="eastAsia" w:cs="Times New Roman" w:asciiTheme="minorEastAsia" w:hAnsiTheme="minorEastAsia" w:eastAsiaTheme="minorEastAsia"/>
          <w:color w:val="auto"/>
          <w:szCs w:val="21"/>
          <w:highlight w:val="none"/>
        </w:rPr>
        <w:t>招标人对已发出的谈判文件进行必要的澄清或者修改的，澄清或者修改的内容作为谈判文件的组成部分。澄清或者修改的内容可能影响响应文件编制的，招标人将在提交首次响应文件截止之日3日前，以书面形式通知所有接收谈判文件的谈判申请人，不足3日的，将顺延提交首次响应文件截止之日。</w:t>
      </w:r>
    </w:p>
    <w:p>
      <w:pPr>
        <w:spacing w:line="360" w:lineRule="auto"/>
        <w:ind w:firstLine="420" w:firstLineChars="200"/>
        <w:jc w:val="left"/>
        <w:rPr>
          <w:rFonts w:cs="Times New Roman" w:asciiTheme="minorEastAsia" w:hAnsiTheme="minorEastAsia" w:eastAsiaTheme="minorEastAsia"/>
          <w:color w:val="auto"/>
          <w:szCs w:val="21"/>
          <w:highlight w:val="none"/>
        </w:rPr>
      </w:pPr>
      <w:r>
        <w:rPr>
          <w:rFonts w:cs="Times New Roman" w:asciiTheme="minorEastAsia" w:hAnsiTheme="minorEastAsia" w:eastAsiaTheme="minorEastAsia"/>
          <w:color w:val="auto"/>
          <w:szCs w:val="21"/>
          <w:highlight w:val="none"/>
        </w:rPr>
        <w:t>7.</w:t>
      </w:r>
      <w:r>
        <w:rPr>
          <w:rFonts w:hint="eastAsia" w:cs="Times New Roman" w:asciiTheme="minorEastAsia" w:hAnsiTheme="minorEastAsia" w:eastAsiaTheme="minorEastAsia"/>
          <w:color w:val="auto"/>
          <w:szCs w:val="21"/>
          <w:highlight w:val="none"/>
        </w:rPr>
        <w:t>4</w:t>
      </w:r>
      <w:r>
        <w:rPr>
          <w:rFonts w:cs="Times New Roman" w:asciiTheme="minorEastAsia" w:hAnsiTheme="minorEastAsia" w:eastAsiaTheme="minorEastAsia"/>
          <w:color w:val="auto"/>
          <w:szCs w:val="21"/>
          <w:highlight w:val="none"/>
        </w:rPr>
        <w:t>招标人可以视采购具体情况，推迟递交响应文件截止时间，并将变更时间书面通知所有</w:t>
      </w:r>
      <w:r>
        <w:rPr>
          <w:rFonts w:hint="eastAsia" w:cs="Times New Roman" w:asciiTheme="minorEastAsia" w:hAnsiTheme="minorEastAsia" w:eastAsiaTheme="minorEastAsia"/>
          <w:color w:val="auto"/>
          <w:szCs w:val="21"/>
          <w:highlight w:val="none"/>
        </w:rPr>
        <w:t>购买</w:t>
      </w:r>
      <w:r>
        <w:rPr>
          <w:rFonts w:cs="Times New Roman" w:asciiTheme="minorEastAsia" w:hAnsiTheme="minorEastAsia" w:eastAsiaTheme="minorEastAsia"/>
          <w:color w:val="auto"/>
          <w:szCs w:val="21"/>
          <w:highlight w:val="none"/>
        </w:rPr>
        <w:t>谈判文件</w:t>
      </w:r>
      <w:r>
        <w:rPr>
          <w:rFonts w:hint="eastAsia" w:cs="Times New Roman" w:asciiTheme="minorEastAsia" w:hAnsiTheme="minorEastAsia" w:eastAsiaTheme="minorEastAsia"/>
          <w:color w:val="auto"/>
          <w:szCs w:val="21"/>
          <w:highlight w:val="none"/>
        </w:rPr>
        <w:t>的谈判申请人</w:t>
      </w:r>
      <w:r>
        <w:rPr>
          <w:rFonts w:cs="Times New Roman" w:asciiTheme="minorEastAsia" w:hAnsiTheme="minorEastAsia" w:eastAsiaTheme="minorEastAsia"/>
          <w:color w:val="auto"/>
          <w:szCs w:val="21"/>
          <w:highlight w:val="none"/>
        </w:rPr>
        <w:t>。</w:t>
      </w:r>
    </w:p>
    <w:p>
      <w:pPr>
        <w:spacing w:line="360" w:lineRule="auto"/>
        <w:ind w:firstLine="420" w:firstLineChars="200"/>
        <w:jc w:val="left"/>
        <w:rPr>
          <w:rFonts w:cs="Times New Roman" w:asciiTheme="minorEastAsia" w:hAnsiTheme="minorEastAsia" w:eastAsiaTheme="minorEastAsia"/>
          <w:color w:val="auto"/>
          <w:szCs w:val="21"/>
          <w:highlight w:val="none"/>
        </w:rPr>
      </w:pPr>
      <w:r>
        <w:rPr>
          <w:rFonts w:hint="eastAsia" w:cs="Times New Roman" w:asciiTheme="minorEastAsia" w:hAnsiTheme="minorEastAsia" w:eastAsiaTheme="minorEastAsia"/>
          <w:color w:val="auto"/>
          <w:szCs w:val="21"/>
          <w:highlight w:val="none"/>
        </w:rPr>
        <w:t>7.5在谈判过程中，谈判小组可以根据谈判文件和谈判情况实质性变动采购需求中的技术、服务要求以及合同草案条款，但不得变动谈判文件中的其他内容。实质性变动的内容，须经招标人代表确认。本项目谈判小组根据与谈判申请人谈判情况可能实质性变动的内容见谈判申请人须知前附表。</w:t>
      </w:r>
    </w:p>
    <w:p>
      <w:pPr>
        <w:spacing w:line="400" w:lineRule="exact"/>
        <w:ind w:firstLine="420" w:firstLineChars="200"/>
        <w:jc w:val="left"/>
        <w:rPr>
          <w:rFonts w:asciiTheme="minorEastAsia" w:hAnsiTheme="minorEastAsia" w:eastAsiaTheme="minorEastAsia"/>
          <w:color w:val="auto"/>
          <w:highlight w:val="none"/>
        </w:rPr>
      </w:pPr>
    </w:p>
    <w:p>
      <w:pPr>
        <w:keepNext/>
        <w:keepLines/>
        <w:spacing w:after="120" w:line="440" w:lineRule="exact"/>
        <w:jc w:val="center"/>
        <w:outlineLvl w:val="1"/>
        <w:rPr>
          <w:rFonts w:asciiTheme="minorEastAsia" w:hAnsiTheme="minorEastAsia" w:eastAsiaTheme="minorEastAsia"/>
          <w:b/>
          <w:bCs/>
          <w:color w:val="auto"/>
          <w:sz w:val="28"/>
          <w:szCs w:val="28"/>
          <w:highlight w:val="none"/>
        </w:rPr>
      </w:pPr>
      <w:bookmarkStart w:id="131" w:name="_Toc139987918"/>
      <w:bookmarkStart w:id="132" w:name="_Toc130564889"/>
      <w:bookmarkStart w:id="133" w:name="_Toc490599213"/>
      <w:bookmarkStart w:id="134" w:name="_Toc519163192"/>
      <w:bookmarkStart w:id="135" w:name="_Toc86124051"/>
      <w:bookmarkStart w:id="136" w:name="_Toc16427"/>
      <w:r>
        <w:rPr>
          <w:rFonts w:asciiTheme="minorEastAsia" w:hAnsiTheme="minorEastAsia" w:eastAsiaTheme="minorEastAsia"/>
          <w:b/>
          <w:bCs/>
          <w:color w:val="auto"/>
          <w:sz w:val="28"/>
          <w:szCs w:val="28"/>
          <w:highlight w:val="none"/>
        </w:rPr>
        <w:t>三、响应文件</w:t>
      </w:r>
      <w:bookmarkEnd w:id="131"/>
      <w:bookmarkEnd w:id="132"/>
      <w:bookmarkEnd w:id="133"/>
      <w:bookmarkEnd w:id="134"/>
      <w:bookmarkEnd w:id="135"/>
      <w:bookmarkEnd w:id="136"/>
    </w:p>
    <w:p>
      <w:pPr>
        <w:keepNext/>
        <w:keepLines/>
        <w:spacing w:line="440" w:lineRule="exact"/>
        <w:ind w:firstLine="480" w:firstLineChars="200"/>
        <w:outlineLvl w:val="2"/>
        <w:rPr>
          <w:rFonts w:asciiTheme="minorEastAsia" w:hAnsiTheme="minorEastAsia" w:eastAsiaTheme="minorEastAsia"/>
          <w:b/>
          <w:bCs/>
          <w:color w:val="auto"/>
          <w:sz w:val="24"/>
          <w:highlight w:val="none"/>
        </w:rPr>
      </w:pPr>
      <w:bookmarkStart w:id="137" w:name="_Toc139987919"/>
      <w:bookmarkStart w:id="138" w:name="_Toc519163193"/>
      <w:bookmarkStart w:id="139" w:name="_Toc385344447"/>
      <w:bookmarkStart w:id="140" w:name="_Toc107864010"/>
      <w:bookmarkStart w:id="141" w:name="_Toc329810195"/>
      <w:bookmarkStart w:id="142" w:name="_Toc130562747"/>
      <w:bookmarkStart w:id="143" w:name="_Toc86124052"/>
      <w:bookmarkStart w:id="144" w:name="_Toc26842"/>
      <w:bookmarkStart w:id="145" w:name="_Toc130564323"/>
      <w:bookmarkStart w:id="146" w:name="_Toc130564890"/>
      <w:bookmarkStart w:id="147" w:name="_Toc490599214"/>
      <w:r>
        <w:rPr>
          <w:rFonts w:hint="eastAsia" w:asciiTheme="minorEastAsia" w:hAnsiTheme="minorEastAsia" w:eastAsiaTheme="minorEastAsia"/>
          <w:b/>
          <w:bCs/>
          <w:color w:val="auto"/>
          <w:sz w:val="24"/>
          <w:highlight w:val="none"/>
        </w:rPr>
        <w:t>8.</w:t>
      </w:r>
      <w:r>
        <w:rPr>
          <w:rFonts w:asciiTheme="minorEastAsia" w:hAnsiTheme="minorEastAsia" w:eastAsiaTheme="minorEastAsia"/>
          <w:b/>
          <w:bCs/>
          <w:color w:val="auto"/>
          <w:sz w:val="24"/>
          <w:highlight w:val="none"/>
        </w:rPr>
        <w:t>响应文件编写注意事项</w:t>
      </w:r>
      <w:bookmarkEnd w:id="137"/>
      <w:bookmarkEnd w:id="138"/>
      <w:bookmarkEnd w:id="139"/>
      <w:bookmarkEnd w:id="140"/>
      <w:bookmarkEnd w:id="141"/>
      <w:bookmarkEnd w:id="142"/>
      <w:bookmarkEnd w:id="143"/>
      <w:bookmarkEnd w:id="144"/>
      <w:bookmarkEnd w:id="145"/>
      <w:bookmarkEnd w:id="146"/>
      <w:bookmarkEnd w:id="147"/>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8.1 谈判申请人应仔细阅读谈判文件，在完全了解采购的内容、技术性能要求（见第五章“</w:t>
      </w:r>
      <w:r>
        <w:rPr>
          <w:rFonts w:hint="eastAsia" w:asciiTheme="minorEastAsia" w:hAnsiTheme="minorEastAsia" w:eastAsiaTheme="minorEastAsia"/>
          <w:color w:val="auto"/>
          <w:highlight w:val="none"/>
        </w:rPr>
        <w:t>项目需求及服务要求</w:t>
      </w:r>
      <w:r>
        <w:rPr>
          <w:rFonts w:asciiTheme="minorEastAsia" w:hAnsiTheme="minorEastAsia" w:eastAsiaTheme="minorEastAsia"/>
          <w:color w:val="auto"/>
          <w:highlight w:val="none"/>
        </w:rPr>
        <w:t>”）和商务条件后，编写响应文件。</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8.2 对谈判文件提出的实质性要求和条件作出响应是指谈判申请人必须对谈判文件中规定的成交实质性要求和条件作出满足或者优于原要求和条件的承诺</w:t>
      </w:r>
      <w:r>
        <w:rPr>
          <w:rFonts w:hint="eastAsia" w:asciiTheme="minorEastAsia" w:hAnsiTheme="minorEastAsia" w:eastAsiaTheme="minorEastAsia"/>
          <w:color w:val="auto"/>
          <w:highlight w:val="none"/>
        </w:rPr>
        <w:t>，并提供相应的证明材料</w:t>
      </w:r>
      <w:r>
        <w:rPr>
          <w:rFonts w:asciiTheme="minorEastAsia" w:hAnsiTheme="minorEastAsia" w:eastAsiaTheme="minorEastAsia"/>
          <w:color w:val="auto"/>
          <w:highlight w:val="none"/>
        </w:rPr>
        <w:t>。</w:t>
      </w:r>
    </w:p>
    <w:p>
      <w:pPr>
        <w:keepNext/>
        <w:keepLines/>
        <w:spacing w:line="400" w:lineRule="exact"/>
        <w:ind w:firstLine="480" w:firstLineChars="200"/>
        <w:outlineLvl w:val="2"/>
        <w:rPr>
          <w:rFonts w:asciiTheme="minorEastAsia" w:hAnsiTheme="minorEastAsia" w:eastAsiaTheme="minorEastAsia"/>
          <w:b/>
          <w:bCs/>
          <w:color w:val="auto"/>
          <w:sz w:val="24"/>
          <w:highlight w:val="none"/>
        </w:rPr>
      </w:pPr>
      <w:bookmarkStart w:id="148" w:name="_Toc130564891"/>
      <w:bookmarkStart w:id="149" w:name="_Toc329810196"/>
      <w:bookmarkStart w:id="150" w:name="_Toc385344448"/>
      <w:bookmarkStart w:id="151" w:name="_Toc107864011"/>
      <w:bookmarkStart w:id="152" w:name="_Toc490599215"/>
      <w:bookmarkStart w:id="153" w:name="_Toc86124054"/>
      <w:bookmarkStart w:id="154" w:name="_Toc139987920"/>
      <w:bookmarkStart w:id="155" w:name="_Toc130562748"/>
      <w:bookmarkStart w:id="156" w:name="_Toc130564324"/>
      <w:bookmarkStart w:id="157" w:name="_Toc519163194"/>
      <w:bookmarkStart w:id="158" w:name="_Toc14488"/>
      <w:r>
        <w:rPr>
          <w:rFonts w:hint="eastAsia" w:asciiTheme="minorEastAsia" w:hAnsiTheme="minorEastAsia" w:eastAsiaTheme="minorEastAsia"/>
          <w:b/>
          <w:bCs/>
          <w:color w:val="auto"/>
          <w:sz w:val="24"/>
          <w:highlight w:val="none"/>
        </w:rPr>
        <w:t>9.</w:t>
      </w:r>
      <w:r>
        <w:rPr>
          <w:rFonts w:asciiTheme="minorEastAsia" w:hAnsiTheme="minorEastAsia" w:eastAsiaTheme="minorEastAsia"/>
          <w:b/>
          <w:bCs/>
          <w:color w:val="auto"/>
          <w:sz w:val="24"/>
          <w:highlight w:val="none"/>
        </w:rPr>
        <w:t>响应文件构成</w:t>
      </w:r>
      <w:bookmarkEnd w:id="148"/>
      <w:bookmarkEnd w:id="149"/>
      <w:bookmarkEnd w:id="150"/>
      <w:bookmarkEnd w:id="151"/>
      <w:bookmarkEnd w:id="152"/>
      <w:bookmarkEnd w:id="153"/>
      <w:bookmarkEnd w:id="154"/>
      <w:bookmarkEnd w:id="155"/>
      <w:bookmarkEnd w:id="156"/>
      <w:bookmarkEnd w:id="157"/>
      <w:bookmarkEnd w:id="158"/>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9.1谈判申请人</w:t>
      </w:r>
      <w:r>
        <w:rPr>
          <w:rFonts w:hint="eastAsia" w:asciiTheme="minorEastAsia" w:hAnsiTheme="minorEastAsia" w:eastAsiaTheme="minorEastAsia"/>
          <w:color w:val="auto"/>
          <w:highlight w:val="none"/>
        </w:rPr>
        <w:t>编写的</w:t>
      </w:r>
      <w:r>
        <w:rPr>
          <w:rFonts w:asciiTheme="minorEastAsia" w:hAnsiTheme="minorEastAsia" w:eastAsiaTheme="minorEastAsia"/>
          <w:color w:val="auto"/>
          <w:highlight w:val="none"/>
        </w:rPr>
        <w:t>响应文件</w:t>
      </w:r>
      <w:r>
        <w:rPr>
          <w:rFonts w:hint="eastAsia" w:asciiTheme="minorEastAsia" w:hAnsiTheme="minorEastAsia" w:eastAsiaTheme="minorEastAsia"/>
          <w:color w:val="auto"/>
          <w:highlight w:val="none"/>
        </w:rPr>
        <w:t>应按第四章“响应文件格式”要求填写。有关文件的提交如未特别注明需提供原件的，可提供复印件。</w:t>
      </w:r>
    </w:p>
    <w:p>
      <w:pPr>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9.2</w:t>
      </w:r>
      <w:r>
        <w:rPr>
          <w:rFonts w:asciiTheme="minorEastAsia" w:hAnsiTheme="minorEastAsia" w:eastAsiaTheme="minorEastAsia"/>
          <w:color w:val="auto"/>
          <w:highlight w:val="none"/>
        </w:rPr>
        <w:t>谈判申请人</w:t>
      </w:r>
      <w:r>
        <w:rPr>
          <w:rFonts w:hint="eastAsia" w:asciiTheme="minorEastAsia" w:hAnsiTheme="minorEastAsia" w:eastAsiaTheme="minorEastAsia"/>
          <w:color w:val="auto"/>
          <w:highlight w:val="none"/>
        </w:rPr>
        <w:t>同时参与多个包（若分包时）谈判的，</w:t>
      </w:r>
      <w:r>
        <w:rPr>
          <w:rFonts w:asciiTheme="minorEastAsia" w:hAnsiTheme="minorEastAsia" w:eastAsiaTheme="minorEastAsia"/>
          <w:color w:val="auto"/>
          <w:highlight w:val="none"/>
        </w:rPr>
        <w:t>响应文件</w:t>
      </w:r>
      <w:r>
        <w:rPr>
          <w:rFonts w:hint="eastAsia" w:asciiTheme="minorEastAsia" w:hAnsiTheme="minorEastAsia" w:eastAsiaTheme="minorEastAsia"/>
          <w:color w:val="auto"/>
          <w:highlight w:val="none"/>
        </w:rPr>
        <w:t>应按包分别编制，单独成册。</w:t>
      </w:r>
    </w:p>
    <w:p>
      <w:pPr>
        <w:keepNext/>
        <w:keepLines/>
        <w:spacing w:line="400" w:lineRule="exact"/>
        <w:ind w:firstLine="480" w:firstLineChars="200"/>
        <w:outlineLvl w:val="2"/>
        <w:rPr>
          <w:rFonts w:asciiTheme="minorEastAsia" w:hAnsiTheme="minorEastAsia" w:eastAsiaTheme="minorEastAsia"/>
          <w:b/>
          <w:bCs/>
          <w:color w:val="auto"/>
          <w:sz w:val="24"/>
          <w:highlight w:val="none"/>
        </w:rPr>
      </w:pPr>
      <w:bookmarkStart w:id="159" w:name="_Toc86124056"/>
      <w:bookmarkStart w:id="160" w:name="_Toc130564892"/>
      <w:bookmarkStart w:id="161" w:name="_Toc519163195"/>
      <w:bookmarkStart w:id="162" w:name="_Toc385344449"/>
      <w:bookmarkStart w:id="163" w:name="_Toc139987921"/>
      <w:bookmarkStart w:id="164" w:name="_Toc490599216"/>
      <w:bookmarkStart w:id="165" w:name="_Toc329810197"/>
      <w:bookmarkStart w:id="166" w:name="_Toc107864012"/>
      <w:bookmarkStart w:id="167" w:name="_Toc130562749"/>
      <w:bookmarkStart w:id="168" w:name="_Toc21869"/>
      <w:bookmarkStart w:id="169" w:name="_Toc130564325"/>
      <w:r>
        <w:rPr>
          <w:rFonts w:hint="eastAsia" w:asciiTheme="minorEastAsia" w:hAnsiTheme="minorEastAsia" w:eastAsiaTheme="minorEastAsia"/>
          <w:b/>
          <w:bCs/>
          <w:color w:val="auto"/>
          <w:sz w:val="24"/>
          <w:highlight w:val="none"/>
        </w:rPr>
        <w:t>10.</w:t>
      </w:r>
      <w:r>
        <w:rPr>
          <w:rFonts w:asciiTheme="minorEastAsia" w:hAnsiTheme="minorEastAsia" w:eastAsiaTheme="minorEastAsia"/>
          <w:b/>
          <w:bCs/>
          <w:color w:val="auto"/>
          <w:sz w:val="24"/>
          <w:highlight w:val="none"/>
        </w:rPr>
        <w:t>报价</w:t>
      </w:r>
      <w:bookmarkEnd w:id="159"/>
      <w:r>
        <w:rPr>
          <w:rFonts w:asciiTheme="minorEastAsia" w:hAnsiTheme="minorEastAsia" w:eastAsiaTheme="minorEastAsia"/>
          <w:b/>
          <w:bCs/>
          <w:color w:val="auto"/>
          <w:sz w:val="24"/>
          <w:highlight w:val="none"/>
        </w:rPr>
        <w:t>和报价货币</w:t>
      </w:r>
      <w:bookmarkEnd w:id="160"/>
      <w:bookmarkEnd w:id="161"/>
      <w:bookmarkEnd w:id="162"/>
      <w:bookmarkEnd w:id="163"/>
      <w:bookmarkEnd w:id="164"/>
      <w:bookmarkEnd w:id="165"/>
      <w:bookmarkEnd w:id="166"/>
      <w:bookmarkEnd w:id="167"/>
      <w:bookmarkEnd w:id="168"/>
      <w:bookmarkEnd w:id="169"/>
    </w:p>
    <w:p>
      <w:pPr>
        <w:spacing w:line="400" w:lineRule="exact"/>
        <w:ind w:firstLine="420" w:firstLineChars="20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10.1</w:t>
      </w:r>
      <w:r>
        <w:rPr>
          <w:rFonts w:hint="eastAsia" w:asciiTheme="minorEastAsia" w:hAnsiTheme="minorEastAsia" w:eastAsiaTheme="minorEastAsia"/>
          <w:color w:val="auto"/>
          <w:highlight w:val="none"/>
        </w:rPr>
        <w:t>最终报价超过招标人支付能力的竞标人将按无效处理。</w:t>
      </w:r>
    </w:p>
    <w:p>
      <w:pPr>
        <w:spacing w:line="400" w:lineRule="exact"/>
        <w:ind w:firstLine="420" w:firstLineChars="20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10.2</w:t>
      </w:r>
      <w:r>
        <w:rPr>
          <w:rFonts w:asciiTheme="minorEastAsia" w:hAnsiTheme="minorEastAsia" w:eastAsiaTheme="minorEastAsia"/>
          <w:b/>
          <w:bCs/>
          <w:color w:val="auto"/>
          <w:szCs w:val="21"/>
          <w:highlight w:val="none"/>
        </w:rPr>
        <w:t>谈判申请人</w:t>
      </w:r>
      <w:r>
        <w:rPr>
          <w:rFonts w:hint="eastAsia" w:asciiTheme="minorEastAsia" w:hAnsiTheme="minorEastAsia" w:eastAsiaTheme="minorEastAsia"/>
          <w:b/>
          <w:bCs/>
          <w:color w:val="auto"/>
          <w:szCs w:val="21"/>
          <w:highlight w:val="none"/>
        </w:rPr>
        <w:t>须</w:t>
      </w:r>
      <w:r>
        <w:rPr>
          <w:rFonts w:asciiTheme="minorEastAsia" w:hAnsiTheme="minorEastAsia" w:eastAsiaTheme="minorEastAsia"/>
          <w:b/>
          <w:bCs/>
          <w:color w:val="auto"/>
          <w:szCs w:val="21"/>
          <w:highlight w:val="none"/>
        </w:rPr>
        <w:t>就“</w:t>
      </w:r>
      <w:r>
        <w:rPr>
          <w:rFonts w:hint="eastAsia" w:asciiTheme="minorEastAsia" w:hAnsiTheme="minorEastAsia" w:eastAsiaTheme="minorEastAsia"/>
          <w:b/>
          <w:bCs/>
          <w:color w:val="auto"/>
          <w:szCs w:val="21"/>
          <w:highlight w:val="none"/>
        </w:rPr>
        <w:t>项目需求及服务要求</w:t>
      </w:r>
      <w:r>
        <w:rPr>
          <w:rFonts w:asciiTheme="minorEastAsia" w:hAnsiTheme="minorEastAsia" w:eastAsiaTheme="minorEastAsia"/>
          <w:b/>
          <w:bCs/>
          <w:color w:val="auto"/>
          <w:szCs w:val="21"/>
          <w:highlight w:val="none"/>
        </w:rPr>
        <w:t>”中</w:t>
      </w:r>
      <w:r>
        <w:rPr>
          <w:rFonts w:hint="eastAsia" w:asciiTheme="minorEastAsia" w:hAnsiTheme="minorEastAsia" w:eastAsiaTheme="minorEastAsia"/>
          <w:b/>
          <w:bCs/>
          <w:color w:val="auto"/>
          <w:szCs w:val="21"/>
          <w:highlight w:val="none"/>
        </w:rPr>
        <w:t>所有采购</w:t>
      </w:r>
      <w:r>
        <w:rPr>
          <w:rFonts w:asciiTheme="minorEastAsia" w:hAnsiTheme="minorEastAsia" w:eastAsiaTheme="minorEastAsia"/>
          <w:b/>
          <w:bCs/>
          <w:color w:val="auto"/>
          <w:szCs w:val="21"/>
          <w:highlight w:val="none"/>
        </w:rPr>
        <w:t>内容作完整唯一报价</w:t>
      </w:r>
      <w:r>
        <w:rPr>
          <w:rFonts w:hint="eastAsia" w:asciiTheme="minorEastAsia" w:hAnsiTheme="minorEastAsia" w:eastAsiaTheme="minorEastAsia"/>
          <w:bCs/>
          <w:color w:val="auto"/>
          <w:szCs w:val="21"/>
          <w:highlight w:val="none"/>
        </w:rPr>
        <w:t>。</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10.</w:t>
      </w:r>
      <w:r>
        <w:rPr>
          <w:rFonts w:hint="eastAsia" w:asciiTheme="minorEastAsia" w:hAnsiTheme="minorEastAsia" w:eastAsiaTheme="minorEastAsia"/>
          <w:color w:val="auto"/>
          <w:kern w:val="0"/>
          <w:szCs w:val="21"/>
          <w:highlight w:val="none"/>
        </w:rPr>
        <w:t>3谈判申请人</w:t>
      </w:r>
      <w:r>
        <w:rPr>
          <w:rFonts w:asciiTheme="minorEastAsia" w:hAnsiTheme="minorEastAsia" w:eastAsiaTheme="minorEastAsia"/>
          <w:color w:val="auto"/>
          <w:kern w:val="0"/>
          <w:szCs w:val="21"/>
          <w:highlight w:val="none"/>
        </w:rPr>
        <w:t>应依据谈判文件的要求及有关资料，</w:t>
      </w:r>
      <w:r>
        <w:rPr>
          <w:rFonts w:hint="eastAsia" w:asciiTheme="minorEastAsia" w:hAnsiTheme="minorEastAsia" w:eastAsiaTheme="minorEastAsia"/>
          <w:color w:val="auto"/>
          <w:kern w:val="0"/>
          <w:szCs w:val="21"/>
          <w:highlight w:val="none"/>
        </w:rPr>
        <w:t>执行</w:t>
      </w:r>
      <w:r>
        <w:rPr>
          <w:rFonts w:asciiTheme="minorEastAsia" w:hAnsiTheme="minorEastAsia" w:eastAsiaTheme="minorEastAsia"/>
          <w:color w:val="auto"/>
          <w:kern w:val="0"/>
          <w:szCs w:val="21"/>
          <w:highlight w:val="none"/>
        </w:rPr>
        <w:t>国家或行业现行技术经济标准、定额及规范，自行测算出满足</w:t>
      </w:r>
      <w:r>
        <w:rPr>
          <w:rFonts w:hint="eastAsia" w:asciiTheme="minorEastAsia" w:hAnsiTheme="minorEastAsia" w:eastAsiaTheme="minorEastAsia"/>
          <w:color w:val="auto"/>
          <w:kern w:val="0"/>
          <w:szCs w:val="21"/>
          <w:highlight w:val="none"/>
        </w:rPr>
        <w:t>采购</w:t>
      </w:r>
      <w:r>
        <w:rPr>
          <w:rFonts w:asciiTheme="minorEastAsia" w:hAnsiTheme="minorEastAsia" w:eastAsiaTheme="minorEastAsia"/>
          <w:color w:val="auto"/>
          <w:kern w:val="0"/>
          <w:szCs w:val="21"/>
          <w:highlight w:val="none"/>
        </w:rPr>
        <w:t>要求的</w:t>
      </w:r>
      <w:r>
        <w:rPr>
          <w:rFonts w:hint="eastAsia" w:asciiTheme="minorEastAsia" w:hAnsiTheme="minorEastAsia" w:eastAsiaTheme="minorEastAsia"/>
          <w:color w:val="auto"/>
          <w:kern w:val="0"/>
          <w:szCs w:val="21"/>
          <w:highlight w:val="none"/>
        </w:rPr>
        <w:t>服务</w:t>
      </w:r>
      <w:r>
        <w:rPr>
          <w:rFonts w:asciiTheme="minorEastAsia" w:hAnsiTheme="minorEastAsia" w:eastAsiaTheme="minorEastAsia"/>
          <w:color w:val="auto"/>
          <w:kern w:val="0"/>
          <w:szCs w:val="21"/>
          <w:highlight w:val="none"/>
        </w:rPr>
        <w:t>的竞争性报价。</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10.4</w:t>
      </w:r>
      <w:r>
        <w:rPr>
          <w:rFonts w:hint="eastAsia" w:asciiTheme="minorEastAsia" w:hAnsiTheme="minorEastAsia" w:eastAsiaTheme="minorEastAsia"/>
          <w:b/>
          <w:color w:val="auto"/>
          <w:kern w:val="0"/>
          <w:szCs w:val="21"/>
          <w:highlight w:val="none"/>
        </w:rPr>
        <w:t>报价指完成本项目所需的一切相关费用，包含但不仅限于</w:t>
      </w:r>
      <w:r>
        <w:rPr>
          <w:rFonts w:hint="eastAsia" w:asciiTheme="minorEastAsia" w:hAnsiTheme="minorEastAsia" w:eastAsiaTheme="minorEastAsia"/>
          <w:color w:val="auto"/>
          <w:kern w:val="0"/>
          <w:szCs w:val="21"/>
          <w:highlight w:val="none"/>
        </w:rPr>
        <w:t>相关服务费用、人工费用、差旅食宿费用其他相关服务费用、利润、税金等完成本项目所需的一切费用，以及市场价格变化的风险费用、利润等的总和。竞标人应根据本企业的成本自行决定报价，但不得以低于成本的报价竞标。</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10.5谈判申请人应按自身提供的实施方案详细进行报价说明，并由谈判申请人的法定代表人或其委托代理人签字（或盖章）、盖单位公章。</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10.6招标人不承诺最低报价一定成交。</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w:t>
      </w:r>
      <w:r>
        <w:rPr>
          <w:rFonts w:hint="eastAsia" w:asciiTheme="minorEastAsia" w:hAnsiTheme="minorEastAsia" w:eastAsiaTheme="minorEastAsia"/>
          <w:color w:val="auto"/>
          <w:kern w:val="0"/>
          <w:szCs w:val="21"/>
          <w:highlight w:val="none"/>
        </w:rPr>
        <w:t>0</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7本项目不组织集中踏勘，但谈判申请人可自行对项目现场和周围环境进行踏勘，以获取编制响应文件和签署合同所需的资料。踏勘现场所发生的费用及其一切风险由谈判申请人自行承担。因谈判申请人自身原因未考虑到的价格风险，由谈判申请人自行承担，合同结算时对该部分不做调整</w:t>
      </w:r>
      <w:r>
        <w:rPr>
          <w:rFonts w:asciiTheme="minorEastAsia" w:hAnsiTheme="minorEastAsia" w:eastAsiaTheme="minorEastAsia"/>
          <w:color w:val="auto"/>
          <w:kern w:val="0"/>
          <w:szCs w:val="21"/>
          <w:highlight w:val="none"/>
        </w:rPr>
        <w:t>。</w:t>
      </w:r>
    </w:p>
    <w:p>
      <w:pPr>
        <w:autoSpaceDE w:val="0"/>
        <w:autoSpaceDN w:val="0"/>
        <w:adjustRightInd w:val="0"/>
        <w:spacing w:line="400" w:lineRule="exact"/>
        <w:ind w:firstLine="420" w:firstLineChars="200"/>
        <w:jc w:val="left"/>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w:t>
      </w:r>
      <w:r>
        <w:rPr>
          <w:rFonts w:hint="eastAsia" w:asciiTheme="minorEastAsia" w:hAnsiTheme="minorEastAsia" w:eastAsiaTheme="minorEastAsia"/>
          <w:color w:val="auto"/>
          <w:kern w:val="0"/>
          <w:szCs w:val="21"/>
          <w:highlight w:val="none"/>
        </w:rPr>
        <w:t>0</w:t>
      </w:r>
      <w:r>
        <w:rPr>
          <w:rFonts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rPr>
        <w:t>8若在项目实施过程中因谈判申请人的实施方案（或设计）不完善、或未认真理解采购方提供的相关资料及采购方要求、不满足现行国家相关规范要求等而需增加的投资等均属谈判申请人的责任，所产生费用全部由谈判申请人承担。</w:t>
      </w:r>
    </w:p>
    <w:p>
      <w:pPr>
        <w:spacing w:line="400" w:lineRule="exact"/>
        <w:ind w:firstLine="420" w:firstLineChars="200"/>
        <w:jc w:val="left"/>
        <w:rPr>
          <w:rFonts w:asciiTheme="minorEastAsia" w:hAnsiTheme="minorEastAsia" w:eastAsiaTheme="minorEastAsia"/>
          <w:b/>
          <w:color w:val="auto"/>
          <w:highlight w:val="none"/>
        </w:rPr>
      </w:pPr>
      <w:r>
        <w:rPr>
          <w:rFonts w:asciiTheme="minorEastAsia" w:hAnsiTheme="minorEastAsia" w:eastAsiaTheme="minorEastAsia"/>
          <w:color w:val="auto"/>
          <w:highlight w:val="none"/>
        </w:rPr>
        <w:t>10.</w:t>
      </w:r>
      <w:r>
        <w:rPr>
          <w:rFonts w:hint="eastAsia" w:asciiTheme="minorEastAsia" w:hAnsiTheme="minorEastAsia" w:eastAsiaTheme="minorEastAsia"/>
          <w:color w:val="auto"/>
          <w:highlight w:val="none"/>
        </w:rPr>
        <w:t>9</w:t>
      </w:r>
      <w:r>
        <w:rPr>
          <w:rFonts w:asciiTheme="minorEastAsia" w:hAnsiTheme="minorEastAsia" w:eastAsiaTheme="minorEastAsia"/>
          <w:b/>
          <w:color w:val="auto"/>
          <w:highlight w:val="none"/>
        </w:rPr>
        <w:t>通过</w:t>
      </w:r>
      <w:r>
        <w:rPr>
          <w:rFonts w:hint="eastAsia" w:asciiTheme="minorEastAsia" w:hAnsiTheme="minorEastAsia" w:eastAsiaTheme="minorEastAsia"/>
          <w:b/>
          <w:color w:val="auto"/>
          <w:highlight w:val="none"/>
        </w:rPr>
        <w:t>实质性审查</w:t>
      </w:r>
      <w:r>
        <w:rPr>
          <w:rFonts w:asciiTheme="minorEastAsia" w:hAnsiTheme="minorEastAsia" w:eastAsiaTheme="minorEastAsia"/>
          <w:b/>
          <w:color w:val="auto"/>
          <w:highlight w:val="none"/>
        </w:rPr>
        <w:t>的谈判申请人</w:t>
      </w:r>
      <w:r>
        <w:rPr>
          <w:rFonts w:hint="eastAsia" w:asciiTheme="minorEastAsia" w:hAnsiTheme="minorEastAsia" w:eastAsiaTheme="minorEastAsia"/>
          <w:b/>
          <w:color w:val="auto"/>
          <w:highlight w:val="none"/>
        </w:rPr>
        <w:t>才能进入谈判程序并</w:t>
      </w:r>
      <w:r>
        <w:rPr>
          <w:rFonts w:asciiTheme="minorEastAsia" w:hAnsiTheme="minorEastAsia" w:eastAsiaTheme="minorEastAsia"/>
          <w:b/>
          <w:color w:val="auto"/>
          <w:highlight w:val="none"/>
        </w:rPr>
        <w:t>进行第二轮报价，第二轮报价为最终报价。</w:t>
      </w:r>
    </w:p>
    <w:p>
      <w:pPr>
        <w:spacing w:line="400" w:lineRule="exact"/>
        <w:ind w:firstLine="420" w:firstLineChars="200"/>
        <w:jc w:val="left"/>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10.10最终报价文件应由法定代表人或委托代理人签字，在规定的时间统一递交。若已递交的最终报价文件若出现</w:t>
      </w:r>
      <w:r>
        <w:rPr>
          <w:rFonts w:asciiTheme="minorEastAsia" w:hAnsiTheme="minorEastAsia" w:eastAsiaTheme="minorEastAsia"/>
          <w:b/>
          <w:color w:val="auto"/>
          <w:highlight w:val="none"/>
        </w:rPr>
        <w:t>含义不明确、同类问题表述不一致或者</w:t>
      </w:r>
      <w:r>
        <w:rPr>
          <w:rFonts w:hint="eastAsia" w:asciiTheme="minorEastAsia" w:hAnsiTheme="minorEastAsia" w:eastAsiaTheme="minorEastAsia"/>
          <w:b/>
          <w:color w:val="auto"/>
          <w:highlight w:val="none"/>
        </w:rPr>
        <w:t>签署不完整、</w:t>
      </w:r>
      <w:r>
        <w:rPr>
          <w:rFonts w:asciiTheme="minorEastAsia" w:hAnsiTheme="minorEastAsia" w:eastAsiaTheme="minorEastAsia"/>
          <w:b/>
          <w:color w:val="auto"/>
          <w:highlight w:val="none"/>
        </w:rPr>
        <w:t>有明显文字和计算错误的</w:t>
      </w:r>
      <w:r>
        <w:rPr>
          <w:rFonts w:hint="eastAsia" w:asciiTheme="minorEastAsia" w:hAnsiTheme="minorEastAsia" w:eastAsiaTheme="minorEastAsia"/>
          <w:b/>
          <w:color w:val="auto"/>
          <w:highlight w:val="none"/>
        </w:rPr>
        <w:t>，可以进行澄清和补充，但不得改变最终报价文件中报价等</w:t>
      </w:r>
      <w:r>
        <w:rPr>
          <w:rFonts w:asciiTheme="minorEastAsia" w:hAnsiTheme="minorEastAsia" w:eastAsiaTheme="minorEastAsia"/>
          <w:b/>
          <w:color w:val="auto"/>
          <w:highlight w:val="none"/>
        </w:rPr>
        <w:t>实质性内容（算术性错误修正的除外）</w:t>
      </w:r>
      <w:r>
        <w:rPr>
          <w:rFonts w:hint="eastAsia" w:asciiTheme="minorEastAsia" w:hAnsiTheme="minorEastAsia" w:eastAsiaTheme="minorEastAsia"/>
          <w:b/>
          <w:color w:val="auto"/>
          <w:highlight w:val="none"/>
        </w:rPr>
        <w:t>。</w:t>
      </w:r>
    </w:p>
    <w:p>
      <w:pPr>
        <w:spacing w:line="400" w:lineRule="exact"/>
        <w:ind w:firstLine="420" w:firstLineChars="200"/>
        <w:jc w:val="left"/>
        <w:rPr>
          <w:rFonts w:asciiTheme="minorEastAsia" w:hAnsiTheme="minorEastAsia" w:eastAsiaTheme="minorEastAsia"/>
          <w:b/>
          <w:color w:val="auto"/>
          <w:szCs w:val="21"/>
          <w:highlight w:val="none"/>
        </w:rPr>
      </w:pPr>
      <w:r>
        <w:rPr>
          <w:rFonts w:cs="宋体" w:asciiTheme="minorEastAsia" w:hAnsiTheme="minorEastAsia" w:eastAsiaTheme="minorEastAsia"/>
          <w:color w:val="auto"/>
          <w:kern w:val="0"/>
          <w:szCs w:val="21"/>
          <w:highlight w:val="none"/>
        </w:rPr>
        <w:t>谈判申请人的澄清、说明或者更正应当由法定代表人或其授权代表签字或者加盖公章。由授权代表签字的，应当附法定代表人授权书。谈判申请人为自然人的，应当由本人签字并附身份证明。</w:t>
      </w:r>
    </w:p>
    <w:p>
      <w:pPr>
        <w:adjustRightInd w:val="0"/>
        <w:spacing w:line="400" w:lineRule="exact"/>
        <w:ind w:firstLine="42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10.</w:t>
      </w:r>
      <w:r>
        <w:rPr>
          <w:rFonts w:hint="eastAsia" w:asciiTheme="minorEastAsia" w:hAnsiTheme="minorEastAsia" w:eastAsiaTheme="minorEastAsia"/>
          <w:color w:val="auto"/>
          <w:highlight w:val="none"/>
        </w:rPr>
        <w:t>11</w:t>
      </w:r>
      <w:r>
        <w:rPr>
          <w:rFonts w:asciiTheme="minorEastAsia" w:hAnsiTheme="minorEastAsia" w:eastAsiaTheme="minorEastAsia"/>
          <w:color w:val="auto"/>
          <w:highlight w:val="none"/>
        </w:rPr>
        <w:t>谈判申请人不得哄抬报价，也不应低于成本价</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或进价</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报价。谈判小组认为谈判申请人的最低报价或者某些分项报价明显不合理或者低于成本，有可能影响商品质量和不能诚信履约的，将要求其在规定的期限内提供书面文件予以解释说明，并提交相关证明材料。否则，谈判小组可以取消该谈判申请人的成交候选资格。</w:t>
      </w:r>
    </w:p>
    <w:p>
      <w:pPr>
        <w:adjustRightInd w:val="0"/>
        <w:spacing w:line="400" w:lineRule="exact"/>
        <w:ind w:firstLine="420" w:firstLineChars="200"/>
        <w:rPr>
          <w:rFonts w:asciiTheme="minorEastAsia" w:hAnsiTheme="minorEastAsia" w:eastAsiaTheme="minorEastAsia"/>
          <w:color w:val="auto"/>
          <w:highlight w:val="none"/>
        </w:rPr>
      </w:pPr>
      <w:r>
        <w:rPr>
          <w:rFonts w:asciiTheme="minorEastAsia" w:hAnsiTheme="minorEastAsia" w:eastAsiaTheme="minorEastAsia"/>
          <w:color w:val="auto"/>
          <w:highlight w:val="none"/>
        </w:rPr>
        <w:t>10.</w:t>
      </w:r>
      <w:r>
        <w:rPr>
          <w:rFonts w:hint="eastAsia" w:asciiTheme="minorEastAsia" w:hAnsiTheme="minorEastAsia" w:eastAsiaTheme="minorEastAsia"/>
          <w:color w:val="auto"/>
          <w:highlight w:val="none"/>
        </w:rPr>
        <w:t>12</w:t>
      </w:r>
      <w:r>
        <w:rPr>
          <w:rFonts w:asciiTheme="minorEastAsia" w:hAnsiTheme="minorEastAsia" w:eastAsiaTheme="minorEastAsia"/>
          <w:color w:val="auto"/>
          <w:highlight w:val="none"/>
        </w:rPr>
        <w:t>报价货币为人民币。</w:t>
      </w:r>
    </w:p>
    <w:p>
      <w:pPr>
        <w:keepNext/>
        <w:keepLines/>
        <w:tabs>
          <w:tab w:val="left" w:pos="786"/>
          <w:tab w:val="left" w:pos="900"/>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170" w:name="_Toc107864013"/>
      <w:bookmarkStart w:id="171" w:name="_Toc490599217"/>
      <w:bookmarkStart w:id="172" w:name="_Toc519163196"/>
      <w:bookmarkStart w:id="173" w:name="_Toc86124058"/>
      <w:bookmarkStart w:id="174" w:name="_Toc385344450"/>
      <w:bookmarkStart w:id="175" w:name="_Toc130562750"/>
      <w:bookmarkStart w:id="176" w:name="_Toc329810198"/>
      <w:bookmarkStart w:id="177" w:name="_Toc130564893"/>
      <w:bookmarkStart w:id="178" w:name="_Toc139987922"/>
      <w:bookmarkStart w:id="179" w:name="_Toc130564326"/>
      <w:bookmarkStart w:id="180" w:name="_Toc24182"/>
      <w:r>
        <w:rPr>
          <w:rFonts w:hint="eastAsia" w:asciiTheme="minorEastAsia" w:hAnsiTheme="minorEastAsia" w:eastAsiaTheme="minorEastAsia"/>
          <w:b/>
          <w:bCs/>
          <w:color w:val="auto"/>
          <w:sz w:val="24"/>
          <w:highlight w:val="none"/>
        </w:rPr>
        <w:t>11.</w:t>
      </w:r>
      <w:r>
        <w:rPr>
          <w:rFonts w:asciiTheme="minorEastAsia" w:hAnsiTheme="minorEastAsia" w:eastAsiaTheme="minorEastAsia"/>
          <w:b/>
          <w:bCs/>
          <w:color w:val="auto"/>
          <w:sz w:val="24"/>
          <w:highlight w:val="none"/>
        </w:rPr>
        <w:t>有效期</w:t>
      </w:r>
      <w:bookmarkEnd w:id="170"/>
      <w:bookmarkEnd w:id="171"/>
      <w:bookmarkEnd w:id="172"/>
      <w:bookmarkEnd w:id="173"/>
      <w:bookmarkEnd w:id="174"/>
      <w:bookmarkEnd w:id="175"/>
      <w:bookmarkEnd w:id="176"/>
      <w:bookmarkEnd w:id="177"/>
      <w:bookmarkEnd w:id="178"/>
      <w:bookmarkEnd w:id="179"/>
      <w:bookmarkEnd w:id="180"/>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11.1 在“</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”规定的有效期内，谈判申请人不得要求撤销或修改其响应文件。</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11.2 因特殊情况需要延长有效期的，采购代理机构以书面形式通知所有谈判申请人延长有效期。谈判申请人同意延长的，应相应延长其保证金的有效期，但不得要求或被允许修改或撤销其响应文件；谈判申请人拒绝延长的，其</w:t>
      </w:r>
      <w:r>
        <w:rPr>
          <w:rFonts w:hint="eastAsia" w:asciiTheme="minorEastAsia" w:hAnsiTheme="minorEastAsia" w:eastAsiaTheme="minorEastAsia"/>
          <w:color w:val="auto"/>
          <w:highlight w:val="none"/>
        </w:rPr>
        <w:t>响应文件</w:t>
      </w:r>
      <w:r>
        <w:rPr>
          <w:rFonts w:asciiTheme="minorEastAsia" w:hAnsiTheme="minorEastAsia" w:eastAsiaTheme="minorEastAsia"/>
          <w:color w:val="auto"/>
          <w:highlight w:val="none"/>
        </w:rPr>
        <w:t>失效，但谈判申请人有权收回其保证金。</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181" w:name="_Toc86124059"/>
      <w:bookmarkStart w:id="182" w:name="_Toc329810199"/>
      <w:bookmarkStart w:id="183" w:name="_Toc385344451"/>
      <w:bookmarkStart w:id="184" w:name="_Toc130564327"/>
      <w:bookmarkStart w:id="185" w:name="_Toc519163197"/>
      <w:bookmarkStart w:id="186" w:name="_Toc130564894"/>
      <w:bookmarkStart w:id="187" w:name="_Toc107864014"/>
      <w:bookmarkStart w:id="188" w:name="_Toc490599218"/>
      <w:bookmarkStart w:id="189" w:name="_Toc130562751"/>
      <w:bookmarkStart w:id="190" w:name="_Toc139987923"/>
      <w:bookmarkStart w:id="191" w:name="_Toc22960"/>
      <w:r>
        <w:rPr>
          <w:rFonts w:hint="eastAsia" w:asciiTheme="minorEastAsia" w:hAnsiTheme="minorEastAsia" w:eastAsiaTheme="minorEastAsia"/>
          <w:b/>
          <w:bCs/>
          <w:color w:val="auto"/>
          <w:sz w:val="24"/>
          <w:highlight w:val="none"/>
        </w:rPr>
        <w:t>12.</w:t>
      </w:r>
      <w:r>
        <w:rPr>
          <w:rFonts w:asciiTheme="minorEastAsia" w:hAnsiTheme="minorEastAsia" w:eastAsiaTheme="minorEastAsia"/>
          <w:b/>
          <w:bCs/>
          <w:color w:val="auto"/>
          <w:sz w:val="24"/>
          <w:highlight w:val="none"/>
        </w:rPr>
        <w:t>响应文件的</w:t>
      </w:r>
      <w:bookmarkEnd w:id="181"/>
      <w:bookmarkEnd w:id="182"/>
      <w:r>
        <w:rPr>
          <w:rFonts w:hint="eastAsia" w:asciiTheme="minorEastAsia" w:hAnsiTheme="minorEastAsia" w:eastAsiaTheme="minorEastAsia"/>
          <w:b/>
          <w:bCs/>
          <w:color w:val="auto"/>
          <w:sz w:val="24"/>
          <w:highlight w:val="none"/>
        </w:rPr>
        <w:t>编制</w:t>
      </w:r>
      <w:bookmarkEnd w:id="183"/>
      <w:bookmarkEnd w:id="184"/>
      <w:bookmarkEnd w:id="185"/>
      <w:bookmarkEnd w:id="186"/>
      <w:bookmarkEnd w:id="187"/>
      <w:bookmarkEnd w:id="188"/>
      <w:bookmarkEnd w:id="189"/>
      <w:bookmarkEnd w:id="190"/>
      <w:bookmarkEnd w:id="191"/>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12.1 响应文件须用不褪色的墨水书写或打印。并按谈判文件要求由谈判申请人的法定代表人或其委托代理人签字或盖单位章。</w:t>
      </w:r>
      <w:r>
        <w:rPr>
          <w:rFonts w:asciiTheme="minorEastAsia" w:hAnsiTheme="minorEastAsia" w:eastAsiaTheme="minorEastAsia"/>
          <w:b/>
          <w:color w:val="auto"/>
          <w:highlight w:val="none"/>
        </w:rPr>
        <w:t>委托代理人签字的，响应文件应附法定代表人签署的授权委托书。</w:t>
      </w:r>
    </w:p>
    <w:p>
      <w:pPr>
        <w:spacing w:line="400" w:lineRule="exact"/>
        <w:ind w:firstLine="367" w:firstLineChars="175"/>
        <w:rPr>
          <w:rFonts w:asciiTheme="minorEastAsia" w:hAnsiTheme="minorEastAsia" w:eastAsiaTheme="minorEastAsia"/>
          <w:color w:val="auto"/>
          <w:highlight w:val="none"/>
        </w:rPr>
      </w:pPr>
      <w:r>
        <w:rPr>
          <w:rFonts w:asciiTheme="minorEastAsia" w:hAnsiTheme="minorEastAsia" w:eastAsiaTheme="minorEastAsia"/>
          <w:color w:val="auto"/>
          <w:highlight w:val="none"/>
        </w:rPr>
        <w:t>12.2 响应文件应尽量避免涂改、行间插字或删除。如果出现上述情况，改动之处应加盖单位章或谈判申请人法定代表人或其授权的代理人签字确认。</w:t>
      </w:r>
    </w:p>
    <w:p>
      <w:pPr>
        <w:spacing w:line="400" w:lineRule="exact"/>
        <w:ind w:firstLine="367" w:firstLineChars="17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12.3</w:t>
      </w:r>
      <w:r>
        <w:rPr>
          <w:rFonts w:asciiTheme="minorEastAsia" w:hAnsiTheme="minorEastAsia" w:eastAsiaTheme="minorEastAsia"/>
          <w:color w:val="auto"/>
          <w:highlight w:val="none"/>
        </w:rPr>
        <w:t>响应文件</w:t>
      </w:r>
      <w:r>
        <w:rPr>
          <w:rFonts w:hint="eastAsia" w:asciiTheme="minorEastAsia" w:hAnsiTheme="minorEastAsia" w:eastAsiaTheme="minorEastAsia"/>
          <w:color w:val="auto"/>
          <w:highlight w:val="none"/>
        </w:rPr>
        <w:t>应由法定代表人或其委托代理人在凡规定签字（或盖章）处逐一签字或盖章，</w:t>
      </w:r>
      <w:r>
        <w:rPr>
          <w:rFonts w:asciiTheme="minorEastAsia" w:hAnsiTheme="minorEastAsia" w:eastAsiaTheme="minorEastAsia"/>
          <w:color w:val="auto"/>
          <w:highlight w:val="none"/>
        </w:rPr>
        <w:t>要求</w:t>
      </w:r>
      <w:r>
        <w:rPr>
          <w:rFonts w:hint="eastAsia" w:asciiTheme="minorEastAsia" w:hAnsiTheme="minorEastAsia" w:eastAsiaTheme="minorEastAsia"/>
          <w:color w:val="auto"/>
          <w:highlight w:val="none"/>
        </w:rPr>
        <w:t>盖</w:t>
      </w:r>
      <w:r>
        <w:rPr>
          <w:rFonts w:asciiTheme="minorEastAsia" w:hAnsiTheme="minorEastAsia" w:eastAsiaTheme="minorEastAsia"/>
          <w:color w:val="auto"/>
          <w:highlight w:val="none"/>
        </w:rPr>
        <w:t>章处应盖</w:t>
      </w:r>
      <w:r>
        <w:rPr>
          <w:rFonts w:hint="eastAsia" w:asciiTheme="minorEastAsia" w:hAnsiTheme="minorEastAsia" w:eastAsiaTheme="minorEastAsia"/>
          <w:color w:val="auto"/>
          <w:highlight w:val="none"/>
        </w:rPr>
        <w:t>单位章，若以谈判专用章或合同专用章代替的，须出具谈判申请人单位公章对谈判专用章或合同专用章的授权函原件。</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12.</w:t>
      </w: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 xml:space="preserve"> 响应文件应准备正本一份，并按“</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”中规定的数量准备文件的副本。响应文件封面上应标明“</w:t>
      </w:r>
      <w:r>
        <w:rPr>
          <w:rFonts w:asciiTheme="minorEastAsia" w:hAnsiTheme="minorEastAsia" w:eastAsiaTheme="minorEastAsia"/>
          <w:b/>
          <w:color w:val="auto"/>
          <w:highlight w:val="none"/>
        </w:rPr>
        <w:t>正本</w:t>
      </w:r>
      <w:r>
        <w:rPr>
          <w:rFonts w:asciiTheme="minorEastAsia" w:hAnsiTheme="minorEastAsia" w:eastAsiaTheme="minorEastAsia"/>
          <w:color w:val="auto"/>
          <w:highlight w:val="none"/>
        </w:rPr>
        <w:t>”或“</w:t>
      </w:r>
      <w:r>
        <w:rPr>
          <w:rFonts w:asciiTheme="minorEastAsia" w:hAnsiTheme="minorEastAsia" w:eastAsiaTheme="minorEastAsia"/>
          <w:b/>
          <w:color w:val="auto"/>
          <w:highlight w:val="none"/>
        </w:rPr>
        <w:t>副本</w:t>
      </w:r>
      <w:r>
        <w:rPr>
          <w:rFonts w:asciiTheme="minorEastAsia" w:hAnsiTheme="minorEastAsia" w:eastAsiaTheme="minorEastAsia"/>
          <w:color w:val="auto"/>
          <w:highlight w:val="none"/>
        </w:rPr>
        <w:t>”以及项目名称、项目编号、谈判申请人名称</w:t>
      </w:r>
      <w:r>
        <w:rPr>
          <w:rFonts w:hint="eastAsia" w:asciiTheme="minorEastAsia" w:hAnsiTheme="minorEastAsia" w:eastAsiaTheme="minorEastAsia"/>
          <w:color w:val="auto"/>
          <w:highlight w:val="none"/>
        </w:rPr>
        <w:t>、包号（分包时）</w:t>
      </w:r>
      <w:r>
        <w:rPr>
          <w:rFonts w:asciiTheme="minorEastAsia" w:hAnsiTheme="minorEastAsia" w:eastAsiaTheme="minorEastAsia"/>
          <w:color w:val="auto"/>
          <w:highlight w:val="none"/>
        </w:rPr>
        <w:t>等内容。若正本和副本不符，以正本为准。</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12.5 响应文件正本与副本应分别装订成册，并编制目录。响应文件装订应牢固，不得采用活页夹，并要求逐页标注连续页码。</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192" w:name="_Toc385344452"/>
      <w:bookmarkStart w:id="193" w:name="_Toc130562752"/>
      <w:bookmarkStart w:id="194" w:name="_Toc130564328"/>
      <w:bookmarkStart w:id="195" w:name="_Toc329810200"/>
      <w:bookmarkStart w:id="196" w:name="_Toc107864015"/>
      <w:bookmarkStart w:id="197" w:name="_Toc490599219"/>
      <w:bookmarkStart w:id="198" w:name="_Toc519163198"/>
      <w:bookmarkStart w:id="199" w:name="_Toc139987924"/>
      <w:bookmarkStart w:id="200" w:name="_Toc130564895"/>
      <w:bookmarkStart w:id="201" w:name="_Toc17968"/>
      <w:r>
        <w:rPr>
          <w:rFonts w:hint="eastAsia" w:asciiTheme="minorEastAsia" w:hAnsiTheme="minorEastAsia" w:eastAsiaTheme="minorEastAsia"/>
          <w:b/>
          <w:bCs/>
          <w:color w:val="auto"/>
          <w:sz w:val="24"/>
          <w:highlight w:val="none"/>
        </w:rPr>
        <w:t>13.谈判</w:t>
      </w:r>
      <w:r>
        <w:rPr>
          <w:rFonts w:asciiTheme="minorEastAsia" w:hAnsiTheme="minorEastAsia" w:eastAsiaTheme="minorEastAsia"/>
          <w:b/>
          <w:bCs/>
          <w:color w:val="auto"/>
          <w:sz w:val="24"/>
          <w:highlight w:val="none"/>
        </w:rPr>
        <w:t>保证金</w:t>
      </w:r>
      <w:bookmarkEnd w:id="192"/>
      <w:bookmarkEnd w:id="193"/>
      <w:bookmarkEnd w:id="194"/>
      <w:bookmarkEnd w:id="195"/>
      <w:bookmarkEnd w:id="196"/>
      <w:bookmarkEnd w:id="197"/>
      <w:bookmarkEnd w:id="198"/>
      <w:bookmarkEnd w:id="199"/>
      <w:bookmarkEnd w:id="200"/>
      <w:bookmarkEnd w:id="201"/>
    </w:p>
    <w:p>
      <w:pPr>
        <w:spacing w:line="400" w:lineRule="exact"/>
        <w:ind w:firstLine="420" w:firstLineChars="200"/>
        <w:jc w:val="left"/>
        <w:rPr>
          <w:rFonts w:hint="eastAsia" w:cs="Times New Roman" w:asciiTheme="minorEastAsia" w:hAnsiTheme="minorEastAsia" w:eastAsiaTheme="minorEastAsia"/>
          <w:color w:val="auto"/>
          <w:highlight w:val="none"/>
          <w:lang w:val="en-US" w:eastAsia="zh-CN"/>
        </w:rPr>
      </w:pPr>
      <w:bookmarkStart w:id="202" w:name="_Toc17051"/>
      <w:bookmarkStart w:id="203" w:name="_Toc490599220"/>
      <w:bookmarkStart w:id="204" w:name="_Toc139987925"/>
      <w:bookmarkStart w:id="205" w:name="_Toc86124061"/>
      <w:bookmarkStart w:id="206" w:name="_Toc130564896"/>
      <w:bookmarkStart w:id="207" w:name="_Toc519163199"/>
      <w:r>
        <w:rPr>
          <w:rFonts w:hint="eastAsia" w:cs="Times New Roman" w:asciiTheme="minorEastAsia" w:hAnsiTheme="minorEastAsia" w:eastAsiaTheme="minorEastAsia"/>
          <w:color w:val="auto"/>
          <w:highlight w:val="none"/>
          <w:lang w:val="en-US" w:eastAsia="zh-CN"/>
        </w:rPr>
        <w:t>无</w:t>
      </w:r>
      <w:bookmarkEnd w:id="202"/>
    </w:p>
    <w:p>
      <w:pPr>
        <w:keepNext/>
        <w:keepLines/>
        <w:spacing w:after="120" w:line="440" w:lineRule="exact"/>
        <w:jc w:val="center"/>
        <w:outlineLvl w:val="1"/>
        <w:rPr>
          <w:rFonts w:asciiTheme="minorEastAsia" w:hAnsiTheme="minorEastAsia" w:eastAsiaTheme="minorEastAsia"/>
          <w:b/>
          <w:bCs/>
          <w:color w:val="auto"/>
          <w:sz w:val="28"/>
          <w:szCs w:val="28"/>
          <w:highlight w:val="none"/>
        </w:rPr>
      </w:pPr>
      <w:bookmarkStart w:id="208" w:name="_Toc12872"/>
      <w:r>
        <w:rPr>
          <w:rFonts w:asciiTheme="minorEastAsia" w:hAnsiTheme="minorEastAsia" w:eastAsiaTheme="minorEastAsia"/>
          <w:b/>
          <w:bCs/>
          <w:color w:val="auto"/>
          <w:sz w:val="28"/>
          <w:szCs w:val="28"/>
          <w:highlight w:val="none"/>
        </w:rPr>
        <w:t>四、响应文件的提交</w:t>
      </w:r>
      <w:bookmarkEnd w:id="203"/>
      <w:bookmarkEnd w:id="204"/>
      <w:bookmarkEnd w:id="205"/>
      <w:bookmarkEnd w:id="206"/>
      <w:bookmarkEnd w:id="207"/>
      <w:bookmarkEnd w:id="208"/>
    </w:p>
    <w:p>
      <w:pPr>
        <w:keepNext/>
        <w:keepLines/>
        <w:tabs>
          <w:tab w:val="left" w:pos="360"/>
          <w:tab w:val="left" w:pos="786"/>
        </w:tabs>
        <w:spacing w:after="120" w:line="440" w:lineRule="exact"/>
        <w:ind w:firstLine="480" w:firstLineChars="200"/>
        <w:jc w:val="left"/>
        <w:outlineLvl w:val="2"/>
        <w:rPr>
          <w:rFonts w:asciiTheme="minorEastAsia" w:hAnsiTheme="minorEastAsia" w:eastAsiaTheme="minorEastAsia"/>
          <w:b/>
          <w:bCs/>
          <w:color w:val="auto"/>
          <w:sz w:val="24"/>
          <w:highlight w:val="none"/>
        </w:rPr>
      </w:pPr>
      <w:bookmarkStart w:id="209" w:name="_Toc139987926"/>
      <w:bookmarkStart w:id="210" w:name="_Toc490599221"/>
      <w:bookmarkStart w:id="211" w:name="_Toc519163200"/>
      <w:bookmarkStart w:id="212" w:name="_Toc107864017"/>
      <w:bookmarkStart w:id="213" w:name="_Toc130564330"/>
      <w:bookmarkStart w:id="214" w:name="_Toc130562754"/>
      <w:bookmarkStart w:id="215" w:name="_Toc86124062"/>
      <w:bookmarkStart w:id="216" w:name="_Toc29797"/>
      <w:bookmarkStart w:id="217" w:name="_Toc130564897"/>
      <w:bookmarkStart w:id="218" w:name="_Toc385344454"/>
      <w:bookmarkStart w:id="219" w:name="_Toc329810202"/>
      <w:r>
        <w:rPr>
          <w:rFonts w:hint="eastAsia" w:asciiTheme="minorEastAsia" w:hAnsiTheme="minorEastAsia" w:eastAsiaTheme="minorEastAsia"/>
          <w:b/>
          <w:bCs/>
          <w:color w:val="auto"/>
          <w:sz w:val="24"/>
          <w:highlight w:val="none"/>
        </w:rPr>
        <w:t>14.</w:t>
      </w:r>
      <w:r>
        <w:rPr>
          <w:rFonts w:asciiTheme="minorEastAsia" w:hAnsiTheme="minorEastAsia" w:eastAsiaTheme="minorEastAsia"/>
          <w:b/>
          <w:bCs/>
          <w:color w:val="auto"/>
          <w:sz w:val="24"/>
          <w:highlight w:val="none"/>
        </w:rPr>
        <w:t>响应文件的密封与标记</w:t>
      </w:r>
      <w:bookmarkEnd w:id="209"/>
      <w:bookmarkEnd w:id="210"/>
      <w:bookmarkEnd w:id="211"/>
      <w:bookmarkEnd w:id="212"/>
      <w:bookmarkEnd w:id="213"/>
      <w:bookmarkEnd w:id="214"/>
      <w:bookmarkEnd w:id="215"/>
      <w:bookmarkEnd w:id="216"/>
      <w:bookmarkEnd w:id="217"/>
      <w:bookmarkEnd w:id="218"/>
      <w:bookmarkEnd w:id="219"/>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14.1 谈判申请人应按“</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”中规定的正本和副本的数量提交响应文件。</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14.2 谈判申请人应将正、副本文件加以密封，并在封贴处盖密封章（或公章）。</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14.3 响应文件袋的封面应注明项目名称、项目编号、谈判申请人名称、详细通讯地址、邮政编码。</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220" w:name="_Toc329810203"/>
      <w:bookmarkStart w:id="221" w:name="_Toc519163201"/>
      <w:bookmarkStart w:id="222" w:name="_Toc31447"/>
      <w:bookmarkStart w:id="223" w:name="_Toc130564331"/>
      <w:bookmarkStart w:id="224" w:name="_Toc130564898"/>
      <w:bookmarkStart w:id="225" w:name="_Toc139987927"/>
      <w:bookmarkStart w:id="226" w:name="_Toc490599222"/>
      <w:bookmarkStart w:id="227" w:name="_Toc86124063"/>
      <w:bookmarkStart w:id="228" w:name="_Toc385344455"/>
      <w:bookmarkStart w:id="229" w:name="_Toc107864018"/>
      <w:bookmarkStart w:id="230" w:name="_Toc130562755"/>
      <w:r>
        <w:rPr>
          <w:rFonts w:hint="eastAsia" w:asciiTheme="minorEastAsia" w:hAnsiTheme="minorEastAsia" w:eastAsiaTheme="minorEastAsia"/>
          <w:b/>
          <w:bCs/>
          <w:color w:val="auto"/>
          <w:sz w:val="24"/>
          <w:highlight w:val="none"/>
        </w:rPr>
        <w:t>15.</w:t>
      </w:r>
      <w:r>
        <w:rPr>
          <w:rFonts w:asciiTheme="minorEastAsia" w:hAnsiTheme="minorEastAsia" w:eastAsiaTheme="minorEastAsia"/>
          <w:b/>
          <w:bCs/>
          <w:color w:val="auto"/>
          <w:sz w:val="24"/>
          <w:highlight w:val="none"/>
        </w:rPr>
        <w:t>递交响应文件的截止时间和地点</w:t>
      </w:r>
      <w:bookmarkEnd w:id="220"/>
      <w:bookmarkEnd w:id="221"/>
      <w:bookmarkEnd w:id="222"/>
      <w:bookmarkEnd w:id="223"/>
      <w:bookmarkEnd w:id="224"/>
      <w:bookmarkEnd w:id="225"/>
      <w:bookmarkEnd w:id="226"/>
      <w:bookmarkEnd w:id="227"/>
      <w:bookmarkEnd w:id="228"/>
      <w:bookmarkEnd w:id="229"/>
      <w:bookmarkEnd w:id="230"/>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15.1 响应文件的递交不得迟于“</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”规定的递交响应文件截止时间。</w:t>
      </w:r>
      <w:r>
        <w:rPr>
          <w:rFonts w:hint="eastAsia" w:asciiTheme="minorEastAsia" w:hAnsiTheme="minorEastAsia" w:eastAsiaTheme="minorEastAsia"/>
          <w:b/>
          <w:color w:val="auto"/>
          <w:highlight w:val="none"/>
        </w:rPr>
        <w:t>逾期送达的响应文件，招标人不予接收。</w:t>
      </w:r>
    </w:p>
    <w:p>
      <w:pPr>
        <w:spacing w:line="400" w:lineRule="exact"/>
        <w:ind w:firstLine="420" w:firstLineChars="200"/>
        <w:jc w:val="left"/>
        <w:rPr>
          <w:rFonts w:asciiTheme="minorEastAsia" w:hAnsiTheme="minorEastAsia" w:eastAsiaTheme="minorEastAsia"/>
          <w:b/>
          <w:color w:val="auto"/>
          <w:highlight w:val="none"/>
        </w:rPr>
      </w:pPr>
      <w:r>
        <w:rPr>
          <w:rFonts w:asciiTheme="minorEastAsia" w:hAnsiTheme="minorEastAsia" w:eastAsiaTheme="minorEastAsia"/>
          <w:color w:val="auto"/>
          <w:highlight w:val="none"/>
        </w:rPr>
        <w:t>15.2 谈判申请人必须在规定时间内将响应文件递交到“</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”规定的地点。</w:t>
      </w:r>
    </w:p>
    <w:p>
      <w:pPr>
        <w:spacing w:line="40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highlight w:val="none"/>
        </w:rPr>
        <w:t>15.3</w:t>
      </w:r>
      <w:r>
        <w:rPr>
          <w:rFonts w:asciiTheme="minorEastAsia" w:hAnsiTheme="minorEastAsia" w:eastAsiaTheme="minorEastAsia"/>
          <w:color w:val="auto"/>
          <w:szCs w:val="21"/>
          <w:highlight w:val="none"/>
        </w:rPr>
        <w:t>除“</w:t>
      </w:r>
      <w:r>
        <w:rPr>
          <w:rFonts w:hint="eastAsia" w:asciiTheme="minorEastAsia" w:hAnsiTheme="minorEastAsia" w:eastAsiaTheme="minorEastAsia"/>
          <w:b/>
          <w:color w:val="auto"/>
          <w:szCs w:val="21"/>
          <w:highlight w:val="none"/>
        </w:rPr>
        <w:t>谈判申请人</w:t>
      </w:r>
      <w:r>
        <w:rPr>
          <w:rFonts w:asciiTheme="minorEastAsia" w:hAnsiTheme="minorEastAsia" w:eastAsiaTheme="minorEastAsia"/>
          <w:b/>
          <w:color w:val="auto"/>
          <w:szCs w:val="21"/>
          <w:highlight w:val="none"/>
        </w:rPr>
        <w:t>须知前附表</w:t>
      </w:r>
      <w:r>
        <w:rPr>
          <w:rFonts w:asciiTheme="minorEastAsia" w:hAnsiTheme="minorEastAsia" w:eastAsiaTheme="minorEastAsia"/>
          <w:color w:val="auto"/>
          <w:szCs w:val="21"/>
          <w:highlight w:val="none"/>
        </w:rPr>
        <w:t>”另有规定外，谈判申请人所递交的响应文件不予退还</w:t>
      </w:r>
      <w:r>
        <w:rPr>
          <w:rFonts w:hint="eastAsia" w:asciiTheme="minorEastAsia" w:hAnsiTheme="minorEastAsia" w:eastAsiaTheme="minorEastAsia"/>
          <w:color w:val="auto"/>
          <w:szCs w:val="21"/>
          <w:highlight w:val="none"/>
        </w:rPr>
        <w:t>。</w:t>
      </w:r>
    </w:p>
    <w:p>
      <w:pPr>
        <w:keepNext/>
        <w:keepLines/>
        <w:spacing w:after="120"/>
        <w:jc w:val="center"/>
        <w:outlineLvl w:val="1"/>
        <w:rPr>
          <w:rFonts w:asciiTheme="minorEastAsia" w:hAnsiTheme="minorEastAsia" w:eastAsiaTheme="minorEastAsia"/>
          <w:b/>
          <w:bCs/>
          <w:color w:val="auto"/>
          <w:sz w:val="28"/>
          <w:szCs w:val="28"/>
          <w:highlight w:val="none"/>
        </w:rPr>
      </w:pPr>
      <w:bookmarkStart w:id="231" w:name="_Toc86124064"/>
      <w:bookmarkStart w:id="232" w:name="_Toc519163202"/>
      <w:bookmarkStart w:id="233" w:name="_Toc139987928"/>
      <w:bookmarkStart w:id="234" w:name="_Toc490599223"/>
      <w:bookmarkStart w:id="235" w:name="_Toc16533"/>
      <w:bookmarkStart w:id="236" w:name="_Toc130564899"/>
      <w:r>
        <w:rPr>
          <w:rFonts w:asciiTheme="minorEastAsia" w:hAnsiTheme="minorEastAsia" w:eastAsiaTheme="minorEastAsia"/>
          <w:b/>
          <w:bCs/>
          <w:color w:val="auto"/>
          <w:sz w:val="28"/>
          <w:szCs w:val="28"/>
          <w:highlight w:val="none"/>
        </w:rPr>
        <w:t>五、谈判</w:t>
      </w:r>
      <w:bookmarkEnd w:id="231"/>
      <w:bookmarkEnd w:id="232"/>
      <w:bookmarkEnd w:id="233"/>
      <w:bookmarkEnd w:id="234"/>
      <w:bookmarkEnd w:id="235"/>
      <w:bookmarkEnd w:id="236"/>
    </w:p>
    <w:p>
      <w:pPr>
        <w:keepNext/>
        <w:keepLines/>
        <w:tabs>
          <w:tab w:val="left" w:pos="360"/>
          <w:tab w:val="left" w:pos="786"/>
        </w:tabs>
        <w:spacing w:after="120" w:line="360" w:lineRule="exact"/>
        <w:ind w:firstLine="480" w:firstLineChars="200"/>
        <w:jc w:val="left"/>
        <w:outlineLvl w:val="2"/>
        <w:rPr>
          <w:rFonts w:asciiTheme="minorEastAsia" w:hAnsiTheme="minorEastAsia" w:eastAsiaTheme="minorEastAsia"/>
          <w:b/>
          <w:bCs/>
          <w:color w:val="auto"/>
          <w:sz w:val="24"/>
          <w:highlight w:val="none"/>
        </w:rPr>
      </w:pPr>
      <w:bookmarkStart w:id="237" w:name="_Toc139987929"/>
      <w:bookmarkStart w:id="238" w:name="_Toc130562757"/>
      <w:bookmarkStart w:id="239" w:name="_Toc130564900"/>
      <w:bookmarkStart w:id="240" w:name="_Toc107864020"/>
      <w:bookmarkStart w:id="241" w:name="_Toc130564333"/>
      <w:bookmarkStart w:id="242" w:name="_Toc329810205"/>
      <w:bookmarkStart w:id="243" w:name="_Toc385344457"/>
      <w:bookmarkStart w:id="244" w:name="_Toc490599224"/>
      <w:bookmarkStart w:id="245" w:name="_Toc519163203"/>
      <w:bookmarkStart w:id="246" w:name="_Toc26059"/>
      <w:r>
        <w:rPr>
          <w:rFonts w:hint="eastAsia" w:asciiTheme="minorEastAsia" w:hAnsiTheme="minorEastAsia" w:eastAsiaTheme="minorEastAsia"/>
          <w:b/>
          <w:bCs/>
          <w:color w:val="auto"/>
          <w:sz w:val="24"/>
          <w:highlight w:val="none"/>
        </w:rPr>
        <w:t>16.</w:t>
      </w:r>
      <w:r>
        <w:rPr>
          <w:rFonts w:asciiTheme="minorEastAsia" w:hAnsiTheme="minorEastAsia" w:eastAsiaTheme="minorEastAsia"/>
          <w:b/>
          <w:bCs/>
          <w:color w:val="auto"/>
          <w:sz w:val="24"/>
          <w:highlight w:val="none"/>
        </w:rPr>
        <w:t>谈判</w:t>
      </w:r>
      <w:bookmarkEnd w:id="237"/>
      <w:bookmarkEnd w:id="238"/>
      <w:bookmarkEnd w:id="239"/>
      <w:bookmarkEnd w:id="240"/>
      <w:bookmarkEnd w:id="241"/>
      <w:bookmarkEnd w:id="242"/>
      <w:bookmarkEnd w:id="243"/>
      <w:bookmarkEnd w:id="244"/>
      <w:bookmarkEnd w:id="245"/>
      <w:bookmarkEnd w:id="246"/>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16.1</w:t>
      </w:r>
      <w:r>
        <w:rPr>
          <w:rFonts w:hint="eastAsia" w:asciiTheme="minorEastAsia" w:hAnsiTheme="minorEastAsia" w:eastAsiaTheme="minorEastAsia"/>
          <w:color w:val="auto"/>
          <w:highlight w:val="none"/>
          <w:lang w:val="en-US" w:eastAsia="zh-CN"/>
        </w:rPr>
        <w:t>招标人</w:t>
      </w:r>
      <w:r>
        <w:rPr>
          <w:rFonts w:asciiTheme="minorEastAsia" w:hAnsiTheme="minorEastAsia" w:eastAsiaTheme="minorEastAsia"/>
          <w:color w:val="auto"/>
          <w:highlight w:val="none"/>
        </w:rPr>
        <w:t>将在“</w:t>
      </w:r>
      <w:r>
        <w:rPr>
          <w:rFonts w:asciiTheme="minorEastAsia" w:hAnsiTheme="minorEastAsia" w:eastAsiaTheme="minorEastAsia"/>
          <w:b/>
          <w:color w:val="auto"/>
          <w:highlight w:val="none"/>
        </w:rPr>
        <w:t>谈判申请人须知前附表</w:t>
      </w:r>
      <w:r>
        <w:rPr>
          <w:rFonts w:asciiTheme="minorEastAsia" w:hAnsiTheme="minorEastAsia" w:eastAsiaTheme="minorEastAsia"/>
          <w:color w:val="auto"/>
          <w:highlight w:val="none"/>
        </w:rPr>
        <w:t>”规定的时间和地点进行谈判，谈判申请人的法定代表人或其委托代理人应按时参加。</w:t>
      </w:r>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2谈判</w:t>
      </w:r>
      <w:r>
        <w:rPr>
          <w:rFonts w:asciiTheme="minorEastAsia" w:hAnsiTheme="minorEastAsia" w:eastAsiaTheme="minorEastAsia"/>
          <w:color w:val="auto"/>
          <w:highlight w:val="none"/>
        </w:rPr>
        <w:t>由谈判小组负责。谈判小组由招标人</w:t>
      </w:r>
      <w:r>
        <w:rPr>
          <w:rFonts w:hint="eastAsia" w:asciiTheme="minorEastAsia" w:hAnsiTheme="minorEastAsia" w:eastAsiaTheme="minorEastAsia"/>
          <w:color w:val="auto"/>
          <w:highlight w:val="none"/>
        </w:rPr>
        <w:t>组成，成员人数合计</w:t>
      </w:r>
      <w:r>
        <w:rPr>
          <w:rFonts w:hint="eastAsia" w:asciiTheme="minorEastAsia" w:hAnsiTheme="minorEastAsia" w:eastAsiaTheme="minorEastAsia"/>
          <w:color w:val="auto"/>
          <w:highlight w:val="none"/>
        </w:rPr>
        <w:t>3人</w:t>
      </w:r>
      <w:r>
        <w:rPr>
          <w:rFonts w:hint="eastAsia" w:asciiTheme="minorEastAsia" w:hAnsiTheme="minorEastAsia" w:eastAsiaTheme="minorEastAsia"/>
          <w:color w:val="auto"/>
          <w:highlight w:val="none"/>
          <w:lang w:val="en-US" w:eastAsia="zh-CN"/>
        </w:rPr>
        <w:t>及以上单数</w:t>
      </w:r>
      <w:r>
        <w:rPr>
          <w:rFonts w:hint="eastAsia" w:asciiTheme="minorEastAsia" w:hAnsiTheme="minorEastAsia" w:eastAsiaTheme="minorEastAsia"/>
          <w:color w:val="auto"/>
          <w:highlight w:val="none"/>
        </w:rPr>
        <w:t>。谈判应当推选组长。</w:t>
      </w:r>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除招标人代表外，招标人可以委派纪检监察等相关人员进入谈判现场，对谈判工作实施监督，但不得超过</w:t>
      </w:r>
      <w:r>
        <w:rPr>
          <w:rFonts w:hint="eastAsia" w:asciiTheme="minorEastAsia" w:hAnsiTheme="minorEastAsia" w:eastAsiaTheme="minorEastAsia"/>
          <w:color w:val="auto"/>
          <w:highlight w:val="none"/>
          <w:lang w:val="en-US" w:eastAsia="zh-CN"/>
        </w:rPr>
        <w:t>2</w:t>
      </w:r>
      <w:r>
        <w:rPr>
          <w:rFonts w:hint="eastAsia" w:asciiTheme="minorEastAsia" w:hAnsiTheme="minorEastAsia" w:eastAsiaTheme="minorEastAsia"/>
          <w:color w:val="auto"/>
          <w:highlight w:val="none"/>
        </w:rPr>
        <w:t>人</w:t>
      </w:r>
      <w:r>
        <w:rPr>
          <w:rFonts w:hint="eastAsia" w:asciiTheme="minorEastAsia" w:hAnsiTheme="minorEastAsia" w:eastAsiaTheme="minorEastAsia"/>
          <w:color w:val="auto"/>
          <w:highlight w:val="none"/>
        </w:rPr>
        <w:t>。</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3谈判</w:t>
      </w:r>
      <w:r>
        <w:rPr>
          <w:rFonts w:asciiTheme="minorEastAsia" w:hAnsiTheme="minorEastAsia" w:eastAsiaTheme="minorEastAsia"/>
          <w:color w:val="auto"/>
          <w:highlight w:val="none"/>
        </w:rPr>
        <w:t>原则</w:t>
      </w:r>
    </w:p>
    <w:p>
      <w:pPr>
        <w:spacing w:line="360" w:lineRule="auto"/>
        <w:ind w:firstLine="457" w:firstLineChars="218"/>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谈判小组应当从质量和服务均能满足谈判文件实质性响应要求的谈判申请人中，按照最终得分由高到低的顺序推荐成交候选人。</w:t>
      </w:r>
    </w:p>
    <w:p>
      <w:pPr>
        <w:tabs>
          <w:tab w:val="left" w:pos="7980"/>
        </w:tabs>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4谈判程序和评审方法</w:t>
      </w:r>
    </w:p>
    <w:p>
      <w:pPr>
        <w:spacing w:line="400" w:lineRule="exact"/>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t>谈判小组按照第六章“谈判程序和评审方法”规定的方法、因素、标准和程序</w:t>
      </w:r>
      <w:r>
        <w:rPr>
          <w:rFonts w:hint="eastAsia" w:asciiTheme="minorEastAsia" w:hAnsiTheme="minorEastAsia" w:eastAsiaTheme="minorEastAsia"/>
          <w:color w:val="auto"/>
          <w:highlight w:val="none"/>
        </w:rPr>
        <w:t>进行</w:t>
      </w:r>
      <w:r>
        <w:rPr>
          <w:rFonts w:asciiTheme="minorEastAsia" w:hAnsiTheme="minorEastAsia" w:eastAsiaTheme="minorEastAsia"/>
          <w:color w:val="auto"/>
          <w:highlight w:val="none"/>
        </w:rPr>
        <w:t>谈判。</w:t>
      </w:r>
    </w:p>
    <w:p>
      <w:pPr>
        <w:spacing w:line="400" w:lineRule="exact"/>
        <w:ind w:firstLine="420"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16.5</w:t>
      </w:r>
      <w:r>
        <w:rPr>
          <w:rFonts w:asciiTheme="minorEastAsia" w:hAnsiTheme="minorEastAsia" w:eastAsiaTheme="minorEastAsia"/>
          <w:color w:val="auto"/>
          <w:szCs w:val="21"/>
          <w:highlight w:val="none"/>
        </w:rPr>
        <w:t>谈判文件</w:t>
      </w:r>
      <w:r>
        <w:rPr>
          <w:rFonts w:asciiTheme="minorEastAsia" w:hAnsiTheme="minorEastAsia" w:eastAsiaTheme="minorEastAsia"/>
          <w:b/>
          <w:color w:val="auto"/>
          <w:szCs w:val="21"/>
          <w:highlight w:val="none"/>
          <w:u w:val="single"/>
        </w:rPr>
        <w:t>第六章“</w:t>
      </w:r>
      <w:r>
        <w:rPr>
          <w:rFonts w:hint="eastAsia" w:asciiTheme="minorEastAsia" w:hAnsiTheme="minorEastAsia" w:eastAsiaTheme="minorEastAsia"/>
          <w:b/>
          <w:color w:val="auto"/>
          <w:szCs w:val="21"/>
          <w:highlight w:val="none"/>
          <w:u w:val="single"/>
        </w:rPr>
        <w:t>谈判程序和评审方法</w:t>
      </w:r>
      <w:r>
        <w:rPr>
          <w:rFonts w:asciiTheme="minorEastAsia" w:hAnsiTheme="minorEastAsia" w:eastAsiaTheme="minorEastAsia"/>
          <w:b/>
          <w:color w:val="auto"/>
          <w:szCs w:val="21"/>
          <w:highlight w:val="none"/>
          <w:u w:val="single"/>
        </w:rPr>
        <w:t>”</w:t>
      </w:r>
      <w:r>
        <w:rPr>
          <w:rFonts w:hint="eastAsia" w:asciiTheme="minorEastAsia" w:hAnsiTheme="minorEastAsia" w:eastAsiaTheme="minorEastAsia"/>
          <w:b/>
          <w:color w:val="auto"/>
          <w:szCs w:val="21"/>
          <w:highlight w:val="none"/>
          <w:u w:val="single"/>
        </w:rPr>
        <w:t>实质性要求为谈判文件的实质性内容，未实质性响应谈判文件的谈判申请人的响应文件将按无效处理，该谈判申请人不得再继续参加谈判</w:t>
      </w:r>
      <w:r>
        <w:rPr>
          <w:rFonts w:asciiTheme="minorEastAsia" w:hAnsiTheme="minorEastAsia" w:eastAsiaTheme="minorEastAsia"/>
          <w:color w:val="auto"/>
          <w:szCs w:val="21"/>
          <w:highlight w:val="none"/>
        </w:rPr>
        <w:t>。</w:t>
      </w:r>
    </w:p>
    <w:p>
      <w:pPr>
        <w:spacing w:line="400" w:lineRule="exact"/>
        <w:ind w:firstLine="420"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16.6</w:t>
      </w:r>
      <w:r>
        <w:rPr>
          <w:rFonts w:asciiTheme="minorEastAsia" w:hAnsiTheme="minorEastAsia" w:eastAsiaTheme="minorEastAsia"/>
          <w:color w:val="auto"/>
          <w:szCs w:val="21"/>
          <w:highlight w:val="none"/>
        </w:rPr>
        <w:t>谈判小组在对响应文件的有效性、完整性和响应程度进行审查时，可以要求谈判申请人对响应文件中含义不明确、同类问题表述不一致或者有明显文字和计算错误的内容等作出必要的澄清、说明或者更正。谈判申请人的澄清、说明或者更正不得超出响应文件的范围或者改变响应文件的实质性内容。</w:t>
      </w:r>
    </w:p>
    <w:p>
      <w:pPr>
        <w:spacing w:line="400" w:lineRule="exact"/>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谈判小组要求谈判申请人澄清、说明或者更正响应文件应当以书面形式作出。谈判申请人的澄清、说明或者更正应当由法定代表人或其授权代表签字或者加盖公章。由授权代表签字的，应当附法定代表人授权书。谈判申请人为自然人的，应当由本人签字并附身份证明。</w:t>
      </w:r>
    </w:p>
    <w:p>
      <w:pPr>
        <w:spacing w:line="400" w:lineRule="exact"/>
        <w:ind w:firstLine="420" w:firstLineChars="200"/>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16.7有效响应文件不足三个的情形</w:t>
      </w:r>
    </w:p>
    <w:p>
      <w:pPr>
        <w:spacing w:line="400" w:lineRule="exact"/>
        <w:ind w:firstLine="420" w:firstLineChars="200"/>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谈判小组根据竞争性谈判文件的规定，否决不合格投标后，因为有效响应文件不足三个使得投标明显缺乏竞争的，谈判小组可以否决全部投标。若有效投标不足三个，且谈判小组经评审认为投标仍具有竞争力时，可以按评审办法继续评审或进行综合评议推荐成交候选人。</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247" w:name="_Toc107864021"/>
      <w:bookmarkStart w:id="248" w:name="_Toc385344458"/>
      <w:bookmarkStart w:id="249" w:name="_Toc19907"/>
      <w:bookmarkStart w:id="250" w:name="_Toc130562758"/>
      <w:bookmarkStart w:id="251" w:name="_Toc130564334"/>
      <w:bookmarkStart w:id="252" w:name="_Toc86124067"/>
      <w:bookmarkStart w:id="253" w:name="_Toc139987930"/>
      <w:bookmarkStart w:id="254" w:name="_Toc130564901"/>
      <w:bookmarkStart w:id="255" w:name="_Toc519163204"/>
      <w:bookmarkStart w:id="256" w:name="_Toc329810207"/>
      <w:bookmarkStart w:id="257" w:name="_Toc490599225"/>
      <w:r>
        <w:rPr>
          <w:rFonts w:hint="eastAsia" w:asciiTheme="minorEastAsia" w:hAnsiTheme="minorEastAsia" w:eastAsiaTheme="minorEastAsia"/>
          <w:b/>
          <w:bCs/>
          <w:color w:val="auto"/>
          <w:sz w:val="24"/>
          <w:highlight w:val="none"/>
        </w:rPr>
        <w:t>17.谈判</w:t>
      </w:r>
      <w:r>
        <w:rPr>
          <w:rFonts w:asciiTheme="minorEastAsia" w:hAnsiTheme="minorEastAsia" w:eastAsiaTheme="minorEastAsia"/>
          <w:b/>
          <w:bCs/>
          <w:color w:val="auto"/>
          <w:sz w:val="24"/>
          <w:highlight w:val="none"/>
        </w:rPr>
        <w:t>过程的保密</w:t>
      </w:r>
      <w:bookmarkEnd w:id="247"/>
      <w:bookmarkEnd w:id="248"/>
      <w:bookmarkEnd w:id="249"/>
      <w:bookmarkEnd w:id="250"/>
      <w:bookmarkEnd w:id="251"/>
      <w:bookmarkEnd w:id="252"/>
      <w:bookmarkEnd w:id="253"/>
      <w:bookmarkEnd w:id="254"/>
      <w:bookmarkEnd w:id="255"/>
      <w:bookmarkEnd w:id="256"/>
      <w:bookmarkEnd w:id="257"/>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在谈判中，采用背对背的谈判方式，谈判的任何一方不得透露与谈判有关的其他谈判申请人的技术资料、价格和其他信息。</w:t>
      </w:r>
      <w:r>
        <w:rPr>
          <w:rFonts w:asciiTheme="minorEastAsia" w:hAnsiTheme="minorEastAsia" w:eastAsiaTheme="minorEastAsia"/>
          <w:color w:val="auto"/>
          <w:highlight w:val="none"/>
        </w:rPr>
        <w:t>谈判开始后，直到授予谈判申请人合同止，凡是属于审查、澄清、</w:t>
      </w:r>
      <w:r>
        <w:rPr>
          <w:rFonts w:hint="eastAsia" w:asciiTheme="minorEastAsia" w:hAnsiTheme="minorEastAsia" w:eastAsiaTheme="minorEastAsia"/>
          <w:color w:val="auto"/>
          <w:highlight w:val="none"/>
        </w:rPr>
        <w:t>谈判</w:t>
      </w:r>
      <w:r>
        <w:rPr>
          <w:rFonts w:asciiTheme="minorEastAsia" w:hAnsiTheme="minorEastAsia" w:eastAsiaTheme="minorEastAsia"/>
          <w:color w:val="auto"/>
          <w:highlight w:val="none"/>
        </w:rPr>
        <w:t>和比较的有关资料以及成交建议等均不向谈判申请人或其他人员透露。</w:t>
      </w:r>
    </w:p>
    <w:p>
      <w:pPr>
        <w:keepNext/>
        <w:keepLines/>
        <w:spacing w:after="120"/>
        <w:jc w:val="center"/>
        <w:outlineLvl w:val="1"/>
        <w:rPr>
          <w:rFonts w:asciiTheme="minorEastAsia" w:hAnsiTheme="minorEastAsia" w:eastAsiaTheme="minorEastAsia"/>
          <w:b/>
          <w:bCs/>
          <w:color w:val="auto"/>
          <w:sz w:val="28"/>
          <w:szCs w:val="28"/>
          <w:highlight w:val="none"/>
        </w:rPr>
      </w:pPr>
      <w:bookmarkStart w:id="258" w:name="_Toc7742"/>
      <w:bookmarkStart w:id="259" w:name="_Toc86124069"/>
      <w:bookmarkStart w:id="260" w:name="_Toc130564902"/>
      <w:bookmarkStart w:id="261" w:name="_Toc519163205"/>
      <w:bookmarkStart w:id="262" w:name="_Toc490599226"/>
      <w:bookmarkStart w:id="263" w:name="_Toc139987931"/>
      <w:r>
        <w:rPr>
          <w:rFonts w:asciiTheme="minorEastAsia" w:hAnsiTheme="minorEastAsia" w:eastAsiaTheme="minorEastAsia"/>
          <w:b/>
          <w:bCs/>
          <w:color w:val="auto"/>
          <w:sz w:val="28"/>
          <w:szCs w:val="28"/>
          <w:highlight w:val="none"/>
        </w:rPr>
        <w:t>六、成交结果</w:t>
      </w:r>
      <w:bookmarkEnd w:id="258"/>
      <w:bookmarkEnd w:id="259"/>
      <w:bookmarkEnd w:id="260"/>
      <w:bookmarkEnd w:id="261"/>
      <w:bookmarkEnd w:id="262"/>
      <w:bookmarkEnd w:id="263"/>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264" w:name="_Toc130564903"/>
      <w:bookmarkStart w:id="265" w:name="_Toc329810210"/>
      <w:bookmarkStart w:id="266" w:name="_Toc519163206"/>
      <w:bookmarkStart w:id="267" w:name="_Toc130564336"/>
      <w:bookmarkStart w:id="268" w:name="_Toc490599227"/>
      <w:bookmarkStart w:id="269" w:name="_Toc86124070"/>
      <w:bookmarkStart w:id="270" w:name="_Toc139987932"/>
      <w:bookmarkStart w:id="271" w:name="_Toc130562760"/>
      <w:bookmarkStart w:id="272" w:name="_Toc9751"/>
      <w:bookmarkStart w:id="273" w:name="_Toc385344461"/>
      <w:bookmarkStart w:id="274" w:name="_Toc107864023"/>
      <w:r>
        <w:rPr>
          <w:rFonts w:hint="eastAsia" w:asciiTheme="minorEastAsia" w:hAnsiTheme="minorEastAsia" w:eastAsiaTheme="minorEastAsia"/>
          <w:b/>
          <w:bCs/>
          <w:color w:val="auto"/>
          <w:sz w:val="24"/>
          <w:highlight w:val="none"/>
        </w:rPr>
        <w:t>18.</w:t>
      </w:r>
      <w:r>
        <w:rPr>
          <w:rFonts w:asciiTheme="minorEastAsia" w:hAnsiTheme="minorEastAsia" w:eastAsiaTheme="minorEastAsia"/>
          <w:b/>
          <w:bCs/>
          <w:color w:val="auto"/>
          <w:sz w:val="24"/>
          <w:highlight w:val="none"/>
        </w:rPr>
        <w:t>成交人的确定</w:t>
      </w:r>
      <w:bookmarkEnd w:id="264"/>
      <w:bookmarkEnd w:id="265"/>
      <w:bookmarkEnd w:id="266"/>
      <w:bookmarkEnd w:id="267"/>
      <w:bookmarkEnd w:id="268"/>
      <w:bookmarkEnd w:id="269"/>
      <w:bookmarkEnd w:id="270"/>
      <w:bookmarkEnd w:id="271"/>
      <w:bookmarkEnd w:id="272"/>
      <w:bookmarkEnd w:id="273"/>
      <w:bookmarkEnd w:id="274"/>
    </w:p>
    <w:p>
      <w:pPr>
        <w:spacing w:line="400" w:lineRule="exact"/>
        <w:ind w:firstLine="420" w:firstLineChars="200"/>
        <w:jc w:val="left"/>
        <w:rPr>
          <w:rFonts w:asciiTheme="minorEastAsia" w:hAnsiTheme="minorEastAsia" w:eastAsiaTheme="minorEastAsia"/>
          <w:color w:val="auto"/>
          <w:highlight w:val="none"/>
        </w:rPr>
      </w:pPr>
      <w:bookmarkStart w:id="275" w:name="_Toc329810211"/>
      <w:r>
        <w:rPr>
          <w:rFonts w:hint="eastAsia" w:asciiTheme="minorEastAsia" w:hAnsiTheme="minorEastAsia" w:eastAsiaTheme="minorEastAsia"/>
          <w:color w:val="auto"/>
          <w:highlight w:val="none"/>
        </w:rPr>
        <w:t>18</w:t>
      </w:r>
      <w:r>
        <w:rPr>
          <w:rFonts w:asciiTheme="minorEastAsia" w:hAnsiTheme="minorEastAsia" w:eastAsiaTheme="minorEastAsia"/>
          <w:color w:val="auto"/>
          <w:highlight w:val="none"/>
        </w:rPr>
        <w:t>.1</w:t>
      </w:r>
      <w:r>
        <w:rPr>
          <w:rFonts w:hint="eastAsia" w:asciiTheme="minorEastAsia" w:hAnsiTheme="minorEastAsia" w:eastAsiaTheme="minorEastAsia"/>
          <w:color w:val="auto"/>
          <w:highlight w:val="none"/>
        </w:rPr>
        <w:t>评审</w:t>
      </w:r>
      <w:r>
        <w:rPr>
          <w:rFonts w:asciiTheme="minorEastAsia" w:hAnsiTheme="minorEastAsia" w:eastAsiaTheme="minorEastAsia"/>
          <w:color w:val="auto"/>
          <w:highlight w:val="none"/>
        </w:rPr>
        <w:t>结束后招标人</w:t>
      </w:r>
      <w:r>
        <w:rPr>
          <w:rFonts w:hint="eastAsia" w:asciiTheme="minorEastAsia" w:hAnsiTheme="minorEastAsia" w:eastAsiaTheme="minorEastAsia"/>
          <w:color w:val="auto"/>
          <w:highlight w:val="none"/>
          <w:lang w:val="en-US" w:eastAsia="zh-CN"/>
        </w:rPr>
        <w:t>制定</w:t>
      </w:r>
      <w:r>
        <w:rPr>
          <w:rFonts w:hint="eastAsia" w:asciiTheme="minorEastAsia" w:hAnsiTheme="minorEastAsia" w:eastAsiaTheme="minorEastAsia"/>
          <w:color w:val="auto"/>
          <w:highlight w:val="none"/>
        </w:rPr>
        <w:t>评审</w:t>
      </w:r>
      <w:r>
        <w:rPr>
          <w:rFonts w:asciiTheme="minorEastAsia" w:hAnsiTheme="minorEastAsia" w:eastAsiaTheme="minorEastAsia"/>
          <w:color w:val="auto"/>
          <w:highlight w:val="none"/>
        </w:rPr>
        <w:t>报告确认。</w:t>
      </w:r>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18.2</w:t>
      </w:r>
      <w:r>
        <w:rPr>
          <w:rFonts w:asciiTheme="minorEastAsia" w:hAnsiTheme="minorEastAsia" w:eastAsiaTheme="minorEastAsia"/>
          <w:color w:val="auto"/>
          <w:highlight w:val="none"/>
        </w:rPr>
        <w:t>招标人应当在收到</w:t>
      </w:r>
      <w:r>
        <w:rPr>
          <w:rFonts w:hint="eastAsia" w:asciiTheme="minorEastAsia" w:hAnsiTheme="minorEastAsia" w:eastAsiaTheme="minorEastAsia"/>
          <w:color w:val="auto"/>
          <w:highlight w:val="none"/>
        </w:rPr>
        <w:t>评审</w:t>
      </w:r>
      <w:r>
        <w:rPr>
          <w:rFonts w:asciiTheme="minorEastAsia" w:hAnsiTheme="minorEastAsia" w:eastAsiaTheme="minorEastAsia"/>
          <w:color w:val="auto"/>
          <w:highlight w:val="none"/>
        </w:rPr>
        <w:t>报告后</w:t>
      </w:r>
      <w:r>
        <w:rPr>
          <w:rFonts w:hint="eastAsia" w:asciiTheme="minorEastAsia" w:hAnsiTheme="minorEastAsia" w:eastAsiaTheme="minorEastAsia"/>
          <w:color w:val="auto"/>
          <w:highlight w:val="none"/>
        </w:rPr>
        <w:t>确定评标结果</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rPr>
        <w:t>确定后发布评标结果公示，公示期不少于3日。招标人应</w:t>
      </w:r>
      <w:r>
        <w:rPr>
          <w:rFonts w:asciiTheme="minorEastAsia" w:hAnsiTheme="minorEastAsia" w:eastAsiaTheme="minorEastAsia"/>
          <w:color w:val="auto"/>
          <w:highlight w:val="none"/>
        </w:rPr>
        <w:t>按照</w:t>
      </w:r>
      <w:r>
        <w:rPr>
          <w:rFonts w:hint="eastAsia" w:asciiTheme="minorEastAsia" w:hAnsiTheme="minorEastAsia" w:eastAsiaTheme="minorEastAsia"/>
          <w:color w:val="auto"/>
          <w:highlight w:val="none"/>
        </w:rPr>
        <w:t>评审</w:t>
      </w:r>
      <w:r>
        <w:rPr>
          <w:rFonts w:asciiTheme="minorEastAsia" w:hAnsiTheme="minorEastAsia" w:eastAsiaTheme="minorEastAsia"/>
          <w:color w:val="auto"/>
          <w:highlight w:val="none"/>
        </w:rPr>
        <w:t>报告中推荐的</w:t>
      </w:r>
      <w:r>
        <w:rPr>
          <w:rFonts w:hint="eastAsia" w:asciiTheme="minorEastAsia" w:hAnsiTheme="minorEastAsia" w:eastAsiaTheme="minorEastAsia"/>
          <w:color w:val="auto"/>
          <w:highlight w:val="none"/>
        </w:rPr>
        <w:t>成交人</w:t>
      </w:r>
      <w:r>
        <w:rPr>
          <w:rFonts w:asciiTheme="minorEastAsia" w:hAnsiTheme="minorEastAsia" w:eastAsiaTheme="minorEastAsia"/>
          <w:color w:val="auto"/>
          <w:highlight w:val="none"/>
        </w:rPr>
        <w:t>顺序确定</w:t>
      </w:r>
      <w:r>
        <w:rPr>
          <w:rFonts w:hint="eastAsia" w:asciiTheme="minorEastAsia" w:hAnsiTheme="minorEastAsia" w:eastAsiaTheme="minorEastAsia"/>
          <w:color w:val="auto"/>
          <w:highlight w:val="none"/>
        </w:rPr>
        <w:t>成交</w:t>
      </w:r>
      <w:r>
        <w:rPr>
          <w:rFonts w:asciiTheme="minorEastAsia" w:hAnsiTheme="minorEastAsia" w:eastAsiaTheme="minorEastAsia"/>
          <w:color w:val="auto"/>
          <w:highlight w:val="none"/>
        </w:rPr>
        <w:t>人。</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276" w:name="_Toc519163207"/>
      <w:bookmarkStart w:id="277" w:name="_Toc130564904"/>
      <w:bookmarkStart w:id="278" w:name="_Toc130564337"/>
      <w:bookmarkStart w:id="279" w:name="_Toc490599228"/>
      <w:bookmarkStart w:id="280" w:name="_Toc385344462"/>
      <w:bookmarkStart w:id="281" w:name="_Toc130562761"/>
      <w:bookmarkStart w:id="282" w:name="_Toc107864024"/>
      <w:bookmarkStart w:id="283" w:name="_Toc11101"/>
      <w:bookmarkStart w:id="284" w:name="_Toc139987933"/>
      <w:r>
        <w:rPr>
          <w:rFonts w:hint="eastAsia" w:asciiTheme="minorEastAsia" w:hAnsiTheme="minorEastAsia" w:eastAsiaTheme="minorEastAsia"/>
          <w:b/>
          <w:bCs/>
          <w:color w:val="auto"/>
          <w:sz w:val="24"/>
          <w:highlight w:val="none"/>
        </w:rPr>
        <w:t>19.</w:t>
      </w:r>
      <w:r>
        <w:rPr>
          <w:rFonts w:asciiTheme="minorEastAsia" w:hAnsiTheme="minorEastAsia" w:eastAsiaTheme="minorEastAsia"/>
          <w:b/>
          <w:bCs/>
          <w:color w:val="auto"/>
          <w:sz w:val="24"/>
          <w:highlight w:val="none"/>
        </w:rPr>
        <w:t>成交通知书</w:t>
      </w:r>
      <w:bookmarkEnd w:id="275"/>
      <w:bookmarkEnd w:id="276"/>
      <w:bookmarkEnd w:id="277"/>
      <w:bookmarkEnd w:id="278"/>
      <w:bookmarkEnd w:id="279"/>
      <w:bookmarkEnd w:id="280"/>
      <w:bookmarkEnd w:id="281"/>
      <w:bookmarkEnd w:id="282"/>
      <w:bookmarkEnd w:id="283"/>
      <w:bookmarkEnd w:id="284"/>
    </w:p>
    <w:p>
      <w:pPr>
        <w:spacing w:line="400" w:lineRule="exact"/>
        <w:ind w:firstLine="420" w:firstLineChars="200"/>
        <w:jc w:val="left"/>
        <w:rPr>
          <w:rFonts w:asciiTheme="minorEastAsia" w:hAnsiTheme="minorEastAsia" w:eastAsiaTheme="minorEastAsia"/>
          <w:color w:val="auto"/>
          <w:highlight w:val="none"/>
        </w:rPr>
      </w:pPr>
      <w:bookmarkStart w:id="285" w:name="_Toc490599229"/>
      <w:bookmarkStart w:id="286" w:name="_Toc519163208"/>
      <w:bookmarkStart w:id="287" w:name="_Toc385344463"/>
      <w:bookmarkStart w:id="288" w:name="_Toc329810212"/>
      <w:bookmarkStart w:id="289" w:name="_Toc86124072"/>
      <w:r>
        <w:rPr>
          <w:rFonts w:hint="eastAsia" w:asciiTheme="minorEastAsia" w:hAnsiTheme="minorEastAsia" w:eastAsiaTheme="minorEastAsia"/>
          <w:color w:val="auto"/>
          <w:highlight w:val="none"/>
        </w:rPr>
        <w:t>19.1评标结果公示无异议后，由</w:t>
      </w:r>
      <w:r>
        <w:rPr>
          <w:rFonts w:hint="eastAsia" w:asciiTheme="minorEastAsia" w:hAnsiTheme="minorEastAsia" w:eastAsiaTheme="minorEastAsia"/>
          <w:color w:val="auto"/>
          <w:highlight w:val="none"/>
          <w:lang w:val="en-US" w:eastAsia="zh-CN"/>
        </w:rPr>
        <w:t>招标人发</w:t>
      </w:r>
      <w:r>
        <w:rPr>
          <w:rFonts w:hint="eastAsia" w:asciiTheme="minorEastAsia" w:hAnsiTheme="minorEastAsia" w:eastAsiaTheme="minorEastAsia"/>
          <w:color w:val="auto"/>
          <w:highlight w:val="none"/>
        </w:rPr>
        <w:t>布成交结果，向成交人发出成交通知书，同时向未成交人发出成交结果通知书。</w:t>
      </w:r>
      <w:bookmarkEnd w:id="285"/>
      <w:bookmarkEnd w:id="286"/>
    </w:p>
    <w:p>
      <w:pPr>
        <w:spacing w:line="400" w:lineRule="exact"/>
        <w:ind w:firstLine="420" w:firstLineChars="200"/>
        <w:jc w:val="left"/>
        <w:rPr>
          <w:rFonts w:asciiTheme="minorEastAsia" w:hAnsiTheme="minorEastAsia" w:eastAsiaTheme="minorEastAsia"/>
          <w:color w:val="auto"/>
          <w:highlight w:val="none"/>
        </w:rPr>
      </w:pPr>
      <w:bookmarkStart w:id="290" w:name="_Toc519163209"/>
      <w:bookmarkStart w:id="291" w:name="_Toc490599230"/>
      <w:r>
        <w:rPr>
          <w:rFonts w:hint="eastAsia" w:asciiTheme="minorEastAsia" w:hAnsiTheme="minorEastAsia" w:eastAsiaTheme="minorEastAsia"/>
          <w:color w:val="auto"/>
          <w:highlight w:val="none"/>
        </w:rPr>
        <w:t>19.2成交通知书是合同的一个组成部分。</w:t>
      </w:r>
      <w:bookmarkEnd w:id="290"/>
      <w:bookmarkEnd w:id="291"/>
    </w:p>
    <w:p>
      <w:pPr>
        <w:spacing w:line="400" w:lineRule="exact"/>
        <w:ind w:firstLine="420" w:firstLineChars="200"/>
        <w:jc w:val="left"/>
        <w:rPr>
          <w:rFonts w:asciiTheme="minorEastAsia" w:hAnsiTheme="minorEastAsia" w:eastAsiaTheme="minorEastAsia"/>
          <w:color w:val="auto"/>
          <w:highlight w:val="none"/>
        </w:rPr>
      </w:pPr>
      <w:bookmarkStart w:id="292" w:name="_Toc490599231"/>
      <w:bookmarkStart w:id="293" w:name="_Toc519163210"/>
      <w:r>
        <w:rPr>
          <w:rFonts w:hint="eastAsia" w:asciiTheme="minorEastAsia" w:hAnsiTheme="minorEastAsia" w:eastAsiaTheme="minorEastAsia"/>
          <w:color w:val="auto"/>
          <w:highlight w:val="none"/>
        </w:rPr>
        <w:t>19.3</w:t>
      </w:r>
      <w:r>
        <w:rPr>
          <w:rFonts w:hint="eastAsia" w:asciiTheme="minorEastAsia" w:hAnsiTheme="minorEastAsia" w:eastAsiaTheme="minorEastAsia"/>
          <w:color w:val="auto"/>
          <w:highlight w:val="none"/>
          <w:lang w:val="en-US" w:eastAsia="zh-CN"/>
        </w:rPr>
        <w:t>招标人</w:t>
      </w:r>
      <w:r>
        <w:rPr>
          <w:rFonts w:hint="eastAsia" w:asciiTheme="minorEastAsia" w:hAnsiTheme="minorEastAsia" w:eastAsiaTheme="minorEastAsia"/>
          <w:color w:val="auto"/>
          <w:highlight w:val="none"/>
        </w:rPr>
        <w:t>无义务向未成交人解释落标原因和退回响应文件。</w:t>
      </w:r>
      <w:bookmarkEnd w:id="292"/>
      <w:bookmarkEnd w:id="293"/>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294" w:name="_Toc130564905"/>
      <w:bookmarkStart w:id="295" w:name="_Toc130564338"/>
      <w:bookmarkStart w:id="296" w:name="_Toc139987934"/>
      <w:bookmarkStart w:id="297" w:name="_Toc490599232"/>
      <w:bookmarkStart w:id="298" w:name="_Toc107864025"/>
      <w:bookmarkStart w:id="299" w:name="_Toc130562762"/>
      <w:bookmarkStart w:id="300" w:name="_Toc519163211"/>
      <w:bookmarkStart w:id="301" w:name="_Toc27402"/>
      <w:r>
        <w:rPr>
          <w:rFonts w:hint="eastAsia" w:asciiTheme="minorEastAsia" w:hAnsiTheme="minorEastAsia" w:eastAsiaTheme="minorEastAsia"/>
          <w:b/>
          <w:bCs/>
          <w:color w:val="auto"/>
          <w:sz w:val="24"/>
          <w:highlight w:val="none"/>
        </w:rPr>
        <w:t>20.</w:t>
      </w:r>
      <w:r>
        <w:rPr>
          <w:rFonts w:asciiTheme="minorEastAsia" w:hAnsiTheme="minorEastAsia" w:eastAsiaTheme="minorEastAsia"/>
          <w:b/>
          <w:bCs/>
          <w:color w:val="auto"/>
          <w:sz w:val="24"/>
          <w:highlight w:val="none"/>
        </w:rPr>
        <w:t>签订合同</w:t>
      </w:r>
      <w:bookmarkEnd w:id="287"/>
      <w:bookmarkEnd w:id="288"/>
      <w:bookmarkEnd w:id="289"/>
      <w:bookmarkEnd w:id="294"/>
      <w:bookmarkEnd w:id="295"/>
      <w:bookmarkEnd w:id="296"/>
      <w:bookmarkEnd w:id="297"/>
      <w:bookmarkEnd w:id="298"/>
      <w:bookmarkEnd w:id="299"/>
      <w:bookmarkEnd w:id="300"/>
      <w:bookmarkEnd w:id="301"/>
    </w:p>
    <w:p>
      <w:pPr>
        <w:spacing w:line="400" w:lineRule="exact"/>
        <w:ind w:firstLine="420" w:firstLineChars="200"/>
        <w:jc w:val="left"/>
        <w:rPr>
          <w:rFonts w:asciiTheme="minorEastAsia" w:hAnsiTheme="minorEastAsia" w:eastAsiaTheme="minorEastAsia"/>
          <w:color w:val="auto"/>
          <w:highlight w:val="none"/>
        </w:rPr>
      </w:pPr>
      <w:bookmarkStart w:id="302" w:name="_Toc329810213"/>
      <w:bookmarkStart w:id="303" w:name="_Toc86124073"/>
      <w:r>
        <w:rPr>
          <w:rFonts w:hint="eastAsia" w:asciiTheme="minorEastAsia" w:hAnsiTheme="minorEastAsia" w:eastAsiaTheme="minorEastAsia"/>
          <w:color w:val="auto"/>
          <w:highlight w:val="none"/>
        </w:rPr>
        <w:t>20.1成交人收到成交通知书后，按竞争性谈判文件、响应文件及有关澄清承诺书的要求与招标人签订合同。</w:t>
      </w:r>
    </w:p>
    <w:p>
      <w:pPr>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20.2成交人因不可抗力或者自身原因不能履行合同的，招标人可以与排位在成交人之后第一位的成交候选谈判申请人签订合同，以此类推。</w:t>
      </w:r>
      <w:bookmarkEnd w:id="302"/>
      <w:bookmarkEnd w:id="303"/>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304" w:name="_Toc490599233"/>
      <w:bookmarkStart w:id="305" w:name="_Toc385344464"/>
      <w:bookmarkStart w:id="306" w:name="_Toc136444015"/>
      <w:bookmarkStart w:id="307" w:name="_Toc107864026"/>
      <w:bookmarkStart w:id="308" w:name="_Toc2999"/>
      <w:bookmarkStart w:id="309" w:name="_Toc139987935"/>
      <w:bookmarkStart w:id="310" w:name="_Toc519163212"/>
      <w:r>
        <w:rPr>
          <w:rFonts w:hint="eastAsia" w:asciiTheme="minorEastAsia" w:hAnsiTheme="minorEastAsia" w:eastAsiaTheme="minorEastAsia"/>
          <w:b/>
          <w:bCs/>
          <w:color w:val="auto"/>
          <w:sz w:val="24"/>
          <w:highlight w:val="none"/>
        </w:rPr>
        <w:t>21.</w:t>
      </w:r>
      <w:r>
        <w:rPr>
          <w:rFonts w:asciiTheme="minorEastAsia" w:hAnsiTheme="minorEastAsia" w:eastAsiaTheme="minorEastAsia"/>
          <w:b/>
          <w:bCs/>
          <w:color w:val="auto"/>
          <w:sz w:val="24"/>
          <w:highlight w:val="none"/>
        </w:rPr>
        <w:t>履约</w:t>
      </w:r>
      <w:bookmarkEnd w:id="304"/>
      <w:bookmarkEnd w:id="305"/>
      <w:r>
        <w:rPr>
          <w:rFonts w:hint="eastAsia" w:asciiTheme="minorEastAsia" w:hAnsiTheme="minorEastAsia" w:eastAsiaTheme="minorEastAsia"/>
          <w:b/>
          <w:bCs/>
          <w:color w:val="auto"/>
          <w:sz w:val="24"/>
          <w:highlight w:val="none"/>
        </w:rPr>
        <w:t>担保</w:t>
      </w:r>
      <w:bookmarkEnd w:id="306"/>
      <w:bookmarkEnd w:id="307"/>
      <w:bookmarkEnd w:id="308"/>
      <w:bookmarkEnd w:id="309"/>
      <w:bookmarkEnd w:id="310"/>
    </w:p>
    <w:p>
      <w:pPr>
        <w:spacing w:line="400" w:lineRule="exact"/>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21.1以“竞标人须知前附表”上确定的为准。</w:t>
      </w:r>
    </w:p>
    <w:p>
      <w:pPr>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21.2签订合同后，如成交人不按双方签订合同约定履约，则没收其全部履约担保，履约担保不足以赔偿损失的，按实际损失赔偿。</w:t>
      </w:r>
    </w:p>
    <w:p>
      <w:pPr>
        <w:ind w:firstLine="420" w:firstLineChars="200"/>
        <w:jc w:val="left"/>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pPr>
        <w:keepNext/>
        <w:keepLines/>
        <w:spacing w:after="120" w:line="400" w:lineRule="exact"/>
        <w:jc w:val="center"/>
        <w:outlineLvl w:val="1"/>
        <w:rPr>
          <w:rFonts w:asciiTheme="minorEastAsia" w:hAnsiTheme="minorEastAsia" w:eastAsiaTheme="minorEastAsia"/>
          <w:b/>
          <w:bCs/>
          <w:color w:val="auto"/>
          <w:sz w:val="28"/>
          <w:szCs w:val="28"/>
          <w:highlight w:val="none"/>
        </w:rPr>
      </w:pPr>
      <w:bookmarkStart w:id="311" w:name="_Toc24573"/>
      <w:bookmarkStart w:id="312" w:name="_Toc139987936"/>
      <w:bookmarkStart w:id="313" w:name="_Toc519163213"/>
      <w:bookmarkStart w:id="314" w:name="_Toc86124074"/>
      <w:bookmarkStart w:id="315" w:name="_Toc130564906"/>
      <w:bookmarkStart w:id="316" w:name="_Toc490599234"/>
      <w:r>
        <w:rPr>
          <w:rFonts w:asciiTheme="minorEastAsia" w:hAnsiTheme="minorEastAsia" w:eastAsiaTheme="minorEastAsia"/>
          <w:b/>
          <w:bCs/>
          <w:color w:val="auto"/>
          <w:sz w:val="28"/>
          <w:szCs w:val="28"/>
          <w:highlight w:val="none"/>
        </w:rPr>
        <w:t>七、其他事项</w:t>
      </w:r>
      <w:bookmarkEnd w:id="311"/>
      <w:bookmarkEnd w:id="312"/>
      <w:bookmarkEnd w:id="313"/>
      <w:bookmarkEnd w:id="314"/>
      <w:bookmarkEnd w:id="315"/>
      <w:bookmarkEnd w:id="316"/>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317" w:name="_Toc490599235"/>
      <w:bookmarkStart w:id="318" w:name="_Toc130564340"/>
      <w:bookmarkStart w:id="319" w:name="_Toc139987937"/>
      <w:bookmarkStart w:id="320" w:name="_Toc130562764"/>
      <w:bookmarkStart w:id="321" w:name="_Toc107864028"/>
      <w:bookmarkStart w:id="322" w:name="_Toc519163214"/>
      <w:bookmarkStart w:id="323" w:name="_Toc32760"/>
      <w:bookmarkStart w:id="324" w:name="_Toc130564907"/>
      <w:bookmarkStart w:id="325" w:name="_Toc86124075"/>
      <w:bookmarkStart w:id="326" w:name="_Toc329810216"/>
      <w:bookmarkStart w:id="327" w:name="_Toc385344467"/>
      <w:r>
        <w:rPr>
          <w:rFonts w:hint="eastAsia" w:asciiTheme="minorEastAsia" w:hAnsiTheme="minorEastAsia" w:eastAsiaTheme="minorEastAsia"/>
          <w:b/>
          <w:bCs/>
          <w:color w:val="auto"/>
          <w:sz w:val="24"/>
          <w:highlight w:val="none"/>
        </w:rPr>
        <w:t>22.投诉</w:t>
      </w:r>
      <w:bookmarkEnd w:id="317"/>
      <w:bookmarkEnd w:id="318"/>
      <w:bookmarkEnd w:id="319"/>
      <w:bookmarkEnd w:id="320"/>
      <w:bookmarkEnd w:id="321"/>
      <w:bookmarkEnd w:id="322"/>
      <w:bookmarkEnd w:id="323"/>
      <w:bookmarkEnd w:id="324"/>
    </w:p>
    <w:p>
      <w:pPr>
        <w:spacing w:line="400" w:lineRule="exact"/>
        <w:ind w:firstLine="525" w:firstLineChars="25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22.1谈判申请人和其他利害关系人认为本次谈判活动违反法律、法规和规章规定的，有权向有关行政监督部门投诉。</w:t>
      </w:r>
    </w:p>
    <w:p>
      <w:pPr>
        <w:spacing w:line="400" w:lineRule="exact"/>
        <w:ind w:firstLine="525" w:firstLineChars="250"/>
        <w:jc w:val="left"/>
        <w:rPr>
          <w:rFonts w:hint="eastAsia" w:cs="Times New Roman" w:asciiTheme="minorEastAsia" w:hAnsiTheme="minorEastAsia" w:eastAsiaTheme="minorEastAsia"/>
          <w:color w:val="auto"/>
          <w:highlight w:val="none"/>
        </w:rPr>
      </w:pPr>
      <w:bookmarkStart w:id="328" w:name="_Toc139987938"/>
      <w:bookmarkStart w:id="329" w:name="_Toc19092"/>
      <w:r>
        <w:rPr>
          <w:rFonts w:hint="eastAsia" w:cs="Times New Roman" w:asciiTheme="minorEastAsia" w:hAnsiTheme="minorEastAsia" w:eastAsiaTheme="minorEastAsia"/>
          <w:color w:val="auto"/>
          <w:highlight w:val="none"/>
        </w:rPr>
        <w:t>22.2对发现在本次谈判、评审过程中存在的任何违规、违纪情况也可以向</w:t>
      </w:r>
      <w:r>
        <w:rPr>
          <w:rFonts w:hint="eastAsia" w:cs="Times New Roman" w:asciiTheme="minorEastAsia" w:hAnsiTheme="minorEastAsia" w:eastAsiaTheme="minorEastAsia"/>
          <w:color w:val="auto"/>
          <w:highlight w:val="none"/>
        </w:rPr>
        <w:t>云南省绿色能源产业集团有限公司纪委办公室进行电话举报，电话：0871-64981473。</w:t>
      </w:r>
      <w:bookmarkEnd w:id="328"/>
      <w:bookmarkEnd w:id="329"/>
      <w:r>
        <w:rPr>
          <w:rFonts w:hint="eastAsia" w:cs="Times New Roman" w:asciiTheme="minorEastAsia" w:hAnsiTheme="minorEastAsia" w:eastAsiaTheme="minorEastAsia"/>
          <w:color w:val="auto"/>
          <w:highlight w:val="none"/>
        </w:rPr>
        <w:t xml:space="preserve"> </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330" w:name="_Toc490599236"/>
      <w:bookmarkStart w:id="331" w:name="_Toc130564341"/>
      <w:bookmarkStart w:id="332" w:name="_Toc107864029"/>
      <w:bookmarkStart w:id="333" w:name="_Toc10312"/>
      <w:bookmarkStart w:id="334" w:name="_Toc130562765"/>
      <w:bookmarkStart w:id="335" w:name="_Toc130564908"/>
      <w:bookmarkStart w:id="336" w:name="_Toc139987939"/>
      <w:bookmarkStart w:id="337" w:name="_Toc519163215"/>
      <w:r>
        <w:rPr>
          <w:rFonts w:hint="eastAsia" w:asciiTheme="minorEastAsia" w:hAnsiTheme="minorEastAsia" w:eastAsiaTheme="minorEastAsia"/>
          <w:b/>
          <w:bCs/>
          <w:color w:val="auto"/>
          <w:sz w:val="24"/>
          <w:highlight w:val="none"/>
        </w:rPr>
        <w:t>23.</w:t>
      </w:r>
      <w:r>
        <w:rPr>
          <w:rFonts w:asciiTheme="minorEastAsia" w:hAnsiTheme="minorEastAsia" w:eastAsiaTheme="minorEastAsia"/>
          <w:b/>
          <w:bCs/>
          <w:color w:val="auto"/>
          <w:sz w:val="24"/>
          <w:highlight w:val="none"/>
        </w:rPr>
        <w:t>采购代理服务费</w:t>
      </w:r>
      <w:bookmarkEnd w:id="325"/>
      <w:bookmarkEnd w:id="326"/>
      <w:bookmarkEnd w:id="327"/>
      <w:bookmarkEnd w:id="330"/>
      <w:bookmarkEnd w:id="331"/>
      <w:bookmarkEnd w:id="332"/>
      <w:bookmarkEnd w:id="333"/>
      <w:bookmarkEnd w:id="334"/>
      <w:bookmarkEnd w:id="335"/>
      <w:bookmarkEnd w:id="336"/>
      <w:bookmarkEnd w:id="337"/>
    </w:p>
    <w:p>
      <w:pPr>
        <w:ind w:firstLine="420" w:firstLineChars="200"/>
        <w:rPr>
          <w:rFonts w:hint="eastAsia"/>
          <w:color w:val="auto"/>
          <w:highlight w:val="none"/>
          <w:lang w:val="en-US" w:eastAsia="zh-CN"/>
        </w:rPr>
      </w:pPr>
      <w:bookmarkStart w:id="338" w:name="_Toc24325"/>
      <w:bookmarkStart w:id="339" w:name="_Toc130564909"/>
      <w:bookmarkStart w:id="340" w:name="_Toc107864030"/>
      <w:bookmarkStart w:id="341" w:name="_Toc385344468"/>
      <w:bookmarkStart w:id="342" w:name="_Toc139987940"/>
      <w:bookmarkStart w:id="343" w:name="_Toc130564342"/>
      <w:bookmarkStart w:id="344" w:name="_Toc329810217"/>
      <w:bookmarkStart w:id="345" w:name="_Toc490599237"/>
      <w:bookmarkStart w:id="346" w:name="_Toc519163216"/>
      <w:bookmarkStart w:id="347" w:name="_Toc130562766"/>
      <w:r>
        <w:rPr>
          <w:rFonts w:hint="eastAsia"/>
          <w:color w:val="auto"/>
          <w:highlight w:val="none"/>
          <w:lang w:val="en-US" w:eastAsia="zh-CN"/>
        </w:rPr>
        <w:t>无</w:t>
      </w:r>
      <w:bookmarkEnd w:id="338"/>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348" w:name="_Toc29169"/>
      <w:r>
        <w:rPr>
          <w:rFonts w:hint="eastAsia" w:asciiTheme="minorEastAsia" w:hAnsiTheme="minorEastAsia" w:eastAsiaTheme="minorEastAsia"/>
          <w:b/>
          <w:bCs/>
          <w:color w:val="auto"/>
          <w:sz w:val="24"/>
          <w:highlight w:val="none"/>
        </w:rPr>
        <w:t>24.谈判文件编制依据</w:t>
      </w:r>
      <w:bookmarkEnd w:id="339"/>
      <w:bookmarkEnd w:id="340"/>
      <w:bookmarkEnd w:id="341"/>
      <w:bookmarkEnd w:id="342"/>
      <w:bookmarkEnd w:id="343"/>
      <w:bookmarkEnd w:id="344"/>
      <w:bookmarkEnd w:id="345"/>
      <w:bookmarkEnd w:id="346"/>
      <w:bookmarkEnd w:id="347"/>
      <w:bookmarkEnd w:id="348"/>
    </w:p>
    <w:p>
      <w:pPr>
        <w:spacing w:line="400" w:lineRule="exact"/>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本谈判文件是根据《中华人民共和国招标投标法》及相关法律法规编制。</w:t>
      </w:r>
    </w:p>
    <w:p>
      <w:pPr>
        <w:keepNext/>
        <w:keepLines/>
        <w:tabs>
          <w:tab w:val="left" w:pos="360"/>
          <w:tab w:val="left" w:pos="786"/>
        </w:tabs>
        <w:spacing w:after="120" w:line="400" w:lineRule="exact"/>
        <w:ind w:firstLine="480" w:firstLineChars="200"/>
        <w:jc w:val="left"/>
        <w:outlineLvl w:val="2"/>
        <w:rPr>
          <w:rFonts w:asciiTheme="minorEastAsia" w:hAnsiTheme="minorEastAsia" w:eastAsiaTheme="minorEastAsia"/>
          <w:b/>
          <w:bCs/>
          <w:color w:val="auto"/>
          <w:sz w:val="24"/>
          <w:highlight w:val="none"/>
        </w:rPr>
      </w:pPr>
      <w:bookmarkStart w:id="349" w:name="_Toc385344469"/>
      <w:bookmarkStart w:id="350" w:name="_Toc519163217"/>
      <w:bookmarkStart w:id="351" w:name="_Toc86124077"/>
      <w:bookmarkStart w:id="352" w:name="_Toc329810218"/>
      <w:bookmarkStart w:id="353" w:name="_Toc130564910"/>
      <w:bookmarkStart w:id="354" w:name="_Toc490599238"/>
      <w:bookmarkStart w:id="355" w:name="_Toc130562767"/>
      <w:bookmarkStart w:id="356" w:name="_Toc107864031"/>
      <w:bookmarkStart w:id="357" w:name="_Toc24501"/>
      <w:bookmarkStart w:id="358" w:name="_Toc139987941"/>
      <w:bookmarkStart w:id="359" w:name="_Toc130564343"/>
      <w:r>
        <w:rPr>
          <w:rFonts w:hint="eastAsia" w:asciiTheme="minorEastAsia" w:hAnsiTheme="minorEastAsia" w:eastAsiaTheme="minorEastAsia"/>
          <w:b/>
          <w:bCs/>
          <w:color w:val="auto"/>
          <w:sz w:val="24"/>
          <w:highlight w:val="none"/>
        </w:rPr>
        <w:t>25.</w:t>
      </w:r>
      <w:r>
        <w:rPr>
          <w:rFonts w:asciiTheme="minorEastAsia" w:hAnsiTheme="minorEastAsia" w:eastAsiaTheme="minorEastAsia"/>
          <w:b/>
          <w:bCs/>
          <w:color w:val="auto"/>
          <w:sz w:val="24"/>
          <w:highlight w:val="none"/>
        </w:rPr>
        <w:t>需要补充的其他内容</w:t>
      </w:r>
      <w:bookmarkEnd w:id="349"/>
      <w:bookmarkEnd w:id="350"/>
      <w:bookmarkEnd w:id="351"/>
      <w:bookmarkEnd w:id="352"/>
      <w:bookmarkEnd w:id="353"/>
      <w:bookmarkEnd w:id="354"/>
      <w:bookmarkEnd w:id="355"/>
      <w:bookmarkEnd w:id="356"/>
      <w:bookmarkEnd w:id="357"/>
      <w:bookmarkEnd w:id="358"/>
      <w:bookmarkEnd w:id="359"/>
    </w:p>
    <w:p>
      <w:pPr>
        <w:spacing w:line="400" w:lineRule="exact"/>
        <w:ind w:firstLine="525" w:firstLineChars="25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需要补充的其他内容：见“</w:t>
      </w:r>
      <w:r>
        <w:rPr>
          <w:rFonts w:asciiTheme="minorEastAsia" w:hAnsiTheme="minorEastAsia" w:eastAsiaTheme="minorEastAsia"/>
          <w:b/>
          <w:color w:val="auto"/>
          <w:szCs w:val="21"/>
          <w:highlight w:val="none"/>
        </w:rPr>
        <w:t>谈判申请人须知前附表</w:t>
      </w:r>
      <w:r>
        <w:rPr>
          <w:rFonts w:asciiTheme="minorEastAsia" w:hAnsiTheme="minorEastAsia" w:eastAsiaTheme="minorEastAsia"/>
          <w:color w:val="auto"/>
          <w:szCs w:val="21"/>
          <w:highlight w:val="none"/>
        </w:rPr>
        <w:t>”。</w:t>
      </w:r>
    </w:p>
    <w:p>
      <w:pPr>
        <w:keepNext/>
        <w:autoSpaceDE w:val="0"/>
        <w:autoSpaceDN w:val="0"/>
        <w:adjustRightInd w:val="0"/>
        <w:jc w:val="center"/>
        <w:rPr>
          <w:rFonts w:asciiTheme="minorEastAsia" w:hAnsiTheme="minorEastAsia" w:eastAsiaTheme="minorEastAsia"/>
          <w:color w:val="auto"/>
          <w:highlight w:val="none"/>
        </w:rPr>
      </w:pPr>
      <w:bookmarkStart w:id="360" w:name="_Toc86124078"/>
      <w:r>
        <w:rPr>
          <w:rFonts w:asciiTheme="minorEastAsia" w:hAnsiTheme="minorEastAsia" w:eastAsiaTheme="minorEastAsia"/>
          <w:b/>
          <w:bCs/>
          <w:color w:val="auto"/>
          <w:kern w:val="0"/>
          <w:sz w:val="32"/>
          <w:szCs w:val="32"/>
          <w:highlight w:val="none"/>
        </w:rPr>
        <w:br w:type="page"/>
      </w:r>
      <w:bookmarkEnd w:id="360"/>
      <w:bookmarkStart w:id="361" w:name="_Toc86124081"/>
    </w:p>
    <w:p>
      <w:pPr>
        <w:pStyle w:val="2"/>
        <w:bidi w:val="0"/>
        <w:rPr>
          <w:rFonts w:hint="eastAsia"/>
          <w:color w:val="auto"/>
          <w:highlight w:val="none"/>
        </w:rPr>
      </w:pPr>
      <w:bookmarkStart w:id="362" w:name="_Toc15364"/>
      <w:bookmarkStart w:id="363" w:name="_Toc32510"/>
      <w:bookmarkStart w:id="364" w:name="_Toc130564912"/>
      <w:r>
        <w:rPr>
          <w:color w:val="auto"/>
          <w:highlight w:val="none"/>
        </w:rPr>
        <w:t>第</w:t>
      </w:r>
      <w:r>
        <w:rPr>
          <w:rFonts w:hint="eastAsia"/>
          <w:color w:val="auto"/>
          <w:highlight w:val="none"/>
        </w:rPr>
        <w:t>三</w:t>
      </w:r>
      <w:r>
        <w:rPr>
          <w:color w:val="auto"/>
          <w:highlight w:val="none"/>
        </w:rPr>
        <w:t>章</w:t>
      </w:r>
      <w:r>
        <w:rPr>
          <w:rFonts w:hint="eastAsia"/>
          <w:color w:val="auto"/>
          <w:highlight w:val="none"/>
        </w:rPr>
        <w:t xml:space="preserve"> 合同书样式及主要条款</w:t>
      </w:r>
      <w:bookmarkEnd w:id="362"/>
      <w:bookmarkEnd w:id="363"/>
    </w:p>
    <w:p>
      <w:pPr>
        <w:shd w:val="clear" w:color="auto" w:fill="auto"/>
        <w:ind w:firstLine="560"/>
        <w:jc w:val="center"/>
        <w:outlineLvl w:val="9"/>
        <w:rPr>
          <w:rFonts w:eastAsia="黑体"/>
          <w:color w:val="auto"/>
          <w:sz w:val="28"/>
          <w:szCs w:val="28"/>
          <w:highlight w:val="none"/>
        </w:rPr>
      </w:pPr>
      <w:bookmarkStart w:id="365" w:name="_Toc9084"/>
      <w:bookmarkStart w:id="366" w:name="_Toc29063"/>
      <w:r>
        <w:rPr>
          <w:rFonts w:eastAsia="黑体"/>
          <w:color w:val="auto"/>
          <w:sz w:val="28"/>
          <w:szCs w:val="28"/>
          <w:highlight w:val="none"/>
        </w:rPr>
        <w:t>合同协议书</w:t>
      </w:r>
      <w:bookmarkEnd w:id="365"/>
    </w:p>
    <w:p>
      <w:pPr>
        <w:shd w:val="clear" w:color="auto" w:fill="auto"/>
        <w:outlineLvl w:val="9"/>
        <w:rPr>
          <w:rFonts w:hint="eastAsia"/>
          <w:color w:val="auto"/>
          <w:sz w:val="24"/>
          <w:highlight w:val="none"/>
          <w:u w:val="single"/>
        </w:rPr>
      </w:pPr>
    </w:p>
    <w:p>
      <w:pPr>
        <w:shd w:val="clear" w:color="auto" w:fill="auto"/>
        <w:spacing w:line="360" w:lineRule="auto"/>
        <w:outlineLvl w:val="9"/>
        <w:rPr>
          <w:color w:val="auto"/>
          <w:sz w:val="24"/>
          <w:highlight w:val="none"/>
          <w:u w:val="single"/>
        </w:rPr>
      </w:pPr>
      <w:r>
        <w:rPr>
          <w:rFonts w:hint="eastAsia"/>
          <w:color w:val="auto"/>
          <w:sz w:val="24"/>
          <w:highlight w:val="none"/>
          <w:u w:val="single"/>
        </w:rPr>
        <w:t>甲方（发包人）：</w:t>
      </w:r>
    </w:p>
    <w:p>
      <w:pPr>
        <w:shd w:val="clear" w:color="auto" w:fill="auto"/>
        <w:spacing w:line="360" w:lineRule="auto"/>
        <w:outlineLvl w:val="9"/>
        <w:rPr>
          <w:color w:val="auto"/>
          <w:sz w:val="24"/>
          <w:highlight w:val="none"/>
          <w:u w:val="single"/>
        </w:rPr>
      </w:pPr>
      <w:r>
        <w:rPr>
          <w:rFonts w:hint="eastAsia"/>
          <w:color w:val="auto"/>
          <w:sz w:val="24"/>
          <w:highlight w:val="none"/>
          <w:u w:val="single"/>
        </w:rPr>
        <w:t xml:space="preserve">乙方（承包人）：                         </w:t>
      </w:r>
    </w:p>
    <w:p>
      <w:pPr>
        <w:shd w:val="clear" w:color="auto" w:fill="auto"/>
        <w:spacing w:line="360" w:lineRule="auto"/>
        <w:ind w:firstLine="480" w:firstLineChars="200"/>
        <w:outlineLvl w:val="9"/>
        <w:rPr>
          <w:color w:val="auto"/>
          <w:sz w:val="24"/>
          <w:highlight w:val="none"/>
        </w:rPr>
      </w:pPr>
      <w:r>
        <w:rPr>
          <w:rFonts w:hint="eastAsia"/>
          <w:color w:val="auto"/>
          <w:sz w:val="24"/>
          <w:highlight w:val="none"/>
        </w:rPr>
        <w:t>根据《中华人民共和国民法典》《中华人民共和国建筑法》及有关法律规定，遵循平等、自愿、公平和诚实信用的原则，双方就背阴山尾矿库分布式光伏发电项目送出</w:t>
      </w:r>
      <w:r>
        <w:rPr>
          <w:rFonts w:hint="eastAsia"/>
          <w:color w:val="auto"/>
          <w:sz w:val="24"/>
          <w:highlight w:val="none"/>
          <w:lang w:eastAsia="zh-CN"/>
        </w:rPr>
        <w:t>线路设计施工总承包工程</w:t>
      </w:r>
      <w:r>
        <w:rPr>
          <w:rFonts w:hint="eastAsia"/>
          <w:color w:val="auto"/>
          <w:sz w:val="24"/>
          <w:highlight w:val="none"/>
        </w:rPr>
        <w:t>及有关事项协商一致，共同达成如下协议：</w:t>
      </w:r>
    </w:p>
    <w:p>
      <w:pPr>
        <w:keepNext w:val="0"/>
        <w:keepLines w:val="0"/>
        <w:widowControl/>
        <w:suppressLineNumbers w:val="0"/>
        <w:spacing w:line="360" w:lineRule="auto"/>
        <w:jc w:val="left"/>
        <w:rPr>
          <w:color w:val="auto"/>
          <w:highlight w:val="none"/>
        </w:rPr>
      </w:pPr>
      <w:bookmarkStart w:id="367" w:name="_Toc6069"/>
      <w:bookmarkStart w:id="368" w:name="_Toc144327071"/>
      <w:bookmarkStart w:id="369" w:name="_Toc21220"/>
      <w:r>
        <w:rPr>
          <w:rFonts w:hint="eastAsia" w:ascii="宋体" w:hAnsi="宋体" w:eastAsia="宋体" w:cs="宋体"/>
          <w:b/>
          <w:bCs/>
          <w:color w:val="auto"/>
          <w:kern w:val="0"/>
          <w:sz w:val="24"/>
          <w:szCs w:val="24"/>
          <w:highlight w:val="none"/>
          <w:lang w:val="en-US" w:eastAsia="zh-CN" w:bidi="ar"/>
        </w:rPr>
        <w:t>一、工程概况</w:t>
      </w:r>
    </w:p>
    <w:p>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1.工程名称：</w:t>
      </w:r>
      <w:r>
        <w:rPr>
          <w:rFonts w:hint="eastAsia"/>
          <w:color w:val="auto"/>
          <w:sz w:val="24"/>
          <w:highlight w:val="none"/>
        </w:rPr>
        <w:t>背阴山尾矿库分布式光伏发电项目送出</w:t>
      </w:r>
      <w:r>
        <w:rPr>
          <w:rFonts w:hint="eastAsia"/>
          <w:color w:val="auto"/>
          <w:sz w:val="24"/>
          <w:highlight w:val="none"/>
          <w:lang w:eastAsia="zh-CN"/>
        </w:rPr>
        <w:t>线路设计施工总承包工程</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2.工程地点：云南省红河哈尼族彝族自治州个旧市老厂镇。 </w:t>
      </w:r>
    </w:p>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3.工程规模：</w:t>
      </w:r>
      <w:r>
        <w:rPr>
          <w:rFonts w:hint="eastAsia" w:ascii="宋体" w:hAnsi="宋体" w:eastAsia="宋体" w:cs="宋体"/>
          <w:color w:val="auto"/>
          <w:kern w:val="0"/>
          <w:sz w:val="24"/>
          <w:szCs w:val="24"/>
          <w:highlight w:val="none"/>
          <w:lang w:val="en-US" w:eastAsia="zh-CN" w:bidi="ar"/>
        </w:rPr>
        <w:t>背阴山尾矿库分布式光伏发电项目直流侧装机容量19.95MWp，交流侧装机容量15MW，以3回6.3kV线路(输送容量分别为6MW/4.5MW/4.5MW)送至35kV老厂变6.3kV侧母线，并同步对35kV老厂变6.3kV侧母线进行扩容改造。送出线路工程自光伏厂区集电线路延伸工程（开关站汇集后敷设3回电缆至尾矿库东侧坝后安全区域后上爬至第一送出线路塔，电缆路径长度约3*0.55km）末端为起点，通过架空线路向东南走线，接入35kV老厂变6.3kV间隔。新建架空线路长度约3×1.20km(采用同塔设计模式)，电缆路径长约3×0.13km。</w:t>
      </w:r>
      <w:r>
        <w:rPr>
          <w:rFonts w:hint="eastAsia" w:asciiTheme="minorEastAsia" w:hAnsiTheme="minorEastAsia" w:eastAsiaTheme="minorEastAsia"/>
          <w:b/>
          <w:bCs/>
          <w:color w:val="auto"/>
          <w:szCs w:val="21"/>
          <w:highlight w:val="none"/>
          <w:lang w:val="en-US" w:eastAsia="zh-CN"/>
        </w:rPr>
        <w:t>35kV老厂变6.3kV侧母线进行扩容改造：主要包含35kV老厂变6.3kV侧</w:t>
      </w:r>
      <w:r>
        <w:rPr>
          <w:rFonts w:hint="eastAsia" w:ascii="仿宋" w:hAnsi="仿宋" w:eastAsia="仿宋" w:cs="仿宋"/>
          <w:b/>
          <w:bCs/>
          <w:color w:val="auto"/>
          <w:szCs w:val="21"/>
          <w:highlight w:val="none"/>
          <w:lang w:val="en-US" w:eastAsia="zh-CN"/>
        </w:rPr>
        <w:t>Ⅰ</w:t>
      </w:r>
      <w:r>
        <w:rPr>
          <w:rFonts w:hint="eastAsia" w:asciiTheme="minorEastAsia" w:hAnsiTheme="minorEastAsia" w:eastAsiaTheme="minorEastAsia"/>
          <w:b/>
          <w:bCs/>
          <w:color w:val="auto"/>
          <w:szCs w:val="21"/>
          <w:highlight w:val="none"/>
          <w:lang w:val="en-US" w:eastAsia="zh-CN"/>
        </w:rPr>
        <w:t>段母线6111间隔扩容（主要包含新增6间隔环网柜及一、二次设备）、6.3kV侧</w:t>
      </w:r>
      <w:r>
        <w:rPr>
          <w:rFonts w:hint="eastAsia" w:ascii="仿宋" w:hAnsi="仿宋" w:eastAsia="仿宋" w:cs="仿宋"/>
          <w:b/>
          <w:bCs/>
          <w:color w:val="auto"/>
          <w:szCs w:val="21"/>
          <w:highlight w:val="none"/>
          <w:lang w:val="en-US" w:eastAsia="zh-CN"/>
        </w:rPr>
        <w:t>Ⅱ</w:t>
      </w:r>
      <w:r>
        <w:rPr>
          <w:rFonts w:hint="eastAsia" w:asciiTheme="minorEastAsia" w:hAnsiTheme="minorEastAsia" w:eastAsiaTheme="minorEastAsia"/>
          <w:b/>
          <w:bCs/>
          <w:color w:val="auto"/>
          <w:szCs w:val="21"/>
          <w:highlight w:val="none"/>
          <w:lang w:val="en-US" w:eastAsia="zh-CN"/>
        </w:rPr>
        <w:t>段母线6221间隔启用（主要包含更换电流互感器等一二次设备）。</w:t>
      </w:r>
      <w:r>
        <w:rPr>
          <w:rFonts w:hint="eastAsia" w:ascii="宋体" w:hAnsi="宋体" w:eastAsia="宋体" w:cs="宋体"/>
          <w:color w:val="auto"/>
          <w:kern w:val="0"/>
          <w:sz w:val="24"/>
          <w:szCs w:val="24"/>
          <w:highlight w:val="none"/>
          <w:lang w:val="en-US" w:eastAsia="zh-CN" w:bidi="ar"/>
        </w:rPr>
        <w:t>如线路路径方案发生重大变化，应将新的路径方案报电网公司同意。与电网重要交叉跨越点设计须满足云南电网相关技术要求。</w:t>
      </w:r>
    </w:p>
    <w:p>
      <w:pPr>
        <w:shd w:val="clear" w:color="auto" w:fill="auto"/>
        <w:spacing w:line="360" w:lineRule="auto"/>
        <w:ind w:firstLine="480" w:firstLineChars="200"/>
        <w:outlineLvl w:val="9"/>
        <w:rPr>
          <w:rFonts w:hint="eastAsia" w:asciiTheme="minorEastAsia" w:hAnsiTheme="minorEastAsia" w:eastAsiaTheme="minorEastAsia"/>
          <w:color w:val="auto"/>
          <w:szCs w:val="21"/>
          <w:highlight w:val="none"/>
          <w:lang w:eastAsia="zh-CN"/>
        </w:rPr>
      </w:pPr>
      <w:r>
        <w:rPr>
          <w:rFonts w:hint="eastAsia"/>
          <w:color w:val="auto"/>
          <w:sz w:val="24"/>
          <w:highlight w:val="none"/>
        </w:rPr>
        <w:t>5.工程承包范围：本次承包范围为背阴山尾矿库分布式光伏发电项目送出线路设计施工总承包工程的施工图设计、勘察、材料采购、线路及相关工程施工、全过程协调工作、移交生产及质保期两年内的全部工作。（包括但不限于）</w:t>
      </w:r>
      <w:r>
        <w:rPr>
          <w:rFonts w:hint="eastAsia" w:asciiTheme="minorEastAsia" w:hAnsiTheme="minorEastAsia" w:eastAsiaTheme="minorEastAsia"/>
          <w:color w:val="auto"/>
          <w:szCs w:val="21"/>
          <w:highlight w:val="none"/>
          <w:lang w:eastAsia="zh-CN"/>
        </w:rPr>
        <w:t>：</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5.1 送出工程（含满足南方电网要求因光伏发电项目接入所产生的对侧35kV老厂变设备改造工程，不含光伏厂区集电线路延伸工程（光伏项目开关站经过尾矿坝区域范围至送出线路第一基塔位置的电缆工程））勘察设计及施工，包括但不限于：施工图设计及设计优化，所需的所有设备及材料的采购、运输、储管、安装、调试、试验、验收、试运行、消缺等（所有设备及材料需满足电网公司的接入要求），所有建筑及安装工程施工，试验及检查测试，试运行，并网，消缺，验收（含阶段验收、竣工等），移交生产，性能质量保证，工程质量保修期限的服务等内容，不含业主单位按照地方政府或行政主管部门要求单独缴纳的行政性费用。</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5.2负责该线路路径交叉跨越协调工作、迁改工作，包括但不限于：涉及跨越、钻越不同电压等级电力线路，涉及跨越、钻越各种等级铁路、高速公路、公路等，直至线路正常投运。</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5.3负责征地协调、通道清理及相关手续办理工作，包含永久征地补偿、临时征地补偿、青苗补偿、附（构）筑物补偿等费用。</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5.4负责本工程所必须的图纸会审。负责工程所涉及的投运前验收、并网试验（客户厂站电网）、联调联试、并网（客户厂站电网）手续的办理工作，并承担相应的费用直至满足需要投产要求。配合业主完成（若有）的环保验收、消防验收、水保验收等工作，不包含环保验收、消防验收、水保验收等专项验收费用，直至满足需要投产要求。</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5.5负责办理质量监督手续，配合业主组织质量监督验收。</w:t>
      </w:r>
    </w:p>
    <w:p>
      <w:pPr>
        <w:keepNext w:val="0"/>
        <w:keepLines w:val="0"/>
        <w:widowControl/>
        <w:suppressLineNumbers w:val="0"/>
        <w:spacing w:line="360" w:lineRule="auto"/>
        <w:ind w:firstLine="480" w:firstLineChars="20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5.6负责所有与本工程相关的协调工作，配合业主完成送出线路工程可能发生（若有）的前期手续办理工作，不包含前期专题报告编制等费用。</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5.7申请人应认真开展现场踏勘，对项目线路征地风险、征地协调、交叉跨越等应充分考虑，并包括在投标报价中，因承包人原因导致的费用增加发包人不予认可。</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5.8本工程质保期时间为1年。</w:t>
      </w:r>
    </w:p>
    <w:p>
      <w:pPr>
        <w:widowControl w:val="0"/>
        <w:adjustRightInd/>
        <w:snapToGrid/>
        <w:spacing w:line="360" w:lineRule="auto"/>
        <w:ind w:firstLine="410" w:firstLineChars="171"/>
        <w:jc w:val="both"/>
        <w:rPr>
          <w:rFonts w:ascii="宋体" w:hAnsi="宋体"/>
          <w:b/>
          <w:bCs/>
          <w:color w:val="auto"/>
          <w:kern w:val="2"/>
          <w:sz w:val="24"/>
          <w:szCs w:val="24"/>
          <w:highlight w:val="none"/>
          <w:lang w:eastAsia="zh-CN" w:bidi="ar-SA"/>
        </w:rPr>
      </w:pPr>
      <w:r>
        <w:rPr>
          <w:rFonts w:ascii="宋体" w:hAnsi="宋体"/>
          <w:b/>
          <w:bCs/>
          <w:color w:val="auto"/>
          <w:kern w:val="2"/>
          <w:sz w:val="24"/>
          <w:szCs w:val="24"/>
          <w:highlight w:val="none"/>
          <w:lang w:eastAsia="zh-CN" w:bidi="ar-SA"/>
        </w:rPr>
        <w:t>二、合同工期</w:t>
      </w:r>
    </w:p>
    <w:p>
      <w:pPr>
        <w:wordWrap w:val="0"/>
        <w:spacing w:line="360" w:lineRule="auto"/>
        <w:ind w:firstLine="480" w:firstLineChars="200"/>
        <w:jc w:val="left"/>
        <w:rPr>
          <w:rFonts w:hint="eastAsia" w:ascii="宋体" w:hAnsi="宋体" w:eastAsia="宋体" w:cs="宋体"/>
          <w:color w:val="auto"/>
          <w:kern w:val="2"/>
          <w:sz w:val="24"/>
          <w:szCs w:val="20"/>
          <w:highlight w:val="none"/>
          <w:lang w:eastAsia="zh-CN" w:bidi="ar-SA"/>
        </w:rPr>
      </w:pPr>
      <w:r>
        <w:rPr>
          <w:rFonts w:hint="eastAsia" w:ascii="宋体" w:hAnsi="宋体" w:eastAsia="宋体" w:cs="宋体"/>
          <w:color w:val="auto"/>
          <w:kern w:val="2"/>
          <w:sz w:val="24"/>
          <w:szCs w:val="20"/>
          <w:highlight w:val="none"/>
          <w:lang w:eastAsia="zh-CN" w:bidi="ar-SA"/>
        </w:rPr>
        <w:t>本项目计划工期：</w:t>
      </w:r>
      <w:r>
        <w:rPr>
          <w:rFonts w:hint="eastAsia" w:ascii="宋体" w:hAnsi="宋体" w:cs="宋体"/>
          <w:color w:val="auto"/>
          <w:kern w:val="2"/>
          <w:sz w:val="24"/>
          <w:szCs w:val="20"/>
          <w:highlight w:val="none"/>
          <w:lang w:val="en-US" w:eastAsia="zh-CN" w:bidi="ar-SA"/>
        </w:rPr>
        <w:t>50</w:t>
      </w:r>
      <w:r>
        <w:rPr>
          <w:rFonts w:hint="eastAsia" w:ascii="宋体" w:hAnsi="宋体" w:eastAsia="宋体" w:cs="宋体"/>
          <w:color w:val="auto"/>
          <w:kern w:val="2"/>
          <w:sz w:val="24"/>
          <w:szCs w:val="20"/>
          <w:highlight w:val="none"/>
          <w:lang w:val="en-US" w:eastAsia="zh-CN" w:bidi="ar-SA"/>
        </w:rPr>
        <w:t>日历天</w:t>
      </w:r>
      <w:r>
        <w:rPr>
          <w:rFonts w:hint="eastAsia" w:ascii="宋体" w:hAnsi="宋体" w:eastAsia="宋体" w:cs="宋体"/>
          <w:color w:val="auto"/>
          <w:kern w:val="2"/>
          <w:sz w:val="24"/>
          <w:szCs w:val="20"/>
          <w:highlight w:val="none"/>
          <w:lang w:eastAsia="zh-CN" w:bidi="ar-SA"/>
        </w:rPr>
        <w:t>。实际</w:t>
      </w:r>
      <w:r>
        <w:rPr>
          <w:rFonts w:hint="eastAsia" w:ascii="宋体" w:hAnsi="宋体" w:eastAsia="宋体" w:cs="宋体"/>
          <w:color w:val="auto"/>
          <w:kern w:val="2"/>
          <w:sz w:val="24"/>
          <w:szCs w:val="20"/>
          <w:highlight w:val="none"/>
          <w:lang w:val="en-US" w:eastAsia="zh-CN" w:bidi="ar-SA"/>
        </w:rPr>
        <w:t>开工日期</w:t>
      </w:r>
      <w:r>
        <w:rPr>
          <w:rFonts w:hint="eastAsia" w:ascii="宋体" w:hAnsi="宋体" w:eastAsia="宋体" w:cs="宋体"/>
          <w:color w:val="auto"/>
          <w:kern w:val="2"/>
          <w:sz w:val="24"/>
          <w:szCs w:val="20"/>
          <w:highlight w:val="none"/>
          <w:lang w:eastAsia="zh-CN" w:bidi="ar-SA"/>
        </w:rPr>
        <w:t>按照监理人</w:t>
      </w:r>
      <w:r>
        <w:rPr>
          <w:rFonts w:hint="eastAsia" w:ascii="宋体" w:hAnsi="宋体" w:cs="宋体"/>
          <w:color w:val="auto"/>
          <w:kern w:val="2"/>
          <w:sz w:val="24"/>
          <w:szCs w:val="20"/>
          <w:highlight w:val="none"/>
          <w:lang w:eastAsia="zh-CN" w:bidi="ar-SA"/>
        </w:rPr>
        <w:t>（</w:t>
      </w:r>
      <w:r>
        <w:rPr>
          <w:rFonts w:hint="eastAsia" w:ascii="宋体" w:hAnsi="宋体" w:cs="宋体"/>
          <w:color w:val="auto"/>
          <w:kern w:val="2"/>
          <w:sz w:val="24"/>
          <w:szCs w:val="20"/>
          <w:highlight w:val="none"/>
          <w:lang w:val="en-US" w:eastAsia="zh-CN" w:bidi="ar-SA"/>
        </w:rPr>
        <w:t>或业主</w:t>
      </w:r>
      <w:r>
        <w:rPr>
          <w:rFonts w:hint="eastAsia" w:ascii="宋体" w:hAnsi="宋体" w:cs="宋体"/>
          <w:color w:val="auto"/>
          <w:kern w:val="2"/>
          <w:sz w:val="24"/>
          <w:szCs w:val="20"/>
          <w:highlight w:val="none"/>
          <w:lang w:eastAsia="zh-CN" w:bidi="ar-SA"/>
        </w:rPr>
        <w:t>）</w:t>
      </w:r>
      <w:r>
        <w:rPr>
          <w:rFonts w:hint="eastAsia" w:ascii="宋体" w:hAnsi="宋体" w:eastAsia="宋体" w:cs="宋体"/>
          <w:color w:val="auto"/>
          <w:kern w:val="2"/>
          <w:sz w:val="24"/>
          <w:szCs w:val="20"/>
          <w:highlight w:val="none"/>
          <w:lang w:eastAsia="zh-CN" w:bidi="ar-SA"/>
        </w:rPr>
        <w:t>开始工作通知中载明的开始工作时间为准。</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rPr>
      </w:pPr>
      <w:r>
        <w:rPr>
          <w:rFonts w:hint="eastAsia" w:ascii="宋体" w:hAnsi="宋体"/>
          <w:b/>
          <w:bCs/>
          <w:color w:val="auto"/>
          <w:kern w:val="2"/>
          <w:szCs w:val="24"/>
          <w:highlight w:val="none"/>
          <w:lang w:eastAsia="zh-CN" w:bidi="ar-SA"/>
        </w:rPr>
        <w:t>三</w:t>
      </w:r>
      <w:r>
        <w:rPr>
          <w:rFonts w:ascii="宋体" w:hAnsi="宋体"/>
          <w:b/>
          <w:bCs/>
          <w:color w:val="auto"/>
          <w:kern w:val="2"/>
          <w:szCs w:val="24"/>
          <w:highlight w:val="none"/>
          <w:lang w:eastAsia="zh-CN" w:bidi="ar-SA"/>
        </w:rPr>
        <w:t>、</w:t>
      </w:r>
      <w:r>
        <w:rPr>
          <w:rFonts w:hint="eastAsia" w:ascii="宋体" w:hAnsi="宋体" w:eastAsia="宋体" w:cs="宋体"/>
          <w:b/>
          <w:bCs/>
          <w:color w:val="auto"/>
          <w:sz w:val="24"/>
          <w:szCs w:val="22"/>
          <w:highlight w:val="none"/>
        </w:rPr>
        <w:t>本协议书与下列文件一起构成合同文件：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3.1.合同组成及优先顺序</w:t>
      </w:r>
      <w:bookmarkEnd w:id="367"/>
      <w:bookmarkEnd w:id="368"/>
      <w:bookmarkEnd w:id="369"/>
      <w:r>
        <w:rPr>
          <w:rFonts w:hint="eastAsia" w:ascii="宋体" w:hAnsi="宋体" w:eastAsia="宋体" w:cs="宋体"/>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合同履行过程中，双方协商同意的变更、纪要、协议及补充和修改文件；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本合同协议书</w:t>
      </w:r>
      <w:r>
        <w:rPr>
          <w:rFonts w:hint="eastAsia" w:ascii="宋体" w:hAnsi="宋体" w:eastAsia="宋体" w:cs="宋体"/>
          <w:color w:val="auto"/>
          <w:sz w:val="24"/>
          <w:highlight w:val="none"/>
          <w:lang w:eastAsia="zh-CN"/>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中标通知书；</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投标函及其附录；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专用合同条款及《发包人要求》等附件；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通用合同条款；</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投标文件及其附件；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设计文件、资料和图纸；</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标准、规范及有关技术文件；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已标价工程量清单或预算书</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如有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）联合体协议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如有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构成合同组成部分的其他文件。</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3.2 </w:t>
      </w:r>
      <w:r>
        <w:rPr>
          <w:rFonts w:hint="eastAsia" w:ascii="宋体" w:hAnsi="宋体" w:eastAsia="宋体" w:cs="宋体"/>
          <w:color w:val="auto"/>
          <w:sz w:val="24"/>
          <w:highlight w:val="none"/>
        </w:rPr>
        <w:t>在合同订立及履行过程中，双方有关工程的洽商、变更等书面协议或文件视为构成本合同的组成部分。上述各项合同文件包括合同当事人就该项合同文件所作出的补充和修改，属于同一类内容的文件，应以最新签署的为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3.3 </w:t>
      </w:r>
      <w:r>
        <w:rPr>
          <w:rFonts w:hint="eastAsia" w:ascii="宋体" w:hAnsi="宋体" w:eastAsia="宋体" w:cs="宋体"/>
          <w:color w:val="auto"/>
          <w:sz w:val="24"/>
          <w:highlight w:val="none"/>
        </w:rPr>
        <w:t>上述文件互相补充和解释，如有不明确或不一致之处，以所列顺序在前的为准，同一顺序的则以时间在后的为准。某一合同组成文件本身存在含糊不清或不相一致的情形时，双方应从合同目的实现的角度协商解决，但不应对工程实施造成不利影响。经协商后双方无法达成一致意见的，可按合同条款的规定提请争议解决</w:t>
      </w:r>
      <w:r>
        <w:rPr>
          <w:rFonts w:hint="eastAsia" w:ascii="宋体" w:hAnsi="宋体" w:eastAsia="宋体" w:cs="宋体"/>
          <w:color w:val="auto"/>
          <w:sz w:val="24"/>
          <w:highlight w:val="none"/>
          <w:lang w:eastAsia="zh-CN"/>
        </w:rPr>
        <w:t>。</w:t>
      </w:r>
    </w:p>
    <w:p>
      <w:pPr>
        <w:widowControl w:val="0"/>
        <w:adjustRightInd/>
        <w:snapToGrid/>
        <w:spacing w:line="360" w:lineRule="auto"/>
        <w:ind w:firstLine="410" w:firstLineChars="171"/>
        <w:jc w:val="both"/>
        <w:rPr>
          <w:rFonts w:ascii="宋体" w:hAnsi="宋体"/>
          <w:b/>
          <w:color w:val="auto"/>
          <w:kern w:val="2"/>
          <w:sz w:val="24"/>
          <w:szCs w:val="24"/>
          <w:highlight w:val="none"/>
          <w:lang w:eastAsia="zh-CN" w:bidi="ar-SA"/>
        </w:rPr>
      </w:pPr>
      <w:r>
        <w:rPr>
          <w:rFonts w:hint="eastAsia" w:ascii="宋体" w:hAnsi="宋体"/>
          <w:b/>
          <w:color w:val="auto"/>
          <w:kern w:val="2"/>
          <w:sz w:val="24"/>
          <w:szCs w:val="24"/>
          <w:highlight w:val="none"/>
          <w:lang w:eastAsia="zh-CN" w:bidi="ar-SA"/>
        </w:rPr>
        <w:t>四</w:t>
      </w:r>
      <w:r>
        <w:rPr>
          <w:rFonts w:ascii="宋体" w:hAnsi="宋体"/>
          <w:b/>
          <w:color w:val="auto"/>
          <w:kern w:val="2"/>
          <w:sz w:val="24"/>
          <w:szCs w:val="24"/>
          <w:highlight w:val="none"/>
          <w:lang w:eastAsia="zh-CN" w:bidi="ar-SA"/>
        </w:rPr>
        <w:t>、合同金额</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（1）本合同为总价合同，包括固定总价及暂列金额。</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（2）合同总价（</w:t>
      </w:r>
      <w:r>
        <w:rPr>
          <w:rFonts w:hint="eastAsia" w:ascii="宋体" w:hAnsi="宋体" w:eastAsia="宋体" w:cs="宋体"/>
          <w:color w:val="auto"/>
          <w:sz w:val="24"/>
          <w:highlight w:val="none"/>
          <w:lang w:val="en-US" w:eastAsia="zh-CN"/>
        </w:rPr>
        <w:t>含税</w:t>
      </w:r>
      <w:r>
        <w:rPr>
          <w:rFonts w:hint="eastAsia" w:ascii="宋体" w:hAnsi="宋体" w:eastAsia="宋体" w:cs="宋体"/>
          <w:color w:val="auto"/>
          <w:sz w:val="24"/>
          <w:highlight w:val="none"/>
        </w:rPr>
        <w:t>）（小写¥元）</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税金（大写）（</w:t>
      </w:r>
      <w:r>
        <w:rPr>
          <w:rFonts w:hint="eastAsia" w:ascii="宋体" w:hAnsi="宋体" w:eastAsia="宋体" w:cs="宋体"/>
          <w:color w:val="auto"/>
          <w:sz w:val="24"/>
          <w:highlight w:val="none"/>
        </w:rPr>
        <w:t>小写¥元</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其中：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1 \* GB3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①</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勘察设计</w:t>
      </w:r>
      <w:r>
        <w:rPr>
          <w:rFonts w:hint="eastAsia" w:ascii="宋体" w:hAnsi="宋体" w:eastAsia="宋体" w:cs="宋体"/>
          <w:color w:val="auto"/>
          <w:sz w:val="24"/>
          <w:highlight w:val="none"/>
          <w:lang w:val="en-US" w:eastAsia="zh-CN"/>
        </w:rPr>
        <w:t>费：</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lang w:val="en-US" w:eastAsia="zh-CN"/>
        </w:rPr>
        <w:t>含税</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元</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税金（大写）（</w:t>
      </w:r>
      <w:r>
        <w:rPr>
          <w:rFonts w:hint="eastAsia" w:ascii="宋体" w:hAnsi="宋体" w:eastAsia="宋体" w:cs="宋体"/>
          <w:color w:val="auto"/>
          <w:sz w:val="24"/>
          <w:highlight w:val="none"/>
        </w:rPr>
        <w:t>小写¥元</w:t>
      </w:r>
      <w:r>
        <w:rPr>
          <w:rFonts w:hint="eastAsia" w:ascii="宋体" w:hAnsi="宋体" w:eastAsia="宋体" w:cs="宋体"/>
          <w:color w:val="auto"/>
          <w:sz w:val="24"/>
          <w:highlight w:val="none"/>
          <w:lang w:eastAsia="zh-CN"/>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2 \* GB3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②</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建筑安装工程</w:t>
      </w:r>
      <w:r>
        <w:rPr>
          <w:rFonts w:hint="eastAsia" w:ascii="宋体" w:hAnsi="宋体" w:eastAsia="宋体" w:cs="宋体"/>
          <w:color w:val="auto"/>
          <w:sz w:val="24"/>
          <w:highlight w:val="none"/>
          <w:lang w:val="en-US" w:eastAsia="zh-CN"/>
        </w:rPr>
        <w:t>费（含装置性材料购置费）：</w:t>
      </w:r>
      <w:r>
        <w:rPr>
          <w:rFonts w:hint="eastAsia" w:ascii="宋体" w:hAnsi="宋体" w:eastAsia="宋体" w:cs="宋体"/>
          <w:color w:val="auto"/>
          <w:sz w:val="24"/>
          <w:highlight w:val="none"/>
        </w:rPr>
        <w:t>人民币（</w:t>
      </w:r>
      <w:r>
        <w:rPr>
          <w:rFonts w:hint="eastAsia" w:ascii="宋体" w:hAnsi="宋体" w:eastAsia="宋体" w:cs="宋体"/>
          <w:color w:val="auto"/>
          <w:sz w:val="24"/>
          <w:highlight w:val="none"/>
          <w:lang w:val="en-US" w:eastAsia="zh-CN"/>
        </w:rPr>
        <w:t>含税</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元</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税金（大写）（</w:t>
      </w:r>
      <w:r>
        <w:rPr>
          <w:rFonts w:hint="eastAsia" w:ascii="宋体" w:hAnsi="宋体" w:eastAsia="宋体" w:cs="宋体"/>
          <w:color w:val="auto"/>
          <w:sz w:val="24"/>
          <w:highlight w:val="none"/>
        </w:rPr>
        <w:t>小写¥元</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合同执行过程中，如发生国家财税政策调整，或投标人提供增值税专用发票税率与投标报价阶段所报税率不一致，本合同不含税价不因增值税税率变化而调整，增值税税额将随适用的增值税税率调整而同步调整，合同含税总价相应调整。</w:t>
      </w:r>
    </w:p>
    <w:p>
      <w:pPr>
        <w:widowControl w:val="0"/>
        <w:adjustRightInd/>
        <w:snapToGrid/>
        <w:ind w:firstLine="410" w:firstLineChars="171"/>
        <w:jc w:val="both"/>
        <w:rPr>
          <w:rFonts w:ascii="宋体" w:hAnsi="宋体"/>
          <w:b/>
          <w:color w:val="auto"/>
          <w:kern w:val="2"/>
          <w:sz w:val="24"/>
          <w:szCs w:val="24"/>
          <w:highlight w:val="none"/>
          <w:lang w:eastAsia="zh-CN" w:bidi="ar-SA"/>
        </w:rPr>
      </w:pPr>
      <w:r>
        <w:rPr>
          <w:rFonts w:hint="eastAsia" w:ascii="宋体" w:hAnsi="宋体"/>
          <w:b/>
          <w:color w:val="auto"/>
          <w:kern w:val="2"/>
          <w:sz w:val="24"/>
          <w:szCs w:val="24"/>
          <w:highlight w:val="none"/>
          <w:lang w:eastAsia="zh-CN" w:bidi="ar-SA"/>
        </w:rPr>
        <w:t>五</w:t>
      </w:r>
      <w:r>
        <w:rPr>
          <w:rFonts w:ascii="宋体" w:hAnsi="宋体"/>
          <w:b/>
          <w:color w:val="auto"/>
          <w:kern w:val="2"/>
          <w:sz w:val="24"/>
          <w:szCs w:val="24"/>
          <w:highlight w:val="none"/>
          <w:lang w:eastAsia="zh-CN" w:bidi="ar-SA"/>
        </w:rPr>
        <w:t>、负责人</w:t>
      </w:r>
    </w:p>
    <w:p>
      <w:pPr>
        <w:keepNext w:val="0"/>
        <w:keepLines w:val="0"/>
        <w:pageBreakBefore w:val="0"/>
        <w:widowControl w:val="0"/>
        <w:kinsoku/>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（1）承包人项目总负责人：</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身份证号：，联系电话：</w:t>
      </w:r>
      <w:r>
        <w:rPr>
          <w:rFonts w:hint="eastAsia" w:ascii="宋体" w:hAnsi="宋体" w:eastAsia="宋体" w:cs="宋体"/>
          <w:color w:val="auto"/>
          <w:kern w:val="2"/>
          <w:sz w:val="24"/>
          <w:szCs w:val="24"/>
          <w:highlight w:val="none"/>
          <w:lang w:eastAsia="zh-CN" w:bidi="ar-SA"/>
        </w:rPr>
        <w:t>；</w:t>
      </w:r>
    </w:p>
    <w:p>
      <w:pPr>
        <w:keepNext w:val="0"/>
        <w:keepLines w:val="0"/>
        <w:pageBreakBefore w:val="0"/>
        <w:widowControl w:val="0"/>
        <w:kinsoku/>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（2）设计负责人：</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身份证号：，联系电话：</w:t>
      </w:r>
      <w:r>
        <w:rPr>
          <w:rFonts w:hint="eastAsia" w:ascii="宋体" w:hAnsi="宋体" w:eastAsia="宋体" w:cs="宋体"/>
          <w:color w:val="auto"/>
          <w:kern w:val="2"/>
          <w:sz w:val="24"/>
          <w:szCs w:val="24"/>
          <w:highlight w:val="none"/>
          <w:lang w:eastAsia="zh-CN" w:bidi="ar-SA"/>
        </w:rPr>
        <w:t>；</w:t>
      </w:r>
    </w:p>
    <w:p>
      <w:pPr>
        <w:keepNext w:val="0"/>
        <w:keepLines w:val="0"/>
        <w:pageBreakBefore w:val="0"/>
        <w:widowControl w:val="0"/>
        <w:kinsoku/>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u w:val="single"/>
          <w:lang w:eastAsia="zh-CN" w:bidi="ar-SA"/>
        </w:rPr>
      </w:pPr>
      <w:r>
        <w:rPr>
          <w:rFonts w:hint="eastAsia" w:ascii="宋体" w:hAnsi="宋体" w:eastAsia="宋体" w:cs="宋体"/>
          <w:color w:val="auto"/>
          <w:kern w:val="2"/>
          <w:sz w:val="24"/>
          <w:szCs w:val="24"/>
          <w:highlight w:val="none"/>
          <w:lang w:eastAsia="zh-CN" w:bidi="ar-SA"/>
        </w:rPr>
        <w:t>（3）技术负责人:</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身份证号：，联系电话：</w:t>
      </w:r>
      <w:r>
        <w:rPr>
          <w:rFonts w:hint="eastAsia" w:ascii="宋体" w:hAnsi="宋体" w:eastAsia="宋体" w:cs="宋体"/>
          <w:color w:val="auto"/>
          <w:kern w:val="2"/>
          <w:sz w:val="24"/>
          <w:szCs w:val="24"/>
          <w:highlight w:val="none"/>
          <w:lang w:eastAsia="zh-CN" w:bidi="ar-SA"/>
        </w:rPr>
        <w:t>；</w:t>
      </w:r>
    </w:p>
    <w:p>
      <w:pPr>
        <w:keepNext w:val="0"/>
        <w:keepLines w:val="0"/>
        <w:pageBreakBefore w:val="0"/>
        <w:widowControl w:val="0"/>
        <w:kinsoku/>
        <w:wordWrap w:val="0"/>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eastAsia="zh-CN" w:bidi="ar-SA"/>
        </w:rPr>
        <w:t>（4）安全负责人</w:t>
      </w:r>
      <w:r>
        <w:rPr>
          <w:rFonts w:hint="eastAsia" w:ascii="宋体" w:hAnsi="宋体" w:eastAsia="宋体" w:cs="宋体"/>
          <w:color w:val="auto"/>
          <w:kern w:val="2"/>
          <w:sz w:val="24"/>
          <w:szCs w:val="24"/>
          <w:highlight w:val="none"/>
          <w:u w:val="none"/>
          <w:lang w:eastAsia="zh-CN" w:bidi="ar-SA"/>
        </w:rPr>
        <w:t>：</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身份证号：，联系电话：</w:t>
      </w:r>
      <w:r>
        <w:rPr>
          <w:rFonts w:hint="eastAsia" w:ascii="宋体" w:hAnsi="宋体" w:eastAsia="宋体" w:cs="宋体"/>
          <w:color w:val="auto"/>
          <w:sz w:val="24"/>
          <w:szCs w:val="24"/>
          <w:highlight w:val="none"/>
        </w:rPr>
        <w:t>。</w:t>
      </w:r>
    </w:p>
    <w:p>
      <w:pPr>
        <w:widowControl w:val="0"/>
        <w:adjustRightInd/>
        <w:snapToGrid/>
        <w:ind w:firstLine="410" w:firstLineChars="171"/>
        <w:jc w:val="both"/>
        <w:rPr>
          <w:rFonts w:ascii="宋体" w:hAnsi="宋体"/>
          <w:b/>
          <w:color w:val="auto"/>
          <w:kern w:val="2"/>
          <w:sz w:val="24"/>
          <w:szCs w:val="24"/>
          <w:highlight w:val="none"/>
          <w:lang w:eastAsia="zh-CN" w:bidi="ar-SA"/>
        </w:rPr>
      </w:pPr>
      <w:r>
        <w:rPr>
          <w:rFonts w:hint="eastAsia" w:ascii="宋体" w:hAnsi="宋体"/>
          <w:b/>
          <w:color w:val="auto"/>
          <w:kern w:val="2"/>
          <w:sz w:val="24"/>
          <w:szCs w:val="24"/>
          <w:highlight w:val="none"/>
          <w:lang w:eastAsia="zh-CN" w:bidi="ar-SA"/>
        </w:rPr>
        <w:t>六</w:t>
      </w:r>
      <w:r>
        <w:rPr>
          <w:rFonts w:ascii="宋体" w:hAnsi="宋体"/>
          <w:b/>
          <w:color w:val="auto"/>
          <w:kern w:val="2"/>
          <w:sz w:val="24"/>
          <w:szCs w:val="24"/>
          <w:highlight w:val="none"/>
          <w:lang w:eastAsia="zh-CN" w:bidi="ar-SA"/>
        </w:rPr>
        <w:t>、工程质量</w:t>
      </w:r>
      <w:r>
        <w:rPr>
          <w:rFonts w:hint="eastAsia" w:ascii="宋体" w:hAnsi="宋体"/>
          <w:b/>
          <w:color w:val="auto"/>
          <w:kern w:val="2"/>
          <w:sz w:val="24"/>
          <w:szCs w:val="24"/>
          <w:highlight w:val="none"/>
          <w:lang w:eastAsia="zh-CN" w:bidi="ar-SA"/>
        </w:rPr>
        <w:t>符合的标准和要求</w:t>
      </w:r>
    </w:p>
    <w:p>
      <w:pPr>
        <w:keepNext w:val="0"/>
        <w:keepLines w:val="0"/>
        <w:pageBreakBefore w:val="0"/>
        <w:widowControl w:val="0"/>
        <w:kinsoku/>
        <w:wordWrap w:val="0"/>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6.1设计质量标准：符合国家、地方及行业现行的设计标准、规范和规程的要求，确保设计成果资料完整、真实准确、清晰有据、符合项目实际。</w:t>
      </w:r>
    </w:p>
    <w:p>
      <w:pPr>
        <w:keepNext w:val="0"/>
        <w:keepLines w:val="0"/>
        <w:pageBreakBefore w:val="0"/>
        <w:widowControl w:val="0"/>
        <w:kinsoku/>
        <w:wordWrap w:val="0"/>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要求的质量标准：提供的设备和材料是全新的、符合国家质量标准、有关手续完备、具有生产厂家质量合格证明，实现高水平达标投产，主要技术经济指标达到设计值，满足接入电网要求，同时满足招标文件各项技术要求。</w:t>
      </w:r>
    </w:p>
    <w:p>
      <w:pPr>
        <w:keepNext w:val="0"/>
        <w:keepLines w:val="0"/>
        <w:pageBreakBefore w:val="0"/>
        <w:widowControl w:val="0"/>
        <w:kinsoku/>
        <w:wordWrap w:val="0"/>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施工要求的质量标准：符合国家、地方及电力行业现行相关的强制性标准、质量验收（或检验评定）标准及规范的要求，工程经最终质量验收评定，所有建筑安装工程合格率100%，单位工程优良率100%，保证电力设施的正常运行及设施设备的安全，并确保一次性验收合格。</w:t>
      </w:r>
    </w:p>
    <w:p>
      <w:pPr>
        <w:widowControl w:val="0"/>
        <w:adjustRightInd/>
        <w:snapToGrid/>
        <w:ind w:firstLine="410" w:firstLineChars="171"/>
        <w:jc w:val="both"/>
        <w:rPr>
          <w:rFonts w:hint="eastAsia" w:ascii="宋体" w:hAnsi="宋体" w:eastAsia="宋体" w:cs="Times New Roman"/>
          <w:b/>
          <w:color w:val="auto"/>
          <w:kern w:val="2"/>
          <w:sz w:val="24"/>
          <w:szCs w:val="24"/>
          <w:highlight w:val="none"/>
          <w:lang w:eastAsia="zh-CN" w:bidi="ar-SA"/>
        </w:rPr>
      </w:pPr>
      <w:r>
        <w:rPr>
          <w:rFonts w:hint="eastAsia" w:ascii="宋体" w:hAnsi="宋体" w:eastAsia="宋体" w:cs="Times New Roman"/>
          <w:b/>
          <w:color w:val="auto"/>
          <w:kern w:val="2"/>
          <w:sz w:val="24"/>
          <w:szCs w:val="24"/>
          <w:highlight w:val="none"/>
          <w:lang w:eastAsia="zh-CN" w:bidi="ar-SA"/>
        </w:rPr>
        <w:t>七、承诺</w:t>
      </w:r>
    </w:p>
    <w:p>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．承包人承诺按合同约定承担工程的设计、实施、竣工及缺陷修复。</w:t>
      </w:r>
    </w:p>
    <w:p>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．发包人承诺按合同约定的条件、时间和方式向承包人支付合同价款。</w:t>
      </w:r>
    </w:p>
    <w:p>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eastAsia="宋体" w:cs="宋体"/>
          <w:color w:val="auto"/>
          <w:sz w:val="24"/>
          <w:highlight w:val="none"/>
        </w:rPr>
      </w:pPr>
      <w:r>
        <w:rPr>
          <w:rFonts w:hint="eastAsia" w:ascii="宋体" w:hAnsi="宋体" w:eastAsia="宋体" w:cs="Times New Roman"/>
          <w:b/>
          <w:color w:val="auto"/>
          <w:kern w:val="2"/>
          <w:sz w:val="24"/>
          <w:szCs w:val="24"/>
          <w:highlight w:val="none"/>
          <w:lang w:val="en-US" w:eastAsia="zh-CN" w:bidi="ar-SA"/>
        </w:rPr>
        <w:t>八</w:t>
      </w:r>
      <w:r>
        <w:rPr>
          <w:rFonts w:hint="eastAsia" w:ascii="宋体" w:hAnsi="宋体" w:eastAsia="宋体" w:cs="Times New Roman"/>
          <w:b/>
          <w:color w:val="auto"/>
          <w:kern w:val="2"/>
          <w:sz w:val="24"/>
          <w:szCs w:val="24"/>
          <w:highlight w:val="none"/>
          <w:lang w:eastAsia="zh-CN" w:bidi="ar-SA"/>
        </w:rPr>
        <w:t>．</w:t>
      </w:r>
      <w:r>
        <w:rPr>
          <w:rFonts w:hint="eastAsia" w:ascii="宋体" w:hAnsi="宋体" w:eastAsia="宋体" w:cs="宋体"/>
          <w:color w:val="auto"/>
          <w:sz w:val="24"/>
          <w:highlight w:val="none"/>
        </w:rPr>
        <w:t>本协议书一式</w:t>
      </w:r>
      <w:r>
        <w:rPr>
          <w:rFonts w:hint="eastAsia" w:ascii="宋体" w:hAnsi="宋体" w:cs="宋体"/>
          <w:color w:val="auto"/>
          <w:sz w:val="24"/>
          <w:highlight w:val="none"/>
          <w:u w:val="single"/>
          <w:lang w:val="en-US" w:eastAsia="zh-CN"/>
        </w:rPr>
        <w:t>陆</w:t>
      </w:r>
      <w:r>
        <w:rPr>
          <w:rFonts w:hint="eastAsia" w:ascii="宋体" w:hAnsi="宋体" w:eastAsia="宋体" w:cs="宋体"/>
          <w:color w:val="auto"/>
          <w:sz w:val="24"/>
          <w:highlight w:val="none"/>
        </w:rPr>
        <w:t>份；其中正本</w:t>
      </w:r>
      <w:r>
        <w:rPr>
          <w:rFonts w:hint="eastAsia" w:ascii="宋体" w:hAnsi="宋体" w:cs="宋体"/>
          <w:color w:val="auto"/>
          <w:sz w:val="24"/>
          <w:highlight w:val="none"/>
          <w:u w:val="single"/>
          <w:lang w:val="en-US" w:eastAsia="zh-CN"/>
        </w:rPr>
        <w:t>贰</w:t>
      </w:r>
      <w:r>
        <w:rPr>
          <w:rFonts w:hint="eastAsia" w:ascii="宋体" w:hAnsi="宋体" w:eastAsia="宋体" w:cs="宋体"/>
          <w:color w:val="auto"/>
          <w:sz w:val="24"/>
          <w:highlight w:val="none"/>
        </w:rPr>
        <w:t>份，双方各执</w:t>
      </w:r>
      <w:r>
        <w:rPr>
          <w:rFonts w:hint="eastAsia" w:ascii="宋体" w:hAnsi="宋体" w:cs="宋体"/>
          <w:color w:val="auto"/>
          <w:sz w:val="24"/>
          <w:highlight w:val="none"/>
          <w:lang w:val="en-US" w:eastAsia="zh-CN"/>
        </w:rPr>
        <w:t>壹</w:t>
      </w:r>
      <w:r>
        <w:rPr>
          <w:rFonts w:hint="eastAsia" w:ascii="宋体" w:hAnsi="宋体" w:eastAsia="宋体" w:cs="宋体"/>
          <w:color w:val="auto"/>
          <w:sz w:val="24"/>
          <w:highlight w:val="none"/>
        </w:rPr>
        <w:t>份；</w:t>
      </w:r>
      <w:r>
        <w:rPr>
          <w:rFonts w:hint="eastAsia" w:ascii="宋体" w:hAnsi="宋体" w:cs="宋体"/>
          <w:color w:val="auto"/>
          <w:sz w:val="24"/>
          <w:highlight w:val="none"/>
          <w:lang w:val="en-US" w:eastAsia="zh-CN"/>
        </w:rPr>
        <w:t>副本</w:t>
      </w:r>
      <w:r>
        <w:rPr>
          <w:rFonts w:hint="eastAsia" w:ascii="宋体" w:hAnsi="宋体" w:cs="宋体"/>
          <w:color w:val="auto"/>
          <w:sz w:val="24"/>
          <w:highlight w:val="none"/>
          <w:u w:val="single"/>
          <w:lang w:val="en-US" w:eastAsia="zh-CN"/>
        </w:rPr>
        <w:t>肆</w:t>
      </w:r>
      <w:r>
        <w:rPr>
          <w:rFonts w:hint="eastAsia" w:ascii="宋体" w:hAnsi="宋体" w:eastAsia="宋体" w:cs="宋体"/>
          <w:color w:val="auto"/>
          <w:sz w:val="24"/>
          <w:highlight w:val="none"/>
        </w:rPr>
        <w:t>份，发包人执</w:t>
      </w:r>
      <w:r>
        <w:rPr>
          <w:rFonts w:hint="eastAsia" w:ascii="宋体" w:hAnsi="宋体" w:cs="宋体"/>
          <w:color w:val="auto"/>
          <w:sz w:val="24"/>
          <w:highlight w:val="none"/>
          <w:u w:val="single"/>
          <w:lang w:val="en-US" w:eastAsia="zh-CN"/>
        </w:rPr>
        <w:t>贰</w:t>
      </w:r>
      <w:r>
        <w:rPr>
          <w:rFonts w:hint="eastAsia" w:ascii="宋体" w:hAnsi="宋体" w:eastAsia="宋体" w:cs="宋体"/>
          <w:color w:val="auto"/>
          <w:sz w:val="24"/>
          <w:highlight w:val="none"/>
        </w:rPr>
        <w:t>份，承包人执</w:t>
      </w:r>
      <w:r>
        <w:rPr>
          <w:rFonts w:hint="eastAsia" w:ascii="宋体" w:hAnsi="宋体" w:cs="宋体"/>
          <w:color w:val="auto"/>
          <w:sz w:val="24"/>
          <w:highlight w:val="none"/>
          <w:u w:val="single"/>
          <w:lang w:val="en-US" w:eastAsia="zh-CN"/>
        </w:rPr>
        <w:t>贰</w:t>
      </w:r>
      <w:r>
        <w:rPr>
          <w:rFonts w:hint="eastAsia" w:ascii="宋体" w:hAnsi="宋体" w:eastAsia="宋体" w:cs="宋体"/>
          <w:color w:val="auto"/>
          <w:sz w:val="24"/>
          <w:highlight w:val="none"/>
        </w:rPr>
        <w:t>份；当正本与不一致，以正本为准。</w:t>
      </w:r>
    </w:p>
    <w:p>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eastAsia="宋体" w:cs="宋体"/>
          <w:color w:val="auto"/>
          <w:sz w:val="24"/>
          <w:highlight w:val="none"/>
        </w:rPr>
      </w:pPr>
      <w:r>
        <w:rPr>
          <w:rFonts w:hint="eastAsia" w:ascii="宋体" w:hAnsi="宋体" w:eastAsia="宋体" w:cs="Times New Roman"/>
          <w:b/>
          <w:color w:val="auto"/>
          <w:kern w:val="2"/>
          <w:sz w:val="24"/>
          <w:szCs w:val="24"/>
          <w:highlight w:val="none"/>
          <w:lang w:val="en-US" w:eastAsia="zh-CN" w:bidi="ar-SA"/>
        </w:rPr>
        <w:t>九．</w:t>
      </w:r>
      <w:r>
        <w:rPr>
          <w:rFonts w:hint="eastAsia" w:ascii="宋体" w:hAnsi="宋体" w:eastAsia="宋体" w:cs="宋体"/>
          <w:color w:val="auto"/>
          <w:sz w:val="24"/>
          <w:highlight w:val="none"/>
        </w:rPr>
        <w:t>合同未尽事宜，双方另行签订补充协议。补充协议是合同的组成部分。</w:t>
      </w:r>
    </w:p>
    <w:tbl>
      <w:tblPr>
        <w:tblStyle w:val="68"/>
        <w:tblW w:w="879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6"/>
        <w:gridCol w:w="6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6" w:hRule="atLeast"/>
          <w:jc w:val="center"/>
        </w:trPr>
        <w:tc>
          <w:tcPr>
            <w:tcW w:w="22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甲方：</w:t>
            </w:r>
          </w:p>
        </w:tc>
        <w:tc>
          <w:tcPr>
            <w:tcW w:w="64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r>
              <w:rPr>
                <w:rFonts w:hint="default" w:ascii="宋体" w:hAnsi="宋体" w:cs="宋体"/>
                <w:color w:val="auto"/>
                <w:sz w:val="24"/>
                <w:szCs w:val="24"/>
                <w:highlight w:val="none"/>
                <w:vertAlign w:val="baseline"/>
                <w:lang w:eastAsia="zh-CN"/>
              </w:rPr>
              <w:t>个旧</w:t>
            </w:r>
            <w:r>
              <w:rPr>
                <w:rFonts w:hint="eastAsia" w:ascii="宋体" w:hAnsi="宋体" w:eastAsia="宋体" w:cs="宋体"/>
                <w:color w:val="auto"/>
                <w:sz w:val="24"/>
                <w:szCs w:val="24"/>
                <w:highlight w:val="none"/>
                <w:vertAlign w:val="baseline"/>
                <w:lang w:eastAsia="zh-CN"/>
              </w:rPr>
              <w:t>云能投绿色能源开发有限公司（</w:t>
            </w:r>
            <w:r>
              <w:rPr>
                <w:rFonts w:hint="eastAsia" w:ascii="宋体" w:hAnsi="宋体" w:eastAsia="宋体" w:cs="宋体"/>
                <w:color w:val="auto"/>
                <w:sz w:val="24"/>
                <w:szCs w:val="24"/>
                <w:highlight w:val="none"/>
                <w:vertAlign w:val="baseline"/>
                <w:lang w:val="en-US" w:eastAsia="zh-CN"/>
              </w:rPr>
              <w:t>盖单位章</w:t>
            </w:r>
            <w:r>
              <w:rPr>
                <w:rFonts w:hint="eastAsia" w:ascii="宋体" w:hAnsi="宋体" w:eastAsia="宋体" w:cs="宋体"/>
                <w:color w:val="auto"/>
                <w:sz w:val="24"/>
                <w:szCs w:val="24"/>
                <w:highlight w:val="none"/>
                <w:vertAlign w:val="baseli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纳税人识别号：</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地址：</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电话：</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开户行名称</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帐户：</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法定代表人签字：</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1920" w:firstLineChars="80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1920" w:firstLineChars="800"/>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乙方：</w:t>
            </w:r>
          </w:p>
        </w:tc>
        <w:tc>
          <w:tcPr>
            <w:tcW w:w="64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纳税人识别号：</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地址：</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电话：</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开户行名称</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帐户：</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法定代表人签字：</w:t>
            </w: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1920" w:firstLineChars="800"/>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2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vertAlign w:val="baseline"/>
                <w:lang w:val="en-US" w:eastAsia="zh-CN"/>
              </w:rPr>
            </w:pPr>
          </w:p>
        </w:tc>
        <w:tc>
          <w:tcPr>
            <w:tcW w:w="649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1920" w:firstLineChars="800"/>
              <w:jc w:val="center"/>
              <w:textAlignment w:val="auto"/>
              <w:rPr>
                <w:rFonts w:hint="eastAsia" w:ascii="宋体" w:hAnsi="宋体" w:eastAsia="宋体" w:cs="宋体"/>
                <w:color w:val="auto"/>
                <w:sz w:val="24"/>
                <w:szCs w:val="24"/>
                <w:highlight w:val="none"/>
                <w:vertAlign w:val="baseline"/>
                <w:lang w:val="en-US" w:eastAsia="zh-CN"/>
              </w:rPr>
            </w:pPr>
          </w:p>
        </w:tc>
      </w:tr>
    </w:tbl>
    <w:p>
      <w:pPr>
        <w:pStyle w:val="480"/>
        <w:shd w:val="clear" w:color="auto" w:fill="auto"/>
        <w:spacing w:before="240" w:beforeLines="100" w:line="360" w:lineRule="auto"/>
        <w:ind w:firstLine="482"/>
        <w:jc w:val="center"/>
        <w:outlineLvl w:val="9"/>
        <w:rPr>
          <w:rFonts w:eastAsia="黑体" w:cs="Times New Roman"/>
          <w:color w:val="auto"/>
          <w:sz w:val="28"/>
          <w:szCs w:val="28"/>
          <w:highlight w:val="none"/>
        </w:rPr>
      </w:pPr>
      <w:r>
        <w:rPr>
          <w:rFonts w:cs="Times New Roman"/>
          <w:color w:val="auto"/>
          <w:highlight w:val="none"/>
        </w:rPr>
        <w:br w:type="page"/>
      </w:r>
      <w:bookmarkStart w:id="370" w:name="_Toc24762"/>
      <w:r>
        <w:rPr>
          <w:rFonts w:eastAsia="黑体" w:cs="Times New Roman"/>
          <w:color w:val="auto"/>
          <w:sz w:val="28"/>
          <w:szCs w:val="28"/>
          <w:highlight w:val="none"/>
        </w:rPr>
        <w:t>第一节 通用合同条款</w:t>
      </w:r>
      <w:bookmarkEnd w:id="366"/>
      <w:bookmarkEnd w:id="370"/>
    </w:p>
    <w:p>
      <w:pPr>
        <w:pStyle w:val="481"/>
        <w:shd w:val="clear" w:color="auto" w:fill="auto"/>
        <w:spacing w:before="60" w:after="60"/>
        <w:ind w:firstLine="420"/>
        <w:outlineLvl w:val="9"/>
        <w:rPr>
          <w:rFonts w:ascii="Times New Roman" w:hAnsi="Times New Roman" w:eastAsia="黑体" w:cs="Times New Roman"/>
          <w:b w:val="0"/>
          <w:color w:val="auto"/>
          <w:sz w:val="21"/>
          <w:szCs w:val="21"/>
          <w:highlight w:val="none"/>
        </w:rPr>
      </w:pPr>
      <w:bookmarkStart w:id="371" w:name="_Toc10581"/>
      <w:bookmarkStart w:id="372" w:name="_Toc19853"/>
      <w:bookmarkStart w:id="373" w:name="_Toc144327073"/>
      <w:r>
        <w:rPr>
          <w:rFonts w:ascii="Times New Roman" w:hAnsi="Times New Roman" w:eastAsia="黑体" w:cs="Times New Roman"/>
          <w:b w:val="0"/>
          <w:color w:val="auto"/>
          <w:sz w:val="21"/>
          <w:szCs w:val="21"/>
          <w:highlight w:val="none"/>
        </w:rPr>
        <w:t>1．一般约定</w:t>
      </w:r>
      <w:bookmarkEnd w:id="371"/>
      <w:bookmarkEnd w:id="372"/>
      <w:bookmarkEnd w:id="373"/>
    </w:p>
    <w:p>
      <w:pPr>
        <w:pStyle w:val="482"/>
        <w:shd w:val="clear" w:color="auto" w:fill="auto"/>
        <w:ind w:firstLine="420"/>
        <w:outlineLvl w:val="9"/>
        <w:rPr>
          <w:rFonts w:ascii="Times New Roman" w:hAnsi="Times New Roman" w:eastAsia="黑体" w:cs="Times New Roman"/>
          <w:b w:val="0"/>
          <w:bCs w:val="0"/>
          <w:color w:val="auto"/>
          <w:sz w:val="21"/>
          <w:szCs w:val="21"/>
          <w:highlight w:val="none"/>
        </w:rPr>
      </w:pPr>
      <w:r>
        <w:rPr>
          <w:rFonts w:ascii="Times New Roman" w:hAnsi="Times New Roman" w:eastAsia="黑体" w:cs="Times New Roman"/>
          <w:b w:val="0"/>
          <w:bCs w:val="0"/>
          <w:color w:val="auto"/>
          <w:sz w:val="21"/>
          <w:szCs w:val="21"/>
          <w:highlight w:val="none"/>
        </w:rPr>
        <w:t>1.1 词语定义</w:t>
      </w:r>
    </w:p>
    <w:p>
      <w:pPr>
        <w:shd w:val="clear" w:color="auto" w:fill="auto"/>
        <w:ind w:firstLine="420"/>
        <w:outlineLvl w:val="9"/>
        <w:rPr>
          <w:color w:val="auto"/>
          <w:szCs w:val="21"/>
          <w:highlight w:val="none"/>
        </w:rPr>
      </w:pPr>
      <w:r>
        <w:rPr>
          <w:color w:val="auto"/>
          <w:szCs w:val="21"/>
          <w:highlight w:val="none"/>
        </w:rPr>
        <w:t>通用合同条款、专用合同条款中的下列词语应具有本款所赋予的含义。</w:t>
      </w:r>
    </w:p>
    <w:p>
      <w:pPr>
        <w:shd w:val="clear" w:color="auto" w:fill="auto"/>
        <w:ind w:firstLine="420"/>
        <w:outlineLvl w:val="9"/>
        <w:rPr>
          <w:color w:val="auto"/>
          <w:szCs w:val="21"/>
          <w:highlight w:val="none"/>
        </w:rPr>
      </w:pPr>
      <w:r>
        <w:rPr>
          <w:color w:val="auto"/>
          <w:szCs w:val="21"/>
          <w:highlight w:val="none"/>
        </w:rPr>
        <w:t>1.1.1 合同</w:t>
      </w:r>
    </w:p>
    <w:p>
      <w:pPr>
        <w:shd w:val="clear" w:color="auto" w:fill="auto"/>
        <w:ind w:firstLine="420"/>
        <w:outlineLvl w:val="9"/>
        <w:rPr>
          <w:color w:val="auto"/>
          <w:szCs w:val="21"/>
          <w:highlight w:val="none"/>
        </w:rPr>
      </w:pPr>
      <w:r>
        <w:rPr>
          <w:color w:val="auto"/>
          <w:szCs w:val="21"/>
          <w:highlight w:val="none"/>
        </w:rPr>
        <w:t>1.1.1.1 合同文件（或称合同）：指合同协议书、中标通知书、投标函及投标函附录、专用合同条款、通用合同条款、发包人要求、价格清单、承包人建议书，以及其他构成合同组成部分的文件。</w:t>
      </w:r>
    </w:p>
    <w:p>
      <w:pPr>
        <w:shd w:val="clear" w:color="auto" w:fill="auto"/>
        <w:ind w:firstLine="420"/>
        <w:outlineLvl w:val="9"/>
        <w:rPr>
          <w:color w:val="auto"/>
          <w:szCs w:val="21"/>
          <w:highlight w:val="none"/>
        </w:rPr>
      </w:pPr>
      <w:r>
        <w:rPr>
          <w:color w:val="auto"/>
          <w:szCs w:val="21"/>
          <w:highlight w:val="none"/>
        </w:rPr>
        <w:t>1.1.1.2 合同协议书：指第1.5款所指的合同协议书。</w:t>
      </w:r>
    </w:p>
    <w:p>
      <w:pPr>
        <w:shd w:val="clear" w:color="auto" w:fill="auto"/>
        <w:ind w:firstLine="420"/>
        <w:outlineLvl w:val="9"/>
        <w:rPr>
          <w:color w:val="auto"/>
          <w:szCs w:val="21"/>
          <w:highlight w:val="none"/>
        </w:rPr>
      </w:pPr>
      <w:r>
        <w:rPr>
          <w:color w:val="auto"/>
          <w:szCs w:val="21"/>
          <w:highlight w:val="none"/>
        </w:rPr>
        <w:t>1.1.1.3 中标通知书：指发包人通知承包人中标的函件。中标通知书随附的澄清、说明、补正事项纪要等，是中标通知书的组成部分。</w:t>
      </w:r>
    </w:p>
    <w:p>
      <w:pPr>
        <w:shd w:val="clear" w:color="auto" w:fill="auto"/>
        <w:ind w:firstLine="420"/>
        <w:outlineLvl w:val="9"/>
        <w:rPr>
          <w:color w:val="auto"/>
          <w:szCs w:val="21"/>
          <w:highlight w:val="none"/>
        </w:rPr>
      </w:pPr>
      <w:r>
        <w:rPr>
          <w:color w:val="auto"/>
          <w:szCs w:val="21"/>
          <w:highlight w:val="none"/>
        </w:rPr>
        <w:t>1.1.1.4 投标函：指构成合同文件组成部分的由承包人填写并签署的投标函。</w:t>
      </w:r>
    </w:p>
    <w:p>
      <w:pPr>
        <w:shd w:val="clear" w:color="auto" w:fill="auto"/>
        <w:ind w:firstLine="420"/>
        <w:outlineLvl w:val="9"/>
        <w:rPr>
          <w:color w:val="auto"/>
          <w:szCs w:val="21"/>
          <w:highlight w:val="none"/>
        </w:rPr>
      </w:pPr>
      <w:r>
        <w:rPr>
          <w:color w:val="auto"/>
          <w:szCs w:val="21"/>
          <w:highlight w:val="none"/>
        </w:rPr>
        <w:t>1.1.1.5 投标函附录：指附在投标函后构成合同文件的投标函附录。</w:t>
      </w:r>
    </w:p>
    <w:p>
      <w:pPr>
        <w:shd w:val="clear" w:color="auto" w:fill="auto"/>
        <w:ind w:firstLine="420"/>
        <w:outlineLvl w:val="9"/>
        <w:rPr>
          <w:color w:val="auto"/>
          <w:szCs w:val="21"/>
          <w:highlight w:val="none"/>
        </w:rPr>
      </w:pPr>
      <w:r>
        <w:rPr>
          <w:color w:val="auto"/>
          <w:szCs w:val="21"/>
          <w:highlight w:val="none"/>
        </w:rPr>
        <w:t>1.1.1.6 发包人要求：指构成合同文件组成部分的名为发包人要求的文件，包括招标项目的目的、范围、设计与其他技术标准和要求，</w:t>
      </w:r>
      <w:r>
        <w:rPr>
          <w:rStyle w:val="75"/>
          <w:color w:val="auto"/>
          <w:highlight w:val="none"/>
        </w:rPr>
        <w:t>以及</w:t>
      </w:r>
      <w:r>
        <w:rPr>
          <w:color w:val="auto"/>
          <w:szCs w:val="21"/>
          <w:highlight w:val="none"/>
        </w:rPr>
        <w:t>合同双方当事人约定对其所作的修改或补充。</w:t>
      </w:r>
    </w:p>
    <w:p>
      <w:pPr>
        <w:shd w:val="clear" w:color="auto" w:fill="auto"/>
        <w:ind w:firstLine="420"/>
        <w:outlineLvl w:val="9"/>
        <w:rPr>
          <w:color w:val="auto"/>
          <w:szCs w:val="21"/>
          <w:highlight w:val="none"/>
        </w:rPr>
      </w:pPr>
      <w:r>
        <w:rPr>
          <w:color w:val="auto"/>
          <w:szCs w:val="21"/>
          <w:highlight w:val="none"/>
        </w:rPr>
        <w:t>1.1.1.7 价格清单：指构成合同文件组成部分的由承包人按规定的格式和要求填写并标明价格的清单。</w:t>
      </w:r>
    </w:p>
    <w:p>
      <w:pPr>
        <w:shd w:val="clear" w:color="auto" w:fill="auto"/>
        <w:ind w:firstLine="420"/>
        <w:outlineLvl w:val="9"/>
        <w:rPr>
          <w:color w:val="auto"/>
          <w:szCs w:val="21"/>
          <w:highlight w:val="none"/>
        </w:rPr>
      </w:pPr>
      <w:r>
        <w:rPr>
          <w:color w:val="auto"/>
          <w:szCs w:val="21"/>
          <w:highlight w:val="none"/>
        </w:rPr>
        <w:t>1.1.1.8承包人建议书：指构成合同文件组成部分的名为承包人建议书的文件。承包人建议书由承包人随投标函一起提交。承包人建议书应包括承包人的设计图纸及相应说明等设计文件。</w:t>
      </w:r>
    </w:p>
    <w:p>
      <w:pPr>
        <w:shd w:val="clear" w:color="auto" w:fill="auto"/>
        <w:ind w:firstLine="420"/>
        <w:outlineLvl w:val="9"/>
        <w:rPr>
          <w:color w:val="auto"/>
          <w:szCs w:val="21"/>
          <w:highlight w:val="none"/>
        </w:rPr>
      </w:pPr>
      <w:r>
        <w:rPr>
          <w:color w:val="auto"/>
          <w:szCs w:val="21"/>
          <w:highlight w:val="none"/>
        </w:rPr>
        <w:t>1.1.1.9 其他合同文件：指经合同双方当事人确认构成合同文件的其他文件。</w:t>
      </w:r>
    </w:p>
    <w:p>
      <w:pPr>
        <w:shd w:val="clear" w:color="auto" w:fill="auto"/>
        <w:ind w:firstLine="420"/>
        <w:outlineLvl w:val="9"/>
        <w:rPr>
          <w:color w:val="auto"/>
          <w:szCs w:val="21"/>
          <w:highlight w:val="none"/>
        </w:rPr>
      </w:pPr>
      <w:r>
        <w:rPr>
          <w:color w:val="auto"/>
          <w:szCs w:val="21"/>
          <w:highlight w:val="none"/>
        </w:rPr>
        <w:t>1.1.2 合同当事人和人员</w:t>
      </w:r>
    </w:p>
    <w:p>
      <w:pPr>
        <w:shd w:val="clear" w:color="auto" w:fill="auto"/>
        <w:ind w:firstLine="420"/>
        <w:outlineLvl w:val="9"/>
        <w:rPr>
          <w:color w:val="auto"/>
          <w:szCs w:val="21"/>
          <w:highlight w:val="none"/>
        </w:rPr>
      </w:pPr>
      <w:r>
        <w:rPr>
          <w:color w:val="auto"/>
          <w:szCs w:val="21"/>
          <w:highlight w:val="none"/>
        </w:rPr>
        <w:t>1.1.2.1 合同当事人：指发包人和（或）承包人。</w:t>
      </w:r>
    </w:p>
    <w:p>
      <w:pPr>
        <w:shd w:val="clear" w:color="auto" w:fill="auto"/>
        <w:ind w:firstLine="420"/>
        <w:outlineLvl w:val="9"/>
        <w:rPr>
          <w:color w:val="auto"/>
          <w:szCs w:val="21"/>
          <w:highlight w:val="none"/>
        </w:rPr>
      </w:pPr>
      <w:r>
        <w:rPr>
          <w:color w:val="auto"/>
          <w:szCs w:val="21"/>
          <w:highlight w:val="none"/>
        </w:rPr>
        <w:t>1.1.2.2 发包人：指专用合同条款中指明并与承包人在合同协议书中签字的当事人。</w:t>
      </w:r>
    </w:p>
    <w:p>
      <w:pPr>
        <w:shd w:val="clear" w:color="auto" w:fill="auto"/>
        <w:ind w:firstLine="420"/>
        <w:outlineLvl w:val="9"/>
        <w:rPr>
          <w:color w:val="auto"/>
          <w:szCs w:val="21"/>
          <w:highlight w:val="none"/>
        </w:rPr>
      </w:pPr>
      <w:r>
        <w:rPr>
          <w:color w:val="auto"/>
          <w:szCs w:val="21"/>
          <w:highlight w:val="none"/>
        </w:rPr>
        <w:t>1.1.2.3 承包人：指与发包人签订合同协议书的当事人。</w:t>
      </w:r>
    </w:p>
    <w:p>
      <w:pPr>
        <w:shd w:val="clear" w:color="auto" w:fill="auto"/>
        <w:ind w:firstLine="420"/>
        <w:outlineLvl w:val="9"/>
        <w:rPr>
          <w:color w:val="auto"/>
          <w:szCs w:val="21"/>
          <w:highlight w:val="none"/>
        </w:rPr>
      </w:pPr>
      <w:r>
        <w:rPr>
          <w:color w:val="auto"/>
          <w:szCs w:val="21"/>
          <w:highlight w:val="none"/>
        </w:rPr>
        <w:t>1.1.2.4 承包人项目经理：指承包人指定代表承包人履行义务的负责人。</w:t>
      </w:r>
    </w:p>
    <w:p>
      <w:pPr>
        <w:shd w:val="clear" w:color="auto" w:fill="auto"/>
        <w:ind w:firstLine="420"/>
        <w:outlineLvl w:val="9"/>
        <w:rPr>
          <w:color w:val="auto"/>
          <w:szCs w:val="21"/>
          <w:highlight w:val="none"/>
        </w:rPr>
      </w:pPr>
      <w:r>
        <w:rPr>
          <w:color w:val="auto"/>
          <w:szCs w:val="21"/>
          <w:highlight w:val="none"/>
        </w:rPr>
        <w:t>1.1.2.5 设计负责人：指承包人指定负责组织指导协调设计工作并具有相应资格的人员。</w:t>
      </w:r>
    </w:p>
    <w:p>
      <w:pPr>
        <w:shd w:val="clear" w:color="auto" w:fill="auto"/>
        <w:ind w:firstLine="420"/>
        <w:outlineLvl w:val="9"/>
        <w:rPr>
          <w:color w:val="auto"/>
          <w:szCs w:val="21"/>
          <w:highlight w:val="none"/>
        </w:rPr>
      </w:pPr>
      <w:r>
        <w:rPr>
          <w:color w:val="auto"/>
          <w:szCs w:val="21"/>
          <w:highlight w:val="none"/>
        </w:rPr>
        <w:t>1.1.2.6 施工负责人：指承包人指定负责组织指导协调施工工作并具有相应资格的人员。</w:t>
      </w:r>
    </w:p>
    <w:p>
      <w:pPr>
        <w:shd w:val="clear" w:color="auto" w:fill="auto"/>
        <w:ind w:firstLine="420"/>
        <w:outlineLvl w:val="9"/>
        <w:rPr>
          <w:color w:val="auto"/>
          <w:szCs w:val="21"/>
          <w:highlight w:val="none"/>
        </w:rPr>
      </w:pPr>
      <w:r>
        <w:rPr>
          <w:color w:val="auto"/>
          <w:szCs w:val="21"/>
          <w:highlight w:val="none"/>
        </w:rPr>
        <w:t>1.1.2.7 采购负责人：指承包人指定负责组织指导协调采购工作的人员。</w:t>
      </w:r>
    </w:p>
    <w:p>
      <w:pPr>
        <w:shd w:val="clear" w:color="auto" w:fill="auto"/>
        <w:ind w:firstLine="420"/>
        <w:outlineLvl w:val="9"/>
        <w:rPr>
          <w:color w:val="auto"/>
          <w:szCs w:val="21"/>
          <w:highlight w:val="none"/>
        </w:rPr>
      </w:pPr>
      <w:r>
        <w:rPr>
          <w:color w:val="auto"/>
          <w:szCs w:val="21"/>
          <w:highlight w:val="none"/>
        </w:rPr>
        <w:t>1.1.2.8 分包人：指从承包人处分包合同中某一部分工作，并与其签订分包合同的分包人。</w:t>
      </w:r>
    </w:p>
    <w:p>
      <w:pPr>
        <w:shd w:val="clear" w:color="auto" w:fill="auto"/>
        <w:ind w:firstLine="420"/>
        <w:outlineLvl w:val="9"/>
        <w:rPr>
          <w:color w:val="auto"/>
          <w:szCs w:val="21"/>
          <w:highlight w:val="none"/>
        </w:rPr>
      </w:pPr>
      <w:r>
        <w:rPr>
          <w:color w:val="auto"/>
          <w:szCs w:val="21"/>
          <w:highlight w:val="none"/>
        </w:rPr>
        <w:t>1.1.2.9 监理人：指在专用合同条款中指明的，受发包人委托对合同履行实施管理的法人或其他组织。属于国家强制监理的，监理人应当具有相应的监理资质。</w:t>
      </w:r>
    </w:p>
    <w:p>
      <w:pPr>
        <w:shd w:val="clear" w:color="auto" w:fill="auto"/>
        <w:ind w:firstLine="420"/>
        <w:outlineLvl w:val="9"/>
        <w:rPr>
          <w:color w:val="auto"/>
          <w:szCs w:val="21"/>
          <w:highlight w:val="none"/>
        </w:rPr>
      </w:pPr>
      <w:r>
        <w:rPr>
          <w:color w:val="auto"/>
          <w:szCs w:val="21"/>
          <w:highlight w:val="none"/>
        </w:rPr>
        <w:t>1.1.2.10 总监理工程师：指由监理人委派对合同履行实施管理的全权负责人。</w:t>
      </w:r>
    </w:p>
    <w:p>
      <w:pPr>
        <w:shd w:val="clear" w:color="auto" w:fill="auto"/>
        <w:ind w:firstLine="420"/>
        <w:outlineLvl w:val="9"/>
        <w:rPr>
          <w:color w:val="auto"/>
          <w:szCs w:val="21"/>
          <w:highlight w:val="none"/>
        </w:rPr>
      </w:pPr>
      <w:r>
        <w:rPr>
          <w:color w:val="auto"/>
          <w:szCs w:val="21"/>
          <w:highlight w:val="none"/>
        </w:rPr>
        <w:t>1.1.3 工程和设备</w:t>
      </w:r>
    </w:p>
    <w:p>
      <w:pPr>
        <w:shd w:val="clear" w:color="auto" w:fill="auto"/>
        <w:ind w:firstLine="420"/>
        <w:outlineLvl w:val="9"/>
        <w:rPr>
          <w:color w:val="auto"/>
          <w:szCs w:val="21"/>
          <w:highlight w:val="none"/>
        </w:rPr>
      </w:pPr>
      <w:r>
        <w:rPr>
          <w:color w:val="auto"/>
          <w:szCs w:val="21"/>
          <w:highlight w:val="none"/>
        </w:rPr>
        <w:t>1.1.3.1 工程：指永久工程和（或）临时工程。</w:t>
      </w:r>
    </w:p>
    <w:p>
      <w:pPr>
        <w:shd w:val="clear" w:color="auto" w:fill="auto"/>
        <w:ind w:firstLine="420"/>
        <w:outlineLvl w:val="9"/>
        <w:rPr>
          <w:color w:val="auto"/>
          <w:szCs w:val="21"/>
          <w:highlight w:val="none"/>
        </w:rPr>
      </w:pPr>
      <w:r>
        <w:rPr>
          <w:color w:val="auto"/>
          <w:szCs w:val="21"/>
          <w:highlight w:val="none"/>
        </w:rPr>
        <w:t>1.1.3.2 永久工程：指按合同约定建造并移交给发包人的工程，包括工程设备。</w:t>
      </w:r>
    </w:p>
    <w:p>
      <w:pPr>
        <w:shd w:val="clear" w:color="auto" w:fill="auto"/>
        <w:ind w:firstLine="420"/>
        <w:outlineLvl w:val="9"/>
        <w:rPr>
          <w:color w:val="auto"/>
          <w:szCs w:val="21"/>
          <w:highlight w:val="none"/>
        </w:rPr>
      </w:pPr>
      <w:r>
        <w:rPr>
          <w:color w:val="auto"/>
          <w:szCs w:val="21"/>
          <w:highlight w:val="none"/>
        </w:rPr>
        <w:t>1.1.3.3 临时工程：指为完成合同约定的永久工程所修建的各类临时性工程，不包括施工设备。</w:t>
      </w:r>
    </w:p>
    <w:p>
      <w:pPr>
        <w:shd w:val="clear" w:color="auto" w:fill="auto"/>
        <w:ind w:firstLine="420"/>
        <w:outlineLvl w:val="9"/>
        <w:rPr>
          <w:color w:val="auto"/>
          <w:szCs w:val="21"/>
          <w:highlight w:val="none"/>
        </w:rPr>
      </w:pPr>
      <w:r>
        <w:rPr>
          <w:color w:val="auto"/>
          <w:szCs w:val="21"/>
          <w:highlight w:val="none"/>
        </w:rPr>
        <w:t>1.1.3.4 区段工程：指专用合同条款中指明特定范围的能单独接收并使用的永久工程。</w:t>
      </w:r>
    </w:p>
    <w:p>
      <w:pPr>
        <w:shd w:val="clear" w:color="auto" w:fill="auto"/>
        <w:ind w:firstLine="420"/>
        <w:outlineLvl w:val="9"/>
        <w:rPr>
          <w:color w:val="auto"/>
          <w:szCs w:val="21"/>
          <w:highlight w:val="none"/>
        </w:rPr>
      </w:pPr>
      <w:r>
        <w:rPr>
          <w:color w:val="auto"/>
          <w:szCs w:val="21"/>
          <w:highlight w:val="none"/>
        </w:rPr>
        <w:t>1.1.3.5 工程设备：指构成或计划构成永久工程的机电设备、仪器装置、运载工具及其他类似的设备和装置。</w:t>
      </w:r>
    </w:p>
    <w:p>
      <w:pPr>
        <w:shd w:val="clear" w:color="auto" w:fill="auto"/>
        <w:ind w:firstLine="420"/>
        <w:outlineLvl w:val="9"/>
        <w:rPr>
          <w:color w:val="auto"/>
          <w:szCs w:val="21"/>
          <w:highlight w:val="none"/>
        </w:rPr>
      </w:pPr>
      <w:r>
        <w:rPr>
          <w:color w:val="auto"/>
          <w:szCs w:val="21"/>
          <w:highlight w:val="none"/>
        </w:rPr>
        <w:t>1.1.3.6 施工设备：指为完成合同约定的各项工作所需的设备、器具和其他物品，不包括临时工程和材料。</w:t>
      </w:r>
    </w:p>
    <w:p>
      <w:pPr>
        <w:shd w:val="clear" w:color="auto" w:fill="auto"/>
        <w:ind w:firstLine="420"/>
        <w:outlineLvl w:val="9"/>
        <w:rPr>
          <w:color w:val="auto"/>
          <w:szCs w:val="21"/>
          <w:highlight w:val="none"/>
        </w:rPr>
      </w:pPr>
      <w:r>
        <w:rPr>
          <w:color w:val="auto"/>
          <w:szCs w:val="21"/>
          <w:highlight w:val="none"/>
        </w:rPr>
        <w:t>1.1.3.7 临时设施：指为完成合同约定的各项工作所服务的临时性生产和生活设施。</w:t>
      </w:r>
    </w:p>
    <w:p>
      <w:pPr>
        <w:shd w:val="clear" w:color="auto" w:fill="auto"/>
        <w:ind w:firstLine="420"/>
        <w:outlineLvl w:val="9"/>
        <w:rPr>
          <w:color w:val="auto"/>
          <w:szCs w:val="21"/>
          <w:highlight w:val="none"/>
        </w:rPr>
      </w:pPr>
      <w:r>
        <w:rPr>
          <w:color w:val="auto"/>
          <w:szCs w:val="21"/>
          <w:highlight w:val="none"/>
        </w:rPr>
        <w:t>1.1.3.8 承包人设备：指承包人为工程实施提供的施工设备。</w:t>
      </w:r>
    </w:p>
    <w:p>
      <w:pPr>
        <w:shd w:val="clear" w:color="auto" w:fill="auto"/>
        <w:ind w:firstLine="420"/>
        <w:outlineLvl w:val="9"/>
        <w:rPr>
          <w:color w:val="auto"/>
          <w:szCs w:val="21"/>
          <w:highlight w:val="none"/>
        </w:rPr>
      </w:pPr>
      <w:r>
        <w:rPr>
          <w:color w:val="auto"/>
          <w:szCs w:val="21"/>
          <w:highlight w:val="none"/>
        </w:rPr>
        <w:t>1.1.3.9 施工场地（或称工地、现场）：指用于合同工程施工的场所，以及在合同中指定作为施工场地组成部分的其他场所，包括永久占地和临时占地。</w:t>
      </w:r>
    </w:p>
    <w:p>
      <w:pPr>
        <w:shd w:val="clear" w:color="auto" w:fill="auto"/>
        <w:ind w:firstLine="420"/>
        <w:outlineLvl w:val="9"/>
        <w:rPr>
          <w:color w:val="auto"/>
          <w:szCs w:val="21"/>
          <w:highlight w:val="none"/>
        </w:rPr>
      </w:pPr>
      <w:r>
        <w:rPr>
          <w:color w:val="auto"/>
          <w:szCs w:val="21"/>
          <w:highlight w:val="none"/>
        </w:rPr>
        <w:t>1.1.3.10 永久占地：指专用合同条款中指明为实施合同工程需永久占用的土地。</w:t>
      </w:r>
    </w:p>
    <w:p>
      <w:pPr>
        <w:shd w:val="clear" w:color="auto" w:fill="auto"/>
        <w:ind w:firstLine="420"/>
        <w:outlineLvl w:val="9"/>
        <w:rPr>
          <w:color w:val="auto"/>
          <w:szCs w:val="21"/>
          <w:highlight w:val="none"/>
        </w:rPr>
      </w:pPr>
      <w:r>
        <w:rPr>
          <w:color w:val="auto"/>
          <w:szCs w:val="21"/>
          <w:highlight w:val="none"/>
        </w:rPr>
        <w:t>1.1.3.11 临时占地：指专用合同条款中指明为实施合同工程需临时占用的土地。</w:t>
      </w:r>
    </w:p>
    <w:p>
      <w:pPr>
        <w:shd w:val="clear" w:color="auto" w:fill="auto"/>
        <w:ind w:firstLine="420"/>
        <w:outlineLvl w:val="9"/>
        <w:rPr>
          <w:b/>
          <w:color w:val="auto"/>
          <w:szCs w:val="21"/>
          <w:highlight w:val="none"/>
        </w:rPr>
      </w:pPr>
      <w:r>
        <w:rPr>
          <w:color w:val="auto"/>
          <w:szCs w:val="21"/>
          <w:highlight w:val="none"/>
        </w:rPr>
        <w:t>1.1.4 日期、检验和竣工</w:t>
      </w:r>
    </w:p>
    <w:p>
      <w:pPr>
        <w:shd w:val="clear" w:color="auto" w:fill="auto"/>
        <w:ind w:firstLine="420"/>
        <w:outlineLvl w:val="9"/>
        <w:rPr>
          <w:color w:val="auto"/>
          <w:szCs w:val="21"/>
          <w:highlight w:val="none"/>
        </w:rPr>
      </w:pPr>
      <w:r>
        <w:rPr>
          <w:color w:val="auto"/>
          <w:szCs w:val="21"/>
          <w:highlight w:val="none"/>
        </w:rPr>
        <w:t>1.1.4.1 开始工作通知：指监理人按第11.1 款通知承包人开始工作的函件。</w:t>
      </w:r>
    </w:p>
    <w:p>
      <w:pPr>
        <w:shd w:val="clear" w:color="auto" w:fill="auto"/>
        <w:ind w:firstLine="420"/>
        <w:outlineLvl w:val="9"/>
        <w:rPr>
          <w:color w:val="auto"/>
          <w:szCs w:val="21"/>
          <w:highlight w:val="none"/>
        </w:rPr>
      </w:pPr>
      <w:r>
        <w:rPr>
          <w:color w:val="auto"/>
          <w:szCs w:val="21"/>
          <w:highlight w:val="none"/>
        </w:rPr>
        <w:t>1.1.4.2 开始工作日期：指监理人按第11.1款发出的开始工作通知中写明的开始工作日期。</w:t>
      </w:r>
    </w:p>
    <w:p>
      <w:pPr>
        <w:shd w:val="clear" w:color="auto" w:fill="auto"/>
        <w:ind w:firstLine="420"/>
        <w:outlineLvl w:val="9"/>
        <w:rPr>
          <w:color w:val="auto"/>
          <w:szCs w:val="21"/>
          <w:highlight w:val="none"/>
        </w:rPr>
      </w:pPr>
      <w:r>
        <w:rPr>
          <w:color w:val="auto"/>
          <w:szCs w:val="21"/>
          <w:highlight w:val="none"/>
        </w:rPr>
        <w:t>1.1.4.3 工期：指承包人在投标函中承诺的完成合同工作所需的期限，包括按第11.3款、第11.4款和第11.6款约定所作的变更。</w:t>
      </w:r>
    </w:p>
    <w:p>
      <w:pPr>
        <w:shd w:val="clear" w:color="auto" w:fill="auto"/>
        <w:ind w:firstLine="420"/>
        <w:outlineLvl w:val="9"/>
        <w:rPr>
          <w:color w:val="auto"/>
          <w:szCs w:val="21"/>
          <w:highlight w:val="none"/>
        </w:rPr>
      </w:pPr>
      <w:r>
        <w:rPr>
          <w:color w:val="auto"/>
          <w:szCs w:val="21"/>
          <w:highlight w:val="none"/>
        </w:rPr>
        <w:t>1.1.4.4 竣工日期：指第1.1.4.3目约定工期届满时的日期。实际竣工日期以工程接收证书中写明的日期为准。</w:t>
      </w:r>
    </w:p>
    <w:p>
      <w:pPr>
        <w:shd w:val="clear" w:color="auto" w:fill="auto"/>
        <w:ind w:firstLine="420"/>
        <w:outlineLvl w:val="9"/>
        <w:rPr>
          <w:color w:val="auto"/>
          <w:szCs w:val="21"/>
          <w:highlight w:val="none"/>
        </w:rPr>
      </w:pPr>
      <w:r>
        <w:rPr>
          <w:color w:val="auto"/>
          <w:szCs w:val="21"/>
          <w:highlight w:val="none"/>
        </w:rPr>
        <w:t>1.1.4.5 缺陷责任期：指履行第19.2款约定的缺陷责任的期限，具体期限在发包人要求中明确的包括根据第19.3 款约定所作的延长。</w:t>
      </w:r>
    </w:p>
    <w:p>
      <w:pPr>
        <w:shd w:val="clear" w:color="auto" w:fill="auto"/>
        <w:ind w:firstLine="420"/>
        <w:outlineLvl w:val="9"/>
        <w:rPr>
          <w:color w:val="auto"/>
          <w:szCs w:val="21"/>
          <w:highlight w:val="none"/>
        </w:rPr>
      </w:pPr>
      <w:r>
        <w:rPr>
          <w:color w:val="auto"/>
          <w:szCs w:val="21"/>
          <w:highlight w:val="none"/>
        </w:rPr>
        <w:t>1.1.4.6 基准日期：指投标截止之日前28天的日期。</w:t>
      </w:r>
    </w:p>
    <w:p>
      <w:pPr>
        <w:shd w:val="clear" w:color="auto" w:fill="auto"/>
        <w:ind w:firstLine="420"/>
        <w:outlineLvl w:val="9"/>
        <w:rPr>
          <w:color w:val="auto"/>
          <w:szCs w:val="21"/>
          <w:highlight w:val="none"/>
        </w:rPr>
      </w:pPr>
      <w:r>
        <w:rPr>
          <w:color w:val="auto"/>
          <w:szCs w:val="21"/>
          <w:highlight w:val="none"/>
        </w:rPr>
        <w:t>1.1.4.7 天：除特别指明外，指日历天。合同中按天计算时间的，开始当天不计入，从次日开始计算。期限最后一天的截止时间为当天24:00。</w:t>
      </w:r>
    </w:p>
    <w:p>
      <w:pPr>
        <w:shd w:val="clear" w:color="auto" w:fill="auto"/>
        <w:ind w:firstLine="420"/>
        <w:outlineLvl w:val="9"/>
        <w:rPr>
          <w:color w:val="auto"/>
          <w:szCs w:val="21"/>
          <w:highlight w:val="none"/>
        </w:rPr>
      </w:pPr>
      <w:r>
        <w:rPr>
          <w:color w:val="auto"/>
          <w:szCs w:val="21"/>
          <w:highlight w:val="none"/>
        </w:rPr>
        <w:t>1.1.4.8 竣工试验：是指在工程竣工验收前，根据第18.1款要求进行的试验。</w:t>
      </w:r>
    </w:p>
    <w:p>
      <w:pPr>
        <w:shd w:val="clear" w:color="auto" w:fill="auto"/>
        <w:ind w:firstLine="420"/>
        <w:outlineLvl w:val="9"/>
        <w:rPr>
          <w:color w:val="auto"/>
          <w:szCs w:val="21"/>
          <w:highlight w:val="none"/>
        </w:rPr>
      </w:pPr>
      <w:r>
        <w:rPr>
          <w:color w:val="auto"/>
          <w:szCs w:val="21"/>
          <w:highlight w:val="none"/>
        </w:rPr>
        <w:t>1.1.4.9 竣工验收：是指承包人完成了全部合同工作后，发包人按合同要求进行的验收。</w:t>
      </w:r>
    </w:p>
    <w:p>
      <w:pPr>
        <w:shd w:val="clear" w:color="auto" w:fill="auto"/>
        <w:ind w:firstLine="420"/>
        <w:outlineLvl w:val="9"/>
        <w:rPr>
          <w:color w:val="auto"/>
          <w:szCs w:val="21"/>
          <w:highlight w:val="none"/>
        </w:rPr>
      </w:pPr>
      <w:r>
        <w:rPr>
          <w:color w:val="auto"/>
          <w:szCs w:val="21"/>
          <w:highlight w:val="none"/>
        </w:rPr>
        <w:t>1.1.4.10 竣工后试验：是指在工程竣工验收后，根据第18.9款约定进行的试验。</w:t>
      </w:r>
    </w:p>
    <w:p>
      <w:pPr>
        <w:shd w:val="clear" w:color="auto" w:fill="auto"/>
        <w:ind w:firstLine="420"/>
        <w:outlineLvl w:val="9"/>
        <w:rPr>
          <w:color w:val="auto"/>
          <w:szCs w:val="21"/>
          <w:highlight w:val="none"/>
        </w:rPr>
      </w:pPr>
      <w:r>
        <w:rPr>
          <w:color w:val="auto"/>
          <w:szCs w:val="21"/>
          <w:highlight w:val="none"/>
        </w:rPr>
        <w:t>1.1.4.11国家验收：是指政府有关部门根据法律、规范、规程和政策要求，针对发包人全面组织实施的整个工程正式交付投运前的验收。</w:t>
      </w:r>
    </w:p>
    <w:p>
      <w:pPr>
        <w:shd w:val="clear" w:color="auto" w:fill="auto"/>
        <w:ind w:firstLine="420"/>
        <w:outlineLvl w:val="9"/>
        <w:rPr>
          <w:color w:val="auto"/>
          <w:szCs w:val="21"/>
          <w:highlight w:val="none"/>
        </w:rPr>
      </w:pPr>
      <w:r>
        <w:rPr>
          <w:color w:val="auto"/>
          <w:szCs w:val="21"/>
          <w:highlight w:val="none"/>
        </w:rPr>
        <w:t>1.1.5 合同价格和费用</w:t>
      </w:r>
    </w:p>
    <w:p>
      <w:pPr>
        <w:shd w:val="clear" w:color="auto" w:fill="auto"/>
        <w:ind w:firstLine="420"/>
        <w:outlineLvl w:val="9"/>
        <w:rPr>
          <w:color w:val="auto"/>
          <w:szCs w:val="21"/>
          <w:highlight w:val="none"/>
        </w:rPr>
      </w:pPr>
      <w:r>
        <w:rPr>
          <w:color w:val="auto"/>
          <w:szCs w:val="21"/>
          <w:highlight w:val="none"/>
        </w:rPr>
        <w:t>1.1.5.1 签约合同价：指中标通知书明确的并在签定合同时于合同协议书中写明的合同总金额。</w:t>
      </w:r>
    </w:p>
    <w:p>
      <w:pPr>
        <w:shd w:val="clear" w:color="auto" w:fill="auto"/>
        <w:ind w:firstLine="420"/>
        <w:outlineLvl w:val="9"/>
        <w:rPr>
          <w:color w:val="auto"/>
          <w:szCs w:val="21"/>
          <w:highlight w:val="none"/>
        </w:rPr>
      </w:pPr>
      <w:r>
        <w:rPr>
          <w:color w:val="auto"/>
          <w:szCs w:val="21"/>
          <w:highlight w:val="none"/>
        </w:rPr>
        <w:t>1.1.5.2 合同价格：指承包人按合同约定完成了包括缺陷责任期内的全部承包工作后，发包人应付给承包人的金额，包括在履行合同过程中按合同约定进行的变更和调整。</w:t>
      </w:r>
    </w:p>
    <w:p>
      <w:pPr>
        <w:shd w:val="clear" w:color="auto" w:fill="auto"/>
        <w:ind w:firstLine="420"/>
        <w:outlineLvl w:val="9"/>
        <w:rPr>
          <w:color w:val="auto"/>
          <w:szCs w:val="21"/>
          <w:highlight w:val="none"/>
        </w:rPr>
      </w:pPr>
      <w:r>
        <w:rPr>
          <w:color w:val="auto"/>
          <w:szCs w:val="21"/>
          <w:highlight w:val="none"/>
        </w:rPr>
        <w:t>1.1.5.3 费用：指为履行合同所发生的或将要发生的所有合理开支，包括管理费和应分摊的其他费用，但不包括利润。</w:t>
      </w:r>
    </w:p>
    <w:p>
      <w:pPr>
        <w:shd w:val="clear" w:color="auto" w:fill="auto"/>
        <w:ind w:firstLine="420"/>
        <w:outlineLvl w:val="9"/>
        <w:rPr>
          <w:color w:val="auto"/>
          <w:szCs w:val="21"/>
          <w:highlight w:val="none"/>
        </w:rPr>
      </w:pPr>
      <w:r>
        <w:rPr>
          <w:color w:val="auto"/>
          <w:szCs w:val="21"/>
          <w:highlight w:val="none"/>
        </w:rPr>
        <w:t>1.1.5.4 暂列金额：指招标文件中给定的，用于在签订协议书时尚未确定或不可预见变更的设计、施工及其所需材料、工程设备、服务等的金额，包括以计日工方式支付的金额。</w:t>
      </w:r>
    </w:p>
    <w:p>
      <w:pPr>
        <w:shd w:val="clear" w:color="auto" w:fill="auto"/>
        <w:ind w:firstLine="420"/>
        <w:outlineLvl w:val="9"/>
        <w:rPr>
          <w:color w:val="auto"/>
          <w:szCs w:val="21"/>
          <w:highlight w:val="none"/>
        </w:rPr>
      </w:pPr>
      <w:r>
        <w:rPr>
          <w:color w:val="auto"/>
          <w:szCs w:val="21"/>
          <w:highlight w:val="none"/>
        </w:rPr>
        <w:t>1.1.5.5 暂估价：指招标文件中给定的，用于支付必然发生但暂时不能确定价格的专业服务、材料、设备专业工程的金额。</w:t>
      </w:r>
    </w:p>
    <w:p>
      <w:pPr>
        <w:shd w:val="clear" w:color="auto" w:fill="auto"/>
        <w:ind w:firstLine="420"/>
        <w:outlineLvl w:val="9"/>
        <w:rPr>
          <w:color w:val="auto"/>
          <w:szCs w:val="21"/>
          <w:highlight w:val="none"/>
        </w:rPr>
      </w:pPr>
      <w:r>
        <w:rPr>
          <w:color w:val="auto"/>
          <w:szCs w:val="21"/>
          <w:highlight w:val="none"/>
        </w:rPr>
        <w:t>1.1.5.6 计日工：指对零星工作采取的一种计价方式，按合同中的计日工子目及其单价计价付款。</w:t>
      </w:r>
    </w:p>
    <w:p>
      <w:pPr>
        <w:shd w:val="clear" w:color="auto" w:fill="auto"/>
        <w:ind w:firstLine="420"/>
        <w:outlineLvl w:val="9"/>
        <w:rPr>
          <w:color w:val="auto"/>
          <w:szCs w:val="21"/>
          <w:highlight w:val="none"/>
        </w:rPr>
      </w:pPr>
      <w:r>
        <w:rPr>
          <w:color w:val="auto"/>
          <w:szCs w:val="21"/>
          <w:highlight w:val="none"/>
        </w:rPr>
        <w:t>1.1.5.7 质量保证金：指按第17.4.1项约定用于保证在缺陷责任期内履行缺陷修复义务的金额。</w:t>
      </w:r>
    </w:p>
    <w:p>
      <w:pPr>
        <w:shd w:val="clear" w:color="auto" w:fill="auto"/>
        <w:ind w:firstLine="420"/>
        <w:outlineLvl w:val="9"/>
        <w:rPr>
          <w:color w:val="auto"/>
          <w:szCs w:val="21"/>
          <w:highlight w:val="none"/>
        </w:rPr>
      </w:pPr>
      <w:r>
        <w:rPr>
          <w:color w:val="auto"/>
          <w:szCs w:val="21"/>
          <w:highlight w:val="none"/>
        </w:rPr>
        <w:t>1.1.6 其他</w:t>
      </w:r>
    </w:p>
    <w:p>
      <w:pPr>
        <w:shd w:val="clear" w:color="auto" w:fill="auto"/>
        <w:ind w:firstLine="420"/>
        <w:outlineLvl w:val="9"/>
        <w:rPr>
          <w:color w:val="auto"/>
          <w:szCs w:val="21"/>
          <w:highlight w:val="none"/>
        </w:rPr>
      </w:pPr>
      <w:r>
        <w:rPr>
          <w:color w:val="auto"/>
          <w:szCs w:val="21"/>
          <w:highlight w:val="none"/>
        </w:rPr>
        <w:t>1.1.6.1 书面形式：指合同文件、信函、电报、传真、数据电文、电子邮件、会议纪要等可以有形地表现所载内容的形式。</w:t>
      </w:r>
    </w:p>
    <w:p>
      <w:pPr>
        <w:shd w:val="clear" w:color="auto" w:fill="auto"/>
        <w:ind w:firstLine="420"/>
        <w:outlineLvl w:val="9"/>
        <w:rPr>
          <w:color w:val="auto"/>
          <w:szCs w:val="21"/>
          <w:highlight w:val="none"/>
        </w:rPr>
      </w:pPr>
      <w:r>
        <w:rPr>
          <w:color w:val="auto"/>
          <w:szCs w:val="21"/>
          <w:highlight w:val="none"/>
        </w:rPr>
        <w:t>1.1.6.2 承包人文件：指由承包人根据合同应提交的所有图纸、手册、模型、计算书、软件和其他文件。</w:t>
      </w:r>
    </w:p>
    <w:p>
      <w:pPr>
        <w:shd w:val="clear" w:color="auto" w:fill="auto"/>
        <w:ind w:firstLine="420"/>
        <w:outlineLvl w:val="9"/>
        <w:rPr>
          <w:color w:val="auto"/>
          <w:szCs w:val="21"/>
          <w:highlight w:val="none"/>
        </w:rPr>
      </w:pPr>
      <w:r>
        <w:rPr>
          <w:color w:val="auto"/>
          <w:szCs w:val="21"/>
          <w:highlight w:val="none"/>
        </w:rPr>
        <w:t>1.1.6.3 变更是指根据第15条的约定，经指示或批准对发包人要求或工程所做的改变。</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 语言文字</w:t>
      </w:r>
    </w:p>
    <w:p>
      <w:pPr>
        <w:shd w:val="clear" w:color="auto" w:fill="auto"/>
        <w:ind w:firstLine="420"/>
        <w:outlineLvl w:val="9"/>
        <w:rPr>
          <w:color w:val="auto"/>
          <w:szCs w:val="21"/>
          <w:highlight w:val="none"/>
        </w:rPr>
      </w:pPr>
      <w:r>
        <w:rPr>
          <w:color w:val="auto"/>
          <w:szCs w:val="21"/>
          <w:highlight w:val="none"/>
        </w:rPr>
        <w:t>合同使用的语言文字为中文。专用术语使用外文的，应附有中文注释。</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 法律</w:t>
      </w:r>
    </w:p>
    <w:p>
      <w:pPr>
        <w:shd w:val="clear" w:color="auto" w:fill="auto"/>
        <w:ind w:firstLine="420"/>
        <w:outlineLvl w:val="9"/>
        <w:rPr>
          <w:color w:val="auto"/>
          <w:szCs w:val="21"/>
          <w:highlight w:val="none"/>
        </w:rPr>
      </w:pPr>
      <w:r>
        <w:rPr>
          <w:color w:val="auto"/>
          <w:szCs w:val="21"/>
          <w:highlight w:val="none"/>
        </w:rPr>
        <w:t>适用于合同的法律包括中华人民共和国法律、行政法规、部门规章，以及工程所在地的地方法规、自治条例、单行条例和地方政府规章。</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 合同文件的优先顺序</w:t>
      </w:r>
    </w:p>
    <w:p>
      <w:pPr>
        <w:shd w:val="clear" w:color="auto" w:fill="auto"/>
        <w:ind w:firstLine="420"/>
        <w:outlineLvl w:val="9"/>
        <w:rPr>
          <w:color w:val="auto"/>
          <w:szCs w:val="21"/>
          <w:highlight w:val="none"/>
        </w:rPr>
      </w:pPr>
      <w:r>
        <w:rPr>
          <w:color w:val="auto"/>
          <w:szCs w:val="21"/>
          <w:highlight w:val="none"/>
        </w:rPr>
        <w:t>组成合同的各项文件应互相解释，互为说明。除专用合同条款另有约定外，解释合同文件的优先顺序如下：</w:t>
      </w:r>
    </w:p>
    <w:p>
      <w:pPr>
        <w:shd w:val="clear" w:color="auto" w:fill="auto"/>
        <w:ind w:firstLine="420"/>
        <w:outlineLvl w:val="9"/>
        <w:rPr>
          <w:rFonts w:hint="eastAsia"/>
          <w:color w:val="auto"/>
          <w:szCs w:val="21"/>
          <w:highlight w:val="none"/>
        </w:rPr>
      </w:pPr>
      <w:r>
        <w:rPr>
          <w:rFonts w:hint="eastAsia"/>
          <w:color w:val="auto"/>
          <w:szCs w:val="21"/>
          <w:highlight w:val="none"/>
        </w:rPr>
        <w:t>（1）合同履行过程中，双方协商同意的变更、纪要、协议及补充和修改文件；</w:t>
      </w:r>
    </w:p>
    <w:p>
      <w:pPr>
        <w:shd w:val="clear" w:color="auto" w:fill="auto"/>
        <w:ind w:firstLine="420"/>
        <w:outlineLvl w:val="9"/>
        <w:rPr>
          <w:rFonts w:hint="eastAsia"/>
          <w:color w:val="auto"/>
          <w:szCs w:val="21"/>
          <w:highlight w:val="none"/>
        </w:rPr>
      </w:pPr>
      <w:r>
        <w:rPr>
          <w:rFonts w:hint="eastAsia"/>
          <w:color w:val="auto"/>
          <w:szCs w:val="21"/>
          <w:highlight w:val="none"/>
        </w:rPr>
        <w:t>（2）本合同协议书；</w:t>
      </w:r>
    </w:p>
    <w:p>
      <w:pPr>
        <w:shd w:val="clear" w:color="auto" w:fill="auto"/>
        <w:ind w:firstLine="420"/>
        <w:outlineLvl w:val="9"/>
        <w:rPr>
          <w:rFonts w:hint="eastAsia"/>
          <w:color w:val="auto"/>
          <w:szCs w:val="21"/>
          <w:highlight w:val="none"/>
        </w:rPr>
      </w:pPr>
      <w:r>
        <w:rPr>
          <w:rFonts w:hint="eastAsia"/>
          <w:color w:val="auto"/>
          <w:szCs w:val="21"/>
          <w:highlight w:val="none"/>
        </w:rPr>
        <w:t>（3）中标通知书；</w:t>
      </w:r>
    </w:p>
    <w:p>
      <w:pPr>
        <w:shd w:val="clear" w:color="auto" w:fill="auto"/>
        <w:ind w:firstLine="420"/>
        <w:outlineLvl w:val="9"/>
        <w:rPr>
          <w:rFonts w:hint="eastAsia"/>
          <w:color w:val="auto"/>
          <w:szCs w:val="21"/>
          <w:highlight w:val="none"/>
        </w:rPr>
      </w:pPr>
      <w:r>
        <w:rPr>
          <w:rFonts w:hint="eastAsia"/>
          <w:color w:val="auto"/>
          <w:szCs w:val="21"/>
          <w:highlight w:val="none"/>
        </w:rPr>
        <w:t>（4）投标函及其附录；</w:t>
      </w:r>
    </w:p>
    <w:p>
      <w:pPr>
        <w:shd w:val="clear" w:color="auto" w:fill="auto"/>
        <w:ind w:firstLine="420"/>
        <w:outlineLvl w:val="9"/>
        <w:rPr>
          <w:rFonts w:hint="eastAsia"/>
          <w:color w:val="auto"/>
          <w:szCs w:val="21"/>
          <w:highlight w:val="none"/>
        </w:rPr>
      </w:pPr>
      <w:r>
        <w:rPr>
          <w:rFonts w:hint="eastAsia"/>
          <w:color w:val="auto"/>
          <w:szCs w:val="21"/>
          <w:highlight w:val="none"/>
        </w:rPr>
        <w:t>（5）专用合同条款及《发包人要求》等附件；</w:t>
      </w:r>
    </w:p>
    <w:p>
      <w:pPr>
        <w:shd w:val="clear" w:color="auto" w:fill="auto"/>
        <w:ind w:firstLine="420"/>
        <w:outlineLvl w:val="9"/>
        <w:rPr>
          <w:rFonts w:hint="eastAsia"/>
          <w:color w:val="auto"/>
          <w:szCs w:val="21"/>
          <w:highlight w:val="none"/>
        </w:rPr>
      </w:pPr>
      <w:r>
        <w:rPr>
          <w:rFonts w:hint="eastAsia"/>
          <w:color w:val="auto"/>
          <w:szCs w:val="21"/>
          <w:highlight w:val="none"/>
        </w:rPr>
        <w:t>（6）通用合同条款；</w:t>
      </w:r>
    </w:p>
    <w:p>
      <w:pPr>
        <w:shd w:val="clear" w:color="auto" w:fill="auto"/>
        <w:ind w:firstLine="420"/>
        <w:outlineLvl w:val="9"/>
        <w:rPr>
          <w:rFonts w:hint="eastAsia"/>
          <w:color w:val="auto"/>
          <w:szCs w:val="21"/>
          <w:highlight w:val="none"/>
        </w:rPr>
      </w:pPr>
      <w:r>
        <w:rPr>
          <w:rFonts w:hint="eastAsia"/>
          <w:color w:val="auto"/>
          <w:szCs w:val="21"/>
          <w:highlight w:val="none"/>
        </w:rPr>
        <w:t>（7）投标文件及其附件；</w:t>
      </w:r>
    </w:p>
    <w:p>
      <w:pPr>
        <w:shd w:val="clear" w:color="auto" w:fill="auto"/>
        <w:ind w:firstLine="420"/>
        <w:outlineLvl w:val="9"/>
        <w:rPr>
          <w:rFonts w:hint="eastAsia"/>
          <w:color w:val="auto"/>
          <w:szCs w:val="21"/>
          <w:highlight w:val="none"/>
        </w:rPr>
      </w:pPr>
      <w:r>
        <w:rPr>
          <w:rFonts w:hint="eastAsia"/>
          <w:color w:val="auto"/>
          <w:szCs w:val="21"/>
          <w:highlight w:val="none"/>
        </w:rPr>
        <w:t>（8）设计文件、资料和图纸；</w:t>
      </w:r>
    </w:p>
    <w:p>
      <w:pPr>
        <w:shd w:val="clear" w:color="auto" w:fill="auto"/>
        <w:ind w:firstLine="420"/>
        <w:outlineLvl w:val="9"/>
        <w:rPr>
          <w:rFonts w:hint="eastAsia"/>
          <w:color w:val="auto"/>
          <w:szCs w:val="21"/>
          <w:highlight w:val="none"/>
        </w:rPr>
      </w:pPr>
      <w:r>
        <w:rPr>
          <w:rFonts w:hint="eastAsia"/>
          <w:color w:val="auto"/>
          <w:szCs w:val="21"/>
          <w:highlight w:val="none"/>
        </w:rPr>
        <w:t>（9）标准、规范及有关技术文件；</w:t>
      </w:r>
    </w:p>
    <w:p>
      <w:pPr>
        <w:shd w:val="clear" w:color="auto" w:fill="auto"/>
        <w:ind w:firstLine="420"/>
        <w:outlineLvl w:val="9"/>
        <w:rPr>
          <w:rFonts w:hint="eastAsia"/>
          <w:color w:val="auto"/>
          <w:szCs w:val="21"/>
          <w:highlight w:val="none"/>
        </w:rPr>
      </w:pPr>
      <w:r>
        <w:rPr>
          <w:rFonts w:hint="eastAsia"/>
          <w:color w:val="auto"/>
          <w:szCs w:val="21"/>
          <w:highlight w:val="none"/>
        </w:rPr>
        <w:t>（10）招标文件；</w:t>
      </w:r>
    </w:p>
    <w:p>
      <w:pPr>
        <w:shd w:val="clear" w:color="auto" w:fill="auto"/>
        <w:ind w:firstLine="420"/>
        <w:outlineLvl w:val="9"/>
        <w:rPr>
          <w:rFonts w:hint="eastAsia"/>
          <w:color w:val="auto"/>
          <w:szCs w:val="21"/>
          <w:highlight w:val="none"/>
        </w:rPr>
      </w:pPr>
      <w:r>
        <w:rPr>
          <w:rFonts w:hint="eastAsia"/>
          <w:color w:val="auto"/>
          <w:szCs w:val="21"/>
          <w:highlight w:val="none"/>
        </w:rPr>
        <w:t>（11）已标价工程量清单或预算书；</w:t>
      </w:r>
    </w:p>
    <w:p>
      <w:pPr>
        <w:shd w:val="clear" w:color="auto" w:fill="auto"/>
        <w:ind w:firstLine="420"/>
        <w:outlineLvl w:val="9"/>
        <w:rPr>
          <w:rFonts w:hint="eastAsia"/>
          <w:color w:val="auto"/>
          <w:szCs w:val="21"/>
          <w:highlight w:val="none"/>
        </w:rPr>
      </w:pPr>
      <w:r>
        <w:rPr>
          <w:rFonts w:hint="eastAsia"/>
          <w:color w:val="auto"/>
          <w:szCs w:val="21"/>
          <w:highlight w:val="none"/>
        </w:rPr>
        <w:t>（12）联合体协议（如有）；</w:t>
      </w:r>
    </w:p>
    <w:p>
      <w:pPr>
        <w:shd w:val="clear" w:color="auto" w:fill="auto"/>
        <w:ind w:firstLine="420"/>
        <w:outlineLvl w:val="9"/>
        <w:rPr>
          <w:color w:val="auto"/>
          <w:szCs w:val="21"/>
          <w:highlight w:val="none"/>
        </w:rPr>
      </w:pPr>
      <w:r>
        <w:rPr>
          <w:rFonts w:hint="eastAsia"/>
          <w:color w:val="auto"/>
          <w:szCs w:val="21"/>
          <w:highlight w:val="none"/>
        </w:rPr>
        <w:t>（13）构成合同组成部分的其他文件。</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 合同协议书</w:t>
      </w:r>
    </w:p>
    <w:p>
      <w:pPr>
        <w:shd w:val="clear" w:color="auto" w:fill="auto"/>
        <w:ind w:firstLine="420"/>
        <w:outlineLvl w:val="9"/>
        <w:rPr>
          <w:color w:val="auto"/>
          <w:szCs w:val="21"/>
          <w:highlight w:val="none"/>
        </w:rPr>
      </w:pPr>
      <w:r>
        <w:rPr>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 文件的提供和照管</w:t>
      </w:r>
    </w:p>
    <w:p>
      <w:pPr>
        <w:shd w:val="clear" w:color="auto" w:fill="auto"/>
        <w:ind w:firstLine="420"/>
        <w:outlineLvl w:val="9"/>
        <w:rPr>
          <w:color w:val="auto"/>
          <w:szCs w:val="21"/>
          <w:highlight w:val="none"/>
        </w:rPr>
      </w:pPr>
      <w:r>
        <w:rPr>
          <w:color w:val="auto"/>
          <w:szCs w:val="21"/>
          <w:highlight w:val="none"/>
        </w:rPr>
        <w:t>1.6.1 承包人文件的提供</w:t>
      </w:r>
    </w:p>
    <w:p>
      <w:pPr>
        <w:shd w:val="clear" w:color="auto" w:fill="auto"/>
        <w:ind w:firstLine="420"/>
        <w:outlineLvl w:val="9"/>
        <w:rPr>
          <w:color w:val="auto"/>
          <w:szCs w:val="21"/>
          <w:highlight w:val="none"/>
        </w:rPr>
      </w:pPr>
      <w:r>
        <w:rPr>
          <w:color w:val="auto"/>
          <w:szCs w:val="21"/>
          <w:highlight w:val="none"/>
        </w:rPr>
        <w:t>除专用合同条款另有约定外，承包人应在合理的期限内按照合同约定的数量向监理人提供承包人文件。合同约定承包人文件应批准的，监理人应当在合同约定的期限内批复。承包人的设计文件的提供和审查按第5.3款和第5.5款的约定执行。</w:t>
      </w:r>
    </w:p>
    <w:p>
      <w:pPr>
        <w:shd w:val="clear" w:color="auto" w:fill="auto"/>
        <w:ind w:firstLine="420"/>
        <w:outlineLvl w:val="9"/>
        <w:rPr>
          <w:color w:val="auto"/>
          <w:szCs w:val="21"/>
          <w:highlight w:val="none"/>
        </w:rPr>
      </w:pPr>
      <w:r>
        <w:rPr>
          <w:color w:val="auto"/>
          <w:szCs w:val="21"/>
          <w:highlight w:val="none"/>
        </w:rPr>
        <w:t>1.6.2 发包人提供的文件</w:t>
      </w:r>
    </w:p>
    <w:p>
      <w:pPr>
        <w:shd w:val="clear" w:color="auto" w:fill="auto"/>
        <w:ind w:firstLine="420"/>
        <w:outlineLvl w:val="9"/>
        <w:rPr>
          <w:color w:val="auto"/>
          <w:szCs w:val="21"/>
          <w:highlight w:val="none"/>
        </w:rPr>
      </w:pPr>
      <w:r>
        <w:rPr>
          <w:color w:val="auto"/>
          <w:szCs w:val="21"/>
          <w:highlight w:val="none"/>
        </w:rPr>
        <w:t>按专用合同条款约定由发包人提供的文件，包括前期工作相关文件、环境保护、气象水文、地质条件等，发包人应按约定的数量和期限交给承包人。由于发包人未按时提供文件造成工期延误的，按第11.3款约定执行。</w:t>
      </w:r>
    </w:p>
    <w:p>
      <w:pPr>
        <w:shd w:val="clear" w:color="auto" w:fill="auto"/>
        <w:ind w:firstLine="420"/>
        <w:outlineLvl w:val="9"/>
        <w:rPr>
          <w:color w:val="auto"/>
          <w:szCs w:val="21"/>
          <w:highlight w:val="none"/>
        </w:rPr>
      </w:pPr>
      <w:r>
        <w:rPr>
          <w:color w:val="auto"/>
          <w:szCs w:val="21"/>
          <w:highlight w:val="none"/>
        </w:rPr>
        <w:t>1.6.3 文件错误的通知</w:t>
      </w:r>
    </w:p>
    <w:p>
      <w:pPr>
        <w:shd w:val="clear" w:color="auto" w:fill="auto"/>
        <w:ind w:firstLine="420"/>
        <w:outlineLvl w:val="9"/>
        <w:rPr>
          <w:color w:val="auto"/>
          <w:szCs w:val="21"/>
          <w:highlight w:val="none"/>
        </w:rPr>
      </w:pPr>
      <w:r>
        <w:rPr>
          <w:color w:val="auto"/>
          <w:szCs w:val="21"/>
          <w:highlight w:val="none"/>
        </w:rPr>
        <w:t>任何一方发现了文件中存在的明显错误或疏忽，应及时通知另一方。</w:t>
      </w:r>
    </w:p>
    <w:p>
      <w:pPr>
        <w:shd w:val="clear" w:color="auto" w:fill="auto"/>
        <w:ind w:firstLine="420"/>
        <w:outlineLvl w:val="9"/>
        <w:rPr>
          <w:color w:val="auto"/>
          <w:szCs w:val="21"/>
          <w:highlight w:val="none"/>
        </w:rPr>
      </w:pPr>
      <w:r>
        <w:rPr>
          <w:color w:val="auto"/>
          <w:szCs w:val="21"/>
          <w:highlight w:val="none"/>
        </w:rPr>
        <w:t>1.6.4 文件的照管</w:t>
      </w:r>
    </w:p>
    <w:p>
      <w:pPr>
        <w:shd w:val="clear" w:color="auto" w:fill="auto"/>
        <w:ind w:firstLine="420"/>
        <w:outlineLvl w:val="9"/>
        <w:rPr>
          <w:color w:val="auto"/>
          <w:szCs w:val="21"/>
          <w:highlight w:val="none"/>
        </w:rPr>
      </w:pPr>
      <w:r>
        <w:rPr>
          <w:color w:val="auto"/>
          <w:szCs w:val="21"/>
          <w:highlight w:val="none"/>
        </w:rPr>
        <w:t>承包人应在现场保留一份合同、发包人要求中列出的所有文件、承包人文件、变更以及其它根据合同收发的往来信函。发包人有权在任何合理的时间查阅和使用上述所有文件。</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 联络</w:t>
      </w:r>
    </w:p>
    <w:p>
      <w:pPr>
        <w:shd w:val="clear" w:color="auto" w:fill="auto"/>
        <w:ind w:firstLine="420"/>
        <w:outlineLvl w:val="9"/>
        <w:rPr>
          <w:color w:val="auto"/>
          <w:szCs w:val="21"/>
          <w:highlight w:val="none"/>
        </w:rPr>
      </w:pPr>
      <w:r>
        <w:rPr>
          <w:color w:val="auto"/>
          <w:szCs w:val="21"/>
          <w:highlight w:val="none"/>
        </w:rPr>
        <w:t>1.7.1 与合同有关的通知、批准、证明、证书、指示、要求、请求、同意、意见、确定和决定等，均应采用书面形式。</w:t>
      </w:r>
    </w:p>
    <w:p>
      <w:pPr>
        <w:shd w:val="clear" w:color="auto" w:fill="auto"/>
        <w:ind w:firstLine="420"/>
        <w:outlineLvl w:val="9"/>
        <w:rPr>
          <w:color w:val="auto"/>
          <w:szCs w:val="21"/>
          <w:highlight w:val="none"/>
        </w:rPr>
      </w:pPr>
      <w:r>
        <w:rPr>
          <w:color w:val="auto"/>
          <w:szCs w:val="21"/>
          <w:highlight w:val="none"/>
        </w:rPr>
        <w:t>1.7.2 第1.7.1 项中的通知、批准、证明、证书、指示、要求、请求、同意、意见、确定和决定等来往函件，均应在合同约定的期限内送达指定的地点和指定的接收人，并办理签收手续。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 转让</w:t>
      </w:r>
    </w:p>
    <w:p>
      <w:pPr>
        <w:shd w:val="clear" w:color="auto" w:fill="auto"/>
        <w:ind w:firstLine="420"/>
        <w:outlineLvl w:val="9"/>
        <w:rPr>
          <w:color w:val="auto"/>
          <w:szCs w:val="21"/>
          <w:highlight w:val="none"/>
        </w:rPr>
      </w:pPr>
      <w:r>
        <w:rPr>
          <w:color w:val="auto"/>
          <w:szCs w:val="21"/>
          <w:highlight w:val="none"/>
        </w:rPr>
        <w:t>除合同另有约定外，未经承包人同意，发包人不得将合同权利全部或部分转让给第三人，也不得全部或部分转让合同义务。承包人不得将合同权利和义务全部转让给第三人，也不得将合同的义务全部或部分转让给第三人，法律另有规定的除外。</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 严禁贿赂</w:t>
      </w:r>
    </w:p>
    <w:p>
      <w:pPr>
        <w:shd w:val="clear" w:color="auto" w:fill="auto"/>
        <w:ind w:firstLine="420"/>
        <w:outlineLvl w:val="9"/>
        <w:rPr>
          <w:color w:val="auto"/>
          <w:szCs w:val="21"/>
          <w:highlight w:val="none"/>
        </w:rPr>
      </w:pPr>
      <w:r>
        <w:rPr>
          <w:color w:val="auto"/>
          <w:szCs w:val="21"/>
          <w:highlight w:val="none"/>
        </w:rPr>
        <w:t>合同双方当事人不得以贿赂或变相贿赂的方式，谋取不当利益或损害对方权益。因贿赂造成对方损失的，行为人应赔偿损失，并承担相应的法律责任。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1.10 化石、文物</w:t>
      </w:r>
    </w:p>
    <w:p>
      <w:pPr>
        <w:shd w:val="clear" w:color="auto" w:fill="auto"/>
        <w:ind w:firstLine="420"/>
        <w:outlineLvl w:val="9"/>
        <w:rPr>
          <w:color w:val="auto"/>
          <w:szCs w:val="21"/>
          <w:highlight w:val="none"/>
        </w:rPr>
      </w:pPr>
      <w:r>
        <w:rPr>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和发包人。发包人、监理人和承包人应按文物行政部门要求采取妥善保护措施，由此导致费用增加和（或）工期延误由发包人承担。</w:t>
      </w:r>
    </w:p>
    <w:p>
      <w:pPr>
        <w:shd w:val="clear" w:color="auto" w:fill="auto"/>
        <w:ind w:firstLine="420"/>
        <w:outlineLvl w:val="9"/>
        <w:rPr>
          <w:color w:val="auto"/>
          <w:szCs w:val="21"/>
          <w:highlight w:val="none"/>
        </w:rPr>
      </w:pPr>
      <w:r>
        <w:rPr>
          <w:color w:val="auto"/>
          <w:szCs w:val="21"/>
          <w:highlight w:val="none"/>
        </w:rPr>
        <w:t>1.10.2 承包人发现文物后不及时报告或隐瞒不报，致使文物丢失或损坏的，应赔偿损失，并承担相应的法律责任。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1.11 知识产权</w:t>
      </w:r>
    </w:p>
    <w:p>
      <w:pPr>
        <w:shd w:val="clear" w:color="auto" w:fill="auto"/>
        <w:ind w:firstLine="420"/>
        <w:outlineLvl w:val="9"/>
        <w:rPr>
          <w:color w:val="auto"/>
          <w:szCs w:val="21"/>
          <w:highlight w:val="none"/>
        </w:rPr>
      </w:pPr>
      <w:r>
        <w:rPr>
          <w:color w:val="auto"/>
          <w:szCs w:val="21"/>
          <w:highlight w:val="none"/>
        </w:rPr>
        <w:t>1.11.1除专用合同条款另有约定外，承包人完成的设计工作成果和建造完成的建筑物，除署名权以外的著作权以及建筑物形象使用收益等其他知识产权均归发包人享有。</w:t>
      </w:r>
    </w:p>
    <w:p>
      <w:pPr>
        <w:shd w:val="clear" w:color="auto" w:fill="auto"/>
        <w:ind w:firstLine="420"/>
        <w:outlineLvl w:val="9"/>
        <w:rPr>
          <w:color w:val="auto"/>
          <w:szCs w:val="21"/>
          <w:highlight w:val="none"/>
        </w:rPr>
      </w:pPr>
      <w:r>
        <w:rPr>
          <w:color w:val="auto"/>
          <w:szCs w:val="21"/>
          <w:highlight w:val="none"/>
        </w:rPr>
        <w:t>1.11.2 承包人在进行设计，以及使用任何材料、承包人设备、工程设备或采用施工工艺时，因侵犯专利权或其他知识产权所引起的责任，由承包人承担。</w:t>
      </w:r>
    </w:p>
    <w:p>
      <w:pPr>
        <w:shd w:val="clear" w:color="auto" w:fill="auto"/>
        <w:ind w:firstLine="420"/>
        <w:outlineLvl w:val="9"/>
        <w:rPr>
          <w:color w:val="auto"/>
          <w:szCs w:val="21"/>
          <w:highlight w:val="none"/>
        </w:rPr>
      </w:pPr>
      <w:r>
        <w:rPr>
          <w:color w:val="auto"/>
          <w:szCs w:val="21"/>
          <w:highlight w:val="none"/>
        </w:rPr>
        <w:t>1.11.3 承包人在投标文件中采用专利技术的，专利技术的使用费包含在投标报价内。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1.12 文件及信息的保密</w:t>
      </w:r>
    </w:p>
    <w:p>
      <w:pPr>
        <w:shd w:val="clear" w:color="auto" w:fill="auto"/>
        <w:ind w:firstLine="420"/>
        <w:outlineLvl w:val="9"/>
        <w:rPr>
          <w:color w:val="auto"/>
          <w:szCs w:val="21"/>
          <w:highlight w:val="none"/>
        </w:rPr>
      </w:pPr>
      <w:r>
        <w:rPr>
          <w:color w:val="auto"/>
          <w:szCs w:val="21"/>
          <w:highlight w:val="none"/>
        </w:rPr>
        <w:t>未经对方同意，任何一方当事人不得将有关文件、技术秘密、需要保密的资料和信息泄露给他人或公开发表与引用。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1.13 发包人要求中的错误（A）</w:t>
      </w:r>
    </w:p>
    <w:p>
      <w:pPr>
        <w:shd w:val="clear" w:color="auto" w:fill="auto"/>
        <w:ind w:firstLine="420"/>
        <w:outlineLvl w:val="9"/>
        <w:rPr>
          <w:color w:val="auto"/>
          <w:szCs w:val="21"/>
          <w:highlight w:val="none"/>
        </w:rPr>
      </w:pPr>
      <w:r>
        <w:rPr>
          <w:color w:val="auto"/>
          <w:szCs w:val="21"/>
          <w:highlight w:val="none"/>
        </w:rPr>
        <w:t>1.13.1承包人应认真阅读、复核发包人要求，发现错误的，应及时书面通知发包人。</w:t>
      </w:r>
    </w:p>
    <w:p>
      <w:pPr>
        <w:shd w:val="clear" w:color="auto" w:fill="auto"/>
        <w:ind w:firstLine="420"/>
        <w:outlineLvl w:val="9"/>
        <w:rPr>
          <w:color w:val="auto"/>
          <w:szCs w:val="21"/>
          <w:highlight w:val="none"/>
        </w:rPr>
      </w:pPr>
      <w:r>
        <w:rPr>
          <w:color w:val="auto"/>
          <w:szCs w:val="21"/>
          <w:highlight w:val="none"/>
        </w:rPr>
        <w:t>1.13.2发包人要求中的错误导致承包人增加费用和（或）工期延误的，发包人应承担由此增加的费用和（或）工期延误，并向承包人支付合理利润。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1.13 发包人要求中的错误（B）</w:t>
      </w:r>
    </w:p>
    <w:p>
      <w:pPr>
        <w:shd w:val="clear" w:color="auto" w:fill="auto"/>
        <w:ind w:firstLine="420"/>
        <w:outlineLvl w:val="9"/>
        <w:rPr>
          <w:color w:val="auto"/>
          <w:szCs w:val="21"/>
          <w:highlight w:val="none"/>
        </w:rPr>
      </w:pPr>
      <w:r>
        <w:rPr>
          <w:color w:val="auto"/>
          <w:szCs w:val="21"/>
          <w:highlight w:val="none"/>
        </w:rPr>
        <w:t>1.13.1 承包人应认真阅读、复核发包人要求，发现错误的，应及时书面通知发包人。发包人作相应修改的，按照第15条约定处理。对确实存在的错误，发包人坚持不作修改的，应承担由此导致承包人增加的费用和（或）延误的工期。</w:t>
      </w:r>
    </w:p>
    <w:p>
      <w:pPr>
        <w:shd w:val="clear" w:color="auto" w:fill="auto"/>
        <w:ind w:firstLine="420"/>
        <w:outlineLvl w:val="9"/>
        <w:rPr>
          <w:color w:val="auto"/>
          <w:szCs w:val="21"/>
          <w:highlight w:val="none"/>
        </w:rPr>
      </w:pPr>
      <w:r>
        <w:rPr>
          <w:color w:val="auto"/>
          <w:szCs w:val="21"/>
          <w:highlight w:val="none"/>
        </w:rPr>
        <w:t>1.13.2 承包人未发现发包人要求中存在错误的，承包人自行承担由此导致的费用增加和（或） 工期延误，但专用合同条款另有约定的除外。</w:t>
      </w:r>
    </w:p>
    <w:p>
      <w:pPr>
        <w:shd w:val="clear" w:color="auto" w:fill="auto"/>
        <w:ind w:firstLine="420"/>
        <w:outlineLvl w:val="9"/>
        <w:rPr>
          <w:color w:val="auto"/>
          <w:szCs w:val="21"/>
          <w:highlight w:val="none"/>
        </w:rPr>
      </w:pPr>
      <w:r>
        <w:rPr>
          <w:color w:val="auto"/>
          <w:szCs w:val="21"/>
          <w:highlight w:val="none"/>
        </w:rPr>
        <w:t>1.13.3 无论承包人发现与否，在任何情况下，发包人要求中的下列错误导致承包人增加的费用和（或）延误的工期，由发包人承担，并向承包人支付合理利润。</w:t>
      </w:r>
    </w:p>
    <w:p>
      <w:pPr>
        <w:shd w:val="clear" w:color="auto" w:fill="auto"/>
        <w:ind w:firstLine="420"/>
        <w:outlineLvl w:val="9"/>
        <w:rPr>
          <w:color w:val="auto"/>
          <w:szCs w:val="21"/>
          <w:highlight w:val="none"/>
        </w:rPr>
      </w:pPr>
      <w:r>
        <w:rPr>
          <w:color w:val="auto"/>
          <w:szCs w:val="21"/>
          <w:highlight w:val="none"/>
        </w:rPr>
        <w:t>（1）发包人要求中引用的原始数据和资料；</w:t>
      </w:r>
    </w:p>
    <w:p>
      <w:pPr>
        <w:shd w:val="clear" w:color="auto" w:fill="auto"/>
        <w:ind w:firstLine="420"/>
        <w:outlineLvl w:val="9"/>
        <w:rPr>
          <w:color w:val="auto"/>
          <w:szCs w:val="21"/>
          <w:highlight w:val="none"/>
        </w:rPr>
      </w:pPr>
      <w:r>
        <w:rPr>
          <w:color w:val="auto"/>
          <w:szCs w:val="21"/>
          <w:highlight w:val="none"/>
        </w:rPr>
        <w:t>（2）对工程或其任何部分的功能要求；</w:t>
      </w:r>
    </w:p>
    <w:p>
      <w:pPr>
        <w:shd w:val="clear" w:color="auto" w:fill="auto"/>
        <w:ind w:firstLine="420"/>
        <w:outlineLvl w:val="9"/>
        <w:rPr>
          <w:color w:val="auto"/>
          <w:szCs w:val="21"/>
          <w:highlight w:val="none"/>
        </w:rPr>
      </w:pPr>
      <w:r>
        <w:rPr>
          <w:color w:val="auto"/>
          <w:szCs w:val="21"/>
          <w:highlight w:val="none"/>
        </w:rPr>
        <w:t>（3）对工程的工艺安排或要求；</w:t>
      </w:r>
    </w:p>
    <w:p>
      <w:pPr>
        <w:shd w:val="clear" w:color="auto" w:fill="auto"/>
        <w:ind w:firstLine="420"/>
        <w:outlineLvl w:val="9"/>
        <w:rPr>
          <w:color w:val="auto"/>
          <w:szCs w:val="21"/>
          <w:highlight w:val="none"/>
        </w:rPr>
      </w:pPr>
      <w:r>
        <w:rPr>
          <w:color w:val="auto"/>
          <w:szCs w:val="21"/>
          <w:highlight w:val="none"/>
        </w:rPr>
        <w:t>（4）试验和检验标准；</w:t>
      </w:r>
    </w:p>
    <w:p>
      <w:pPr>
        <w:shd w:val="clear" w:color="auto" w:fill="auto"/>
        <w:ind w:firstLine="420"/>
        <w:outlineLvl w:val="9"/>
        <w:rPr>
          <w:color w:val="auto"/>
          <w:szCs w:val="21"/>
          <w:highlight w:val="none"/>
        </w:rPr>
      </w:pPr>
      <w:r>
        <w:rPr>
          <w:color w:val="auto"/>
          <w:szCs w:val="21"/>
          <w:highlight w:val="none"/>
        </w:rPr>
        <w:t>（5）除合同另有约定外，承包人无法核实的数据和资料。</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1.14 发包人要求违法</w:t>
      </w:r>
    </w:p>
    <w:p>
      <w:pPr>
        <w:shd w:val="clear" w:color="auto" w:fill="auto"/>
        <w:ind w:firstLine="420"/>
        <w:outlineLvl w:val="9"/>
        <w:rPr>
          <w:color w:val="auto"/>
          <w:szCs w:val="21"/>
          <w:highlight w:val="none"/>
        </w:rPr>
      </w:pPr>
      <w:r>
        <w:rPr>
          <w:color w:val="auto"/>
          <w:szCs w:val="21"/>
          <w:highlight w:val="none"/>
        </w:rPr>
        <w:t>发包人要求违反法律规定的，承包人发现后应书面通知发包人，并要求其改正。发包人收到通知书后不予改正或不予答复的，承包人有权拒绝履行合同义务，直至解除合同。发包人应承担由此引起的承包人全部损失。</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74" w:name="_Toc30882"/>
      <w:bookmarkStart w:id="375" w:name="_Toc12593"/>
      <w:bookmarkStart w:id="376" w:name="_Toc144327074"/>
      <w:r>
        <w:rPr>
          <w:rFonts w:ascii="Times New Roman" w:hAnsi="Times New Roman" w:cs="Times New Roman"/>
          <w:color w:val="auto"/>
          <w:sz w:val="21"/>
          <w:szCs w:val="21"/>
          <w:highlight w:val="none"/>
        </w:rPr>
        <w:t>2．发包人义务</w:t>
      </w:r>
      <w:bookmarkEnd w:id="374"/>
      <w:bookmarkEnd w:id="375"/>
      <w:bookmarkEnd w:id="37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 遵守法律</w:t>
      </w:r>
    </w:p>
    <w:p>
      <w:pPr>
        <w:shd w:val="clear" w:color="auto" w:fill="auto"/>
        <w:ind w:firstLine="420"/>
        <w:outlineLvl w:val="9"/>
        <w:rPr>
          <w:color w:val="auto"/>
          <w:szCs w:val="21"/>
          <w:highlight w:val="none"/>
        </w:rPr>
      </w:pPr>
      <w:r>
        <w:rPr>
          <w:color w:val="auto"/>
          <w:szCs w:val="21"/>
          <w:highlight w:val="none"/>
        </w:rPr>
        <w:t>发包人在履行合同过程中应遵守法律，并保证承包人免于承担因发包人违反法律而引起的任何责任。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 发出承包人开始工作通知</w:t>
      </w:r>
    </w:p>
    <w:p>
      <w:pPr>
        <w:shd w:val="clear" w:color="auto" w:fill="auto"/>
        <w:ind w:firstLine="420"/>
        <w:outlineLvl w:val="9"/>
        <w:rPr>
          <w:color w:val="auto"/>
          <w:szCs w:val="21"/>
          <w:highlight w:val="none"/>
        </w:rPr>
      </w:pPr>
      <w:r>
        <w:rPr>
          <w:color w:val="auto"/>
          <w:szCs w:val="21"/>
          <w:highlight w:val="none"/>
        </w:rPr>
        <w:t>发包人应委托监理人按第11.1款的约定向承包人发出开始工作通知。</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 提供施工场地</w:t>
      </w:r>
    </w:p>
    <w:p>
      <w:pPr>
        <w:shd w:val="clear" w:color="auto" w:fill="auto"/>
        <w:ind w:firstLine="420"/>
        <w:outlineLvl w:val="9"/>
        <w:rPr>
          <w:color w:val="auto"/>
          <w:szCs w:val="21"/>
          <w:highlight w:val="none"/>
        </w:rPr>
      </w:pPr>
      <w:r>
        <w:rPr>
          <w:color w:val="auto"/>
          <w:szCs w:val="21"/>
          <w:highlight w:val="none"/>
        </w:rPr>
        <w:t>发包人应按专用合同条款约定向承包人提供施工场地及进场施工条件，并明确与承包人的交接界面。</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 办理证件和批件</w:t>
      </w:r>
    </w:p>
    <w:p>
      <w:pPr>
        <w:shd w:val="clear" w:color="auto" w:fill="auto"/>
        <w:ind w:firstLine="420"/>
        <w:outlineLvl w:val="9"/>
        <w:rPr>
          <w:color w:val="auto"/>
          <w:szCs w:val="21"/>
          <w:highlight w:val="none"/>
        </w:rPr>
      </w:pPr>
      <w:r>
        <w:rPr>
          <w:color w:val="auto"/>
          <w:szCs w:val="21"/>
          <w:highlight w:val="none"/>
        </w:rPr>
        <w:t>法律规定和（或）合同约定由发包人负责办理的工程建设项目必须履行的各类审批、核准或备案手续，发包人应按时办理。</w:t>
      </w:r>
    </w:p>
    <w:p>
      <w:pPr>
        <w:shd w:val="clear" w:color="auto" w:fill="auto"/>
        <w:ind w:firstLine="420"/>
        <w:outlineLvl w:val="9"/>
        <w:rPr>
          <w:color w:val="auto"/>
          <w:szCs w:val="21"/>
          <w:highlight w:val="none"/>
        </w:rPr>
      </w:pPr>
      <w:r>
        <w:rPr>
          <w:color w:val="auto"/>
          <w:szCs w:val="21"/>
          <w:highlight w:val="none"/>
        </w:rPr>
        <w:t>法律规定和（或）合同约定由承包人负责的有关设计、施工证件和批件，发包人应给予必要的协助。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 支付合同价款</w:t>
      </w:r>
    </w:p>
    <w:p>
      <w:pPr>
        <w:shd w:val="clear" w:color="auto" w:fill="auto"/>
        <w:ind w:firstLine="420"/>
        <w:outlineLvl w:val="9"/>
        <w:rPr>
          <w:color w:val="auto"/>
          <w:szCs w:val="21"/>
          <w:highlight w:val="none"/>
        </w:rPr>
      </w:pPr>
      <w:r>
        <w:rPr>
          <w:color w:val="auto"/>
          <w:szCs w:val="21"/>
          <w:highlight w:val="none"/>
        </w:rPr>
        <w:t>发包人应按合同约定向承包人及时支付合同价款。专用合同条款对发包人工程款支付担保有约定的，从其约定。</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 组织竣工验收</w:t>
      </w:r>
    </w:p>
    <w:p>
      <w:pPr>
        <w:shd w:val="clear" w:color="auto" w:fill="auto"/>
        <w:ind w:firstLine="420"/>
        <w:outlineLvl w:val="9"/>
        <w:rPr>
          <w:color w:val="auto"/>
          <w:szCs w:val="21"/>
          <w:highlight w:val="none"/>
        </w:rPr>
      </w:pPr>
      <w:r>
        <w:rPr>
          <w:color w:val="auto"/>
          <w:szCs w:val="21"/>
          <w:highlight w:val="none"/>
        </w:rPr>
        <w:t>发包人应按合同约定及时组织竣工验收。</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2.7 其他义务</w:t>
      </w:r>
    </w:p>
    <w:p>
      <w:pPr>
        <w:shd w:val="clear" w:color="auto" w:fill="auto"/>
        <w:ind w:firstLine="420"/>
        <w:outlineLvl w:val="9"/>
        <w:rPr>
          <w:color w:val="auto"/>
          <w:szCs w:val="21"/>
          <w:highlight w:val="none"/>
        </w:rPr>
      </w:pPr>
      <w:r>
        <w:rPr>
          <w:color w:val="auto"/>
          <w:szCs w:val="21"/>
          <w:highlight w:val="none"/>
        </w:rPr>
        <w:t>发包人应履行合同约定的其他义务。</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77" w:name="_Toc1831"/>
      <w:bookmarkStart w:id="378" w:name="_Toc144327075"/>
      <w:bookmarkStart w:id="379" w:name="_Toc3222"/>
      <w:r>
        <w:rPr>
          <w:rFonts w:ascii="Times New Roman" w:hAnsi="Times New Roman" w:cs="Times New Roman"/>
          <w:color w:val="auto"/>
          <w:sz w:val="21"/>
          <w:szCs w:val="21"/>
          <w:highlight w:val="none"/>
        </w:rPr>
        <w:t>3．监理人</w:t>
      </w:r>
      <w:bookmarkEnd w:id="377"/>
      <w:bookmarkEnd w:id="378"/>
      <w:bookmarkEnd w:id="379"/>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3.1 监理人的职责和权力</w:t>
      </w:r>
    </w:p>
    <w:p>
      <w:pPr>
        <w:shd w:val="clear" w:color="auto" w:fill="auto"/>
        <w:ind w:firstLine="420"/>
        <w:outlineLvl w:val="9"/>
        <w:rPr>
          <w:color w:val="auto"/>
          <w:szCs w:val="21"/>
          <w:highlight w:val="none"/>
        </w:rPr>
      </w:pPr>
      <w:r>
        <w:rPr>
          <w:color w:val="auto"/>
          <w:szCs w:val="21"/>
          <w:highlight w:val="none"/>
        </w:rPr>
        <w:t>3.1.1 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pPr>
        <w:shd w:val="clear" w:color="auto" w:fill="auto"/>
        <w:ind w:firstLine="420"/>
        <w:outlineLvl w:val="9"/>
        <w:rPr>
          <w:color w:val="auto"/>
          <w:szCs w:val="21"/>
          <w:highlight w:val="none"/>
        </w:rPr>
      </w:pPr>
      <w:r>
        <w:rPr>
          <w:color w:val="auto"/>
          <w:szCs w:val="21"/>
          <w:highlight w:val="none"/>
        </w:rPr>
        <w:t>3.1.2 合同约定应由承包人承担的义务和责任，不因监理人对承包人文件的审查或批准，对工程、材料和工程设备的检查和检验，以及为实施监理作出的指示等职务行为而减轻或解除。</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3.2 总监理工程师</w:t>
      </w:r>
    </w:p>
    <w:p>
      <w:pPr>
        <w:shd w:val="clear" w:color="auto" w:fill="auto"/>
        <w:ind w:firstLine="420"/>
        <w:outlineLvl w:val="9"/>
        <w:rPr>
          <w:color w:val="auto"/>
          <w:szCs w:val="21"/>
          <w:highlight w:val="none"/>
        </w:rPr>
      </w:pPr>
      <w:r>
        <w:rPr>
          <w:color w:val="auto"/>
          <w:szCs w:val="21"/>
          <w:highlight w:val="none"/>
        </w:rPr>
        <w:t>发包人应在发出开始工作通知前将总监理工程师的任命通知承包人。总监理工程师更换时，应提前14 天通知承包人。总监理工程师超过２天不能履行职责的，应委派代表代行其职责，并通知承包人。</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3.3 监理人员</w:t>
      </w:r>
    </w:p>
    <w:p>
      <w:pPr>
        <w:shd w:val="clear" w:color="auto" w:fill="auto"/>
        <w:ind w:firstLine="420"/>
        <w:outlineLvl w:val="9"/>
        <w:rPr>
          <w:color w:val="auto"/>
          <w:szCs w:val="21"/>
          <w:highlight w:val="none"/>
        </w:rPr>
      </w:pPr>
      <w:r>
        <w:rPr>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pPr>
        <w:shd w:val="clear" w:color="auto" w:fill="auto"/>
        <w:ind w:firstLine="420"/>
        <w:outlineLvl w:val="9"/>
        <w:rPr>
          <w:color w:val="auto"/>
          <w:szCs w:val="21"/>
          <w:highlight w:val="none"/>
        </w:rPr>
      </w:pPr>
      <w:r>
        <w:rPr>
          <w:color w:val="auto"/>
          <w:szCs w:val="21"/>
          <w:highlight w:val="none"/>
        </w:rPr>
        <w:t>3.3.2 总监理工程师授权的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pPr>
        <w:shd w:val="clear" w:color="auto" w:fill="auto"/>
        <w:ind w:firstLine="420"/>
        <w:outlineLvl w:val="9"/>
        <w:rPr>
          <w:color w:val="auto"/>
          <w:szCs w:val="21"/>
          <w:highlight w:val="none"/>
        </w:rPr>
      </w:pPr>
      <w:r>
        <w:rPr>
          <w:color w:val="auto"/>
          <w:szCs w:val="21"/>
          <w:highlight w:val="none"/>
        </w:rPr>
        <w:t>3.3.3 承包人对总监理工程师授权的监理人员发出的指示有疑问的，可在该指示发出的48小时内向总监理工程师提出书面异议，总监理工程师应在48小时内对该指示予以确认、更改或撤销。</w:t>
      </w:r>
    </w:p>
    <w:p>
      <w:pPr>
        <w:shd w:val="clear" w:color="auto" w:fill="auto"/>
        <w:ind w:firstLine="420"/>
        <w:outlineLvl w:val="9"/>
        <w:rPr>
          <w:color w:val="auto"/>
          <w:szCs w:val="21"/>
          <w:highlight w:val="none"/>
        </w:rPr>
      </w:pPr>
      <w:r>
        <w:rPr>
          <w:color w:val="auto"/>
          <w:szCs w:val="21"/>
          <w:highlight w:val="none"/>
        </w:rPr>
        <w:t>3.3.4 除专用合同条款另有约定外，总监理工程师不应将第3.5 款约定应由总监理工程师作出确定的权力授权或委托给其他监理人员。</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3.4 监理人的指示</w:t>
      </w:r>
    </w:p>
    <w:p>
      <w:pPr>
        <w:shd w:val="clear" w:color="auto" w:fill="auto"/>
        <w:ind w:firstLine="420"/>
        <w:outlineLvl w:val="9"/>
        <w:rPr>
          <w:color w:val="auto"/>
          <w:szCs w:val="21"/>
          <w:highlight w:val="none"/>
        </w:rPr>
      </w:pPr>
      <w:r>
        <w:rPr>
          <w:color w:val="auto"/>
          <w:szCs w:val="21"/>
          <w:highlight w:val="none"/>
        </w:rPr>
        <w:t>3.4.1 监理人应按第3.1 款的约定向承包人发出指示，监理人的指示应盖有监理人授权的项目管理机构章，并由总监理工程师或总监理工程师约定授权的监理人员签字。</w:t>
      </w:r>
    </w:p>
    <w:p>
      <w:pPr>
        <w:shd w:val="clear" w:color="auto" w:fill="auto"/>
        <w:ind w:firstLine="420"/>
        <w:outlineLvl w:val="9"/>
        <w:rPr>
          <w:color w:val="auto"/>
          <w:szCs w:val="21"/>
          <w:highlight w:val="none"/>
        </w:rPr>
      </w:pPr>
      <w:r>
        <w:rPr>
          <w:color w:val="auto"/>
          <w:szCs w:val="21"/>
          <w:highlight w:val="none"/>
        </w:rPr>
        <w:t>3.4.2 承包人收到监理人作出的指示后应遵照执行。指示构成变更的，应按第15条执行。</w:t>
      </w:r>
    </w:p>
    <w:p>
      <w:pPr>
        <w:shd w:val="clear" w:color="auto" w:fill="auto"/>
        <w:ind w:firstLine="420"/>
        <w:outlineLvl w:val="9"/>
        <w:rPr>
          <w:color w:val="auto"/>
          <w:szCs w:val="21"/>
          <w:highlight w:val="none"/>
        </w:rPr>
      </w:pPr>
      <w:r>
        <w:rPr>
          <w:color w:val="auto"/>
          <w:szCs w:val="21"/>
          <w:highlight w:val="none"/>
        </w:rPr>
        <w:t>3.4.3 在紧急情况下，总监理工程师或其授权的监理人员可以当场签发临时书面指示，承包人应遵照执行。监理应在临时书面指示发出后24小时内发出书面确认函，监理人在24小时内未发出书面确认函的，该临时书面指示应被视为监理人的正式指示。</w:t>
      </w:r>
    </w:p>
    <w:p>
      <w:pPr>
        <w:shd w:val="clear" w:color="auto" w:fill="auto"/>
        <w:ind w:firstLine="420"/>
        <w:outlineLvl w:val="9"/>
        <w:rPr>
          <w:color w:val="auto"/>
          <w:szCs w:val="21"/>
          <w:highlight w:val="none"/>
        </w:rPr>
      </w:pPr>
      <w:r>
        <w:rPr>
          <w:color w:val="auto"/>
          <w:szCs w:val="21"/>
          <w:highlight w:val="none"/>
        </w:rPr>
        <w:t>3.4.4 除合同另有约定外，承包人只从总监理工程师或按第3.3.1项被授权的监理人员处取得指示。</w:t>
      </w:r>
    </w:p>
    <w:p>
      <w:pPr>
        <w:shd w:val="clear" w:color="auto" w:fill="auto"/>
        <w:ind w:firstLine="420"/>
        <w:outlineLvl w:val="9"/>
        <w:rPr>
          <w:color w:val="auto"/>
          <w:szCs w:val="21"/>
          <w:highlight w:val="none"/>
        </w:rPr>
      </w:pPr>
      <w:r>
        <w:rPr>
          <w:color w:val="auto"/>
          <w:szCs w:val="21"/>
          <w:highlight w:val="none"/>
        </w:rPr>
        <w:t>3.4.5 由于监理人未能按合同约定发出指示、指示延误或指示错误而导致承包人费用增加和（或）工期延误的，发包人应承担由此增加的费用和（或）工期延误，并向承包人支付合理利润。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 商定或确定</w:t>
      </w:r>
    </w:p>
    <w:p>
      <w:pPr>
        <w:shd w:val="clear" w:color="auto" w:fill="auto"/>
        <w:ind w:firstLine="420"/>
        <w:outlineLvl w:val="9"/>
        <w:rPr>
          <w:color w:val="auto"/>
          <w:szCs w:val="21"/>
          <w:highlight w:val="none"/>
        </w:rPr>
      </w:pPr>
      <w:r>
        <w:rPr>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pPr>
        <w:shd w:val="clear" w:color="auto" w:fill="auto"/>
        <w:ind w:firstLine="420"/>
        <w:outlineLvl w:val="9"/>
        <w:rPr>
          <w:color w:val="auto"/>
          <w:szCs w:val="21"/>
          <w:highlight w:val="none"/>
        </w:rPr>
      </w:pPr>
      <w:r>
        <w:rPr>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条的约定对总监理工程师的确定作出修改的，按修改后的结果执行，由此导致承包人增加的费用和（或）延误的工期由发包人承担。</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80" w:name="_Toc16122"/>
      <w:bookmarkStart w:id="381" w:name="_Toc144327076"/>
      <w:bookmarkStart w:id="382" w:name="_Toc10471"/>
      <w:r>
        <w:rPr>
          <w:rFonts w:ascii="Times New Roman" w:hAnsi="Times New Roman" w:cs="Times New Roman"/>
          <w:color w:val="auto"/>
          <w:sz w:val="21"/>
          <w:szCs w:val="21"/>
          <w:highlight w:val="none"/>
        </w:rPr>
        <w:t>4．承包人</w:t>
      </w:r>
      <w:bookmarkEnd w:id="380"/>
      <w:bookmarkEnd w:id="381"/>
      <w:bookmarkEnd w:id="382"/>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 承包人的一般义务</w:t>
      </w:r>
    </w:p>
    <w:p>
      <w:pPr>
        <w:shd w:val="clear" w:color="auto" w:fill="auto"/>
        <w:ind w:firstLine="420"/>
        <w:outlineLvl w:val="9"/>
        <w:rPr>
          <w:color w:val="auto"/>
          <w:szCs w:val="21"/>
          <w:highlight w:val="none"/>
        </w:rPr>
      </w:pPr>
      <w:r>
        <w:rPr>
          <w:color w:val="auto"/>
          <w:szCs w:val="21"/>
          <w:highlight w:val="none"/>
        </w:rPr>
        <w:t>4.1.1 遵守法律</w:t>
      </w:r>
    </w:p>
    <w:p>
      <w:pPr>
        <w:shd w:val="clear" w:color="auto" w:fill="auto"/>
        <w:ind w:firstLine="420"/>
        <w:outlineLvl w:val="9"/>
        <w:rPr>
          <w:color w:val="auto"/>
          <w:szCs w:val="21"/>
          <w:highlight w:val="none"/>
        </w:rPr>
      </w:pPr>
      <w:r>
        <w:rPr>
          <w:color w:val="auto"/>
          <w:szCs w:val="21"/>
          <w:highlight w:val="none"/>
        </w:rPr>
        <w:t>承包人在履行合同过程中应遵守法律，并保证发包人免于承担因承包人违反法律而引起的任何责任。</w:t>
      </w:r>
    </w:p>
    <w:p>
      <w:pPr>
        <w:shd w:val="clear" w:color="auto" w:fill="auto"/>
        <w:ind w:firstLine="420"/>
        <w:outlineLvl w:val="9"/>
        <w:rPr>
          <w:color w:val="auto"/>
          <w:szCs w:val="21"/>
          <w:highlight w:val="none"/>
        </w:rPr>
      </w:pPr>
      <w:r>
        <w:rPr>
          <w:color w:val="auto"/>
          <w:szCs w:val="21"/>
          <w:highlight w:val="none"/>
        </w:rPr>
        <w:t>4.1.2 依法纳税</w:t>
      </w:r>
    </w:p>
    <w:p>
      <w:pPr>
        <w:shd w:val="clear" w:color="auto" w:fill="auto"/>
        <w:ind w:firstLine="420"/>
        <w:outlineLvl w:val="9"/>
        <w:rPr>
          <w:color w:val="auto"/>
          <w:szCs w:val="21"/>
          <w:highlight w:val="none"/>
        </w:rPr>
      </w:pPr>
      <w:r>
        <w:rPr>
          <w:color w:val="auto"/>
          <w:szCs w:val="21"/>
          <w:highlight w:val="none"/>
        </w:rPr>
        <w:t>承包人应按有关法律规定纳税，应缴纳的税金包括在合同价格内。</w:t>
      </w:r>
    </w:p>
    <w:p>
      <w:pPr>
        <w:shd w:val="clear" w:color="auto" w:fill="auto"/>
        <w:ind w:firstLine="420"/>
        <w:outlineLvl w:val="9"/>
        <w:rPr>
          <w:color w:val="auto"/>
          <w:szCs w:val="21"/>
          <w:highlight w:val="none"/>
        </w:rPr>
      </w:pPr>
      <w:r>
        <w:rPr>
          <w:color w:val="auto"/>
          <w:szCs w:val="21"/>
          <w:highlight w:val="none"/>
        </w:rPr>
        <w:t>4.1.3 完成各项承包工作</w:t>
      </w:r>
    </w:p>
    <w:p>
      <w:pPr>
        <w:shd w:val="clear" w:color="auto" w:fill="auto"/>
        <w:ind w:firstLine="420"/>
        <w:outlineLvl w:val="9"/>
        <w:rPr>
          <w:color w:val="auto"/>
          <w:szCs w:val="21"/>
          <w:highlight w:val="none"/>
        </w:rPr>
      </w:pPr>
      <w:r>
        <w:rPr>
          <w:color w:val="auto"/>
          <w:szCs w:val="21"/>
          <w:highlight w:val="none"/>
        </w:rPr>
        <w:t>承包人应按合同约定以及监理人根据第3.4款作出的指示，完成合同约定的全部工作，并对工作中的任何缺陷进行整改、完善和修补，使其满足合同约定的目的。除专用合同条款另有约定外，承包人应提供合同约定的工程设备和承包人文件，以及为完成合同工作所需的劳务、材料、施工设备和其他物品，并按合同约定负责临时设施的设计、施工、运行、维护、管理和拆除。</w:t>
      </w:r>
    </w:p>
    <w:p>
      <w:pPr>
        <w:shd w:val="clear" w:color="auto" w:fill="auto"/>
        <w:ind w:firstLine="420"/>
        <w:outlineLvl w:val="9"/>
        <w:rPr>
          <w:color w:val="auto"/>
          <w:szCs w:val="21"/>
          <w:highlight w:val="none"/>
        </w:rPr>
      </w:pPr>
      <w:r>
        <w:rPr>
          <w:color w:val="auto"/>
          <w:szCs w:val="21"/>
          <w:highlight w:val="none"/>
        </w:rPr>
        <w:t>4.1.4 对设计、施工作业和施工方法，以及工程的完备性负责</w:t>
      </w:r>
    </w:p>
    <w:p>
      <w:pPr>
        <w:shd w:val="clear" w:color="auto" w:fill="auto"/>
        <w:ind w:firstLine="420"/>
        <w:outlineLvl w:val="9"/>
        <w:rPr>
          <w:color w:val="auto"/>
          <w:szCs w:val="21"/>
          <w:highlight w:val="none"/>
        </w:rPr>
      </w:pPr>
      <w:r>
        <w:rPr>
          <w:color w:val="auto"/>
          <w:szCs w:val="21"/>
          <w:highlight w:val="none"/>
        </w:rPr>
        <w:t>承包人应按合同约定的工作内容和进度要求，编制设计、施工的组织和实施计划，并对所有设计、施工作业和施工方法，以及全部工程的完备性和安全可靠性负责。</w:t>
      </w:r>
    </w:p>
    <w:p>
      <w:pPr>
        <w:shd w:val="clear" w:color="auto" w:fill="auto"/>
        <w:ind w:firstLine="420"/>
        <w:outlineLvl w:val="9"/>
        <w:rPr>
          <w:color w:val="auto"/>
          <w:szCs w:val="21"/>
          <w:highlight w:val="none"/>
        </w:rPr>
      </w:pPr>
      <w:r>
        <w:rPr>
          <w:color w:val="auto"/>
          <w:szCs w:val="21"/>
          <w:highlight w:val="none"/>
        </w:rPr>
        <w:t>4.1.5 保证工程施工和人员的安全</w:t>
      </w:r>
    </w:p>
    <w:p>
      <w:pPr>
        <w:shd w:val="clear" w:color="auto" w:fill="auto"/>
        <w:ind w:firstLine="420"/>
        <w:outlineLvl w:val="9"/>
        <w:rPr>
          <w:color w:val="auto"/>
          <w:szCs w:val="21"/>
          <w:highlight w:val="none"/>
        </w:rPr>
      </w:pPr>
      <w:r>
        <w:rPr>
          <w:color w:val="auto"/>
          <w:szCs w:val="21"/>
          <w:highlight w:val="none"/>
        </w:rPr>
        <w:t>承包人应按第10.2 款约定采取施工安全措施，确保工程及其人员、材料、设备和设施的安全，防止因工程施工造成的人身伤害和财产损失。</w:t>
      </w:r>
    </w:p>
    <w:p>
      <w:pPr>
        <w:shd w:val="clear" w:color="auto" w:fill="auto"/>
        <w:ind w:firstLine="420"/>
        <w:outlineLvl w:val="9"/>
        <w:rPr>
          <w:color w:val="auto"/>
          <w:szCs w:val="21"/>
          <w:highlight w:val="none"/>
        </w:rPr>
      </w:pPr>
      <w:r>
        <w:rPr>
          <w:color w:val="auto"/>
          <w:szCs w:val="21"/>
          <w:highlight w:val="none"/>
        </w:rPr>
        <w:t>4.1.6 负责施工场地及其周边环境与生态的保护工作</w:t>
      </w:r>
    </w:p>
    <w:p>
      <w:pPr>
        <w:shd w:val="clear" w:color="auto" w:fill="auto"/>
        <w:ind w:firstLine="420"/>
        <w:outlineLvl w:val="9"/>
        <w:rPr>
          <w:color w:val="auto"/>
          <w:szCs w:val="21"/>
          <w:highlight w:val="none"/>
        </w:rPr>
      </w:pPr>
      <w:r>
        <w:rPr>
          <w:color w:val="auto"/>
          <w:szCs w:val="21"/>
          <w:highlight w:val="none"/>
        </w:rPr>
        <w:t>承包人应按照第10.4 款约定负责施工场地及其周边环境与生态的保护工作。</w:t>
      </w:r>
    </w:p>
    <w:p>
      <w:pPr>
        <w:shd w:val="clear" w:color="auto" w:fill="auto"/>
        <w:ind w:firstLine="420"/>
        <w:outlineLvl w:val="9"/>
        <w:rPr>
          <w:color w:val="auto"/>
          <w:szCs w:val="21"/>
          <w:highlight w:val="none"/>
        </w:rPr>
      </w:pPr>
      <w:r>
        <w:rPr>
          <w:color w:val="auto"/>
          <w:szCs w:val="21"/>
          <w:highlight w:val="none"/>
        </w:rPr>
        <w:t>4.1.7 避免施工对公众与他人的利益造成损害</w:t>
      </w:r>
    </w:p>
    <w:p>
      <w:pPr>
        <w:shd w:val="clear" w:color="auto" w:fill="auto"/>
        <w:ind w:firstLine="420"/>
        <w:outlineLvl w:val="9"/>
        <w:rPr>
          <w:color w:val="auto"/>
          <w:szCs w:val="21"/>
          <w:highlight w:val="none"/>
        </w:rPr>
      </w:pPr>
      <w:r>
        <w:rPr>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hd w:val="clear" w:color="auto" w:fill="auto"/>
        <w:ind w:firstLine="420"/>
        <w:outlineLvl w:val="9"/>
        <w:rPr>
          <w:color w:val="auto"/>
          <w:szCs w:val="21"/>
          <w:highlight w:val="none"/>
        </w:rPr>
      </w:pPr>
      <w:r>
        <w:rPr>
          <w:color w:val="auto"/>
          <w:szCs w:val="21"/>
          <w:highlight w:val="none"/>
        </w:rPr>
        <w:t>4.1.8 为他人提供方便</w:t>
      </w:r>
    </w:p>
    <w:p>
      <w:pPr>
        <w:shd w:val="clear" w:color="auto" w:fill="auto"/>
        <w:ind w:firstLine="420"/>
        <w:outlineLvl w:val="9"/>
        <w:rPr>
          <w:color w:val="auto"/>
          <w:szCs w:val="21"/>
          <w:highlight w:val="none"/>
        </w:rPr>
      </w:pPr>
      <w:r>
        <w:rPr>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pPr>
        <w:shd w:val="clear" w:color="auto" w:fill="auto"/>
        <w:ind w:firstLine="420"/>
        <w:outlineLvl w:val="9"/>
        <w:rPr>
          <w:color w:val="auto"/>
          <w:szCs w:val="21"/>
          <w:highlight w:val="none"/>
        </w:rPr>
      </w:pPr>
      <w:r>
        <w:rPr>
          <w:color w:val="auto"/>
          <w:szCs w:val="21"/>
          <w:highlight w:val="none"/>
        </w:rPr>
        <w:t>4.1.9 工程的维护和照管</w:t>
      </w:r>
    </w:p>
    <w:p>
      <w:pPr>
        <w:shd w:val="clear" w:color="auto" w:fill="auto"/>
        <w:ind w:firstLine="420"/>
        <w:outlineLvl w:val="9"/>
        <w:rPr>
          <w:color w:val="auto"/>
          <w:szCs w:val="21"/>
          <w:highlight w:val="none"/>
        </w:rPr>
      </w:pPr>
      <w:r>
        <w:rPr>
          <w:color w:val="auto"/>
          <w:szCs w:val="21"/>
          <w:highlight w:val="none"/>
        </w:rPr>
        <w:t>工程接收证书颁发前，承包人应负责照管和维护工程。工程接收证书颁发时尚有部分未竣工工程的，承包人还应负责该未竣工工程的照管和维护工作，直至竣工后移交给发包人。</w:t>
      </w:r>
    </w:p>
    <w:p>
      <w:pPr>
        <w:shd w:val="clear" w:color="auto" w:fill="auto"/>
        <w:ind w:firstLine="420"/>
        <w:outlineLvl w:val="9"/>
        <w:rPr>
          <w:color w:val="auto"/>
          <w:szCs w:val="21"/>
          <w:highlight w:val="none"/>
        </w:rPr>
      </w:pPr>
      <w:r>
        <w:rPr>
          <w:color w:val="auto"/>
          <w:szCs w:val="21"/>
          <w:highlight w:val="none"/>
        </w:rPr>
        <w:t>4.1.10 其他义务</w:t>
      </w:r>
    </w:p>
    <w:p>
      <w:pPr>
        <w:shd w:val="clear" w:color="auto" w:fill="auto"/>
        <w:ind w:firstLine="420"/>
        <w:outlineLvl w:val="9"/>
        <w:rPr>
          <w:color w:val="auto"/>
          <w:szCs w:val="21"/>
          <w:highlight w:val="none"/>
        </w:rPr>
      </w:pPr>
      <w:r>
        <w:rPr>
          <w:color w:val="auto"/>
          <w:szCs w:val="21"/>
          <w:highlight w:val="none"/>
        </w:rPr>
        <w:t>承包人应履行合同约定的其他义务。</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4.2 履约担保</w:t>
      </w:r>
    </w:p>
    <w:p>
      <w:pPr>
        <w:shd w:val="clear" w:color="auto" w:fill="auto"/>
        <w:ind w:firstLine="420"/>
        <w:outlineLvl w:val="9"/>
        <w:rPr>
          <w:color w:val="auto"/>
          <w:szCs w:val="21"/>
          <w:highlight w:val="none"/>
        </w:rPr>
      </w:pPr>
      <w:r>
        <w:rPr>
          <w:color w:val="auto"/>
          <w:szCs w:val="21"/>
          <w:highlight w:val="none"/>
        </w:rPr>
        <w:t>4.2.1 承包人应保证其履约担保在发包人颁发工程接收证书前一直有效。发包人应在工程接收证书颁发后28 天内将履约担保退还给承包人。需进行竣工后试验的，承包人应保证其履约担保在竣工后试验通过前一直有效，发包人应在通过竣工验收后7天内将履约担保退还给承包人。</w:t>
      </w:r>
    </w:p>
    <w:p>
      <w:pPr>
        <w:shd w:val="clear" w:color="auto" w:fill="auto"/>
        <w:ind w:firstLine="420"/>
        <w:outlineLvl w:val="9"/>
        <w:rPr>
          <w:color w:val="auto"/>
          <w:szCs w:val="21"/>
          <w:highlight w:val="none"/>
        </w:rPr>
      </w:pPr>
      <w:r>
        <w:rPr>
          <w:color w:val="auto"/>
          <w:szCs w:val="21"/>
          <w:highlight w:val="none"/>
        </w:rPr>
        <w:t>4.2.2 如工程延期，承包人有义务继续提供履约担保。由于发包人原因导致延期的，继续提供履约担保所需的费用由发包人承担；由于承包人原因导致延期的，继续提供履约担保所需费用由承包人承担。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4.3 分包和不得转包</w:t>
      </w:r>
    </w:p>
    <w:p>
      <w:pPr>
        <w:shd w:val="clear" w:color="auto" w:fill="auto"/>
        <w:ind w:firstLine="420"/>
        <w:outlineLvl w:val="9"/>
        <w:rPr>
          <w:color w:val="auto"/>
          <w:szCs w:val="21"/>
          <w:highlight w:val="none"/>
        </w:rPr>
      </w:pPr>
      <w:r>
        <w:rPr>
          <w:color w:val="auto"/>
          <w:szCs w:val="21"/>
          <w:highlight w:val="none"/>
        </w:rPr>
        <w:t>4.3.1 承包人不得将其承包的全部工程转包给第三人，也不得将其承包的全部工程肢解后以分包的名义分别转包给第三人。</w:t>
      </w:r>
    </w:p>
    <w:p>
      <w:pPr>
        <w:shd w:val="clear" w:color="auto" w:fill="auto"/>
        <w:ind w:firstLine="420"/>
        <w:outlineLvl w:val="9"/>
        <w:rPr>
          <w:color w:val="auto"/>
          <w:szCs w:val="21"/>
          <w:highlight w:val="none"/>
        </w:rPr>
      </w:pPr>
      <w:r>
        <w:rPr>
          <w:color w:val="auto"/>
          <w:szCs w:val="21"/>
          <w:highlight w:val="none"/>
        </w:rPr>
        <w:t>4.3.2 承包人不得将设计和施工的主体、关键性工作分包给第三人。除专用合同条款另有约定外，未经发包人同意，承包人也不得将非主体、非关键性工作分包给第三人。</w:t>
      </w:r>
    </w:p>
    <w:p>
      <w:pPr>
        <w:shd w:val="clear" w:color="auto" w:fill="auto"/>
        <w:ind w:firstLine="420"/>
        <w:outlineLvl w:val="9"/>
        <w:rPr>
          <w:color w:val="auto"/>
          <w:szCs w:val="21"/>
          <w:highlight w:val="none"/>
        </w:rPr>
      </w:pPr>
      <w:r>
        <w:rPr>
          <w:color w:val="auto"/>
          <w:szCs w:val="21"/>
          <w:highlight w:val="none"/>
        </w:rPr>
        <w:t>4.3.3 分包人的资格能力应与其分包工作的标准和规模相适应。</w:t>
      </w:r>
    </w:p>
    <w:p>
      <w:pPr>
        <w:shd w:val="clear" w:color="auto" w:fill="auto"/>
        <w:ind w:firstLine="420"/>
        <w:outlineLvl w:val="9"/>
        <w:rPr>
          <w:color w:val="auto"/>
          <w:szCs w:val="21"/>
          <w:highlight w:val="none"/>
        </w:rPr>
      </w:pPr>
      <w:r>
        <w:rPr>
          <w:color w:val="auto"/>
          <w:szCs w:val="21"/>
          <w:highlight w:val="none"/>
        </w:rPr>
        <w:t>4.3.4 发包人同意承包人分包工作的，承包人应向发包人和监理人提交分包合同副本。</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4.4 联合体</w:t>
      </w:r>
    </w:p>
    <w:p>
      <w:pPr>
        <w:shd w:val="clear" w:color="auto" w:fill="auto"/>
        <w:ind w:firstLine="420"/>
        <w:outlineLvl w:val="9"/>
        <w:rPr>
          <w:color w:val="auto"/>
          <w:szCs w:val="21"/>
          <w:highlight w:val="none"/>
        </w:rPr>
      </w:pPr>
      <w:r>
        <w:rPr>
          <w:color w:val="auto"/>
          <w:szCs w:val="21"/>
          <w:highlight w:val="none"/>
        </w:rPr>
        <w:t>4.4.1 联合体各方应共同与发包人签订合同。联合体各方应为履行合同承担连带责任。</w:t>
      </w:r>
    </w:p>
    <w:p>
      <w:pPr>
        <w:shd w:val="clear" w:color="auto" w:fill="auto"/>
        <w:ind w:firstLine="420"/>
        <w:outlineLvl w:val="9"/>
        <w:rPr>
          <w:color w:val="auto"/>
          <w:szCs w:val="21"/>
          <w:highlight w:val="none"/>
        </w:rPr>
      </w:pPr>
      <w:r>
        <w:rPr>
          <w:color w:val="auto"/>
          <w:szCs w:val="21"/>
          <w:highlight w:val="none"/>
        </w:rPr>
        <w:t>4.4.2 联合体协议经发包人确认后作为合同附件。在履行合同过程中，未经发包人同意，不得修改联合体协议。</w:t>
      </w:r>
    </w:p>
    <w:p>
      <w:pPr>
        <w:shd w:val="clear" w:color="auto" w:fill="auto"/>
        <w:ind w:firstLine="420"/>
        <w:outlineLvl w:val="9"/>
        <w:rPr>
          <w:color w:val="auto"/>
          <w:szCs w:val="21"/>
          <w:highlight w:val="none"/>
        </w:rPr>
      </w:pPr>
      <w:r>
        <w:rPr>
          <w:color w:val="auto"/>
          <w:szCs w:val="21"/>
          <w:highlight w:val="none"/>
        </w:rPr>
        <w:t>4.4.3 联合体牵头人或联合体授权的代表负责与发包人和监理人联系，并接受指示，负责组织联合体各成员全面履行合同。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4.5 承包人项目经理</w:t>
      </w:r>
    </w:p>
    <w:p>
      <w:pPr>
        <w:shd w:val="clear" w:color="auto" w:fill="auto"/>
        <w:ind w:firstLine="420"/>
        <w:outlineLvl w:val="9"/>
        <w:rPr>
          <w:color w:val="auto"/>
          <w:szCs w:val="21"/>
          <w:highlight w:val="none"/>
        </w:rPr>
      </w:pPr>
      <w:r>
        <w:rPr>
          <w:color w:val="auto"/>
          <w:szCs w:val="21"/>
          <w:highlight w:val="none"/>
        </w:rPr>
        <w:t>4.5.1 承包人应按合同协议书的约定指派项目经理，并在约定的期限内到职。承包人更换项目经理应事先征得发包人同意，并应在更换14天前将拟更换的项目经理的姓名和详细资料提交发包人和监理人。承包人项目经理2天内不能履行职责的，应事先征得监理人同意，并委派代表代行其职责。</w:t>
      </w:r>
    </w:p>
    <w:p>
      <w:pPr>
        <w:shd w:val="clear" w:color="auto" w:fill="auto"/>
        <w:ind w:firstLine="420"/>
        <w:outlineLvl w:val="9"/>
        <w:rPr>
          <w:color w:val="auto"/>
          <w:szCs w:val="21"/>
          <w:highlight w:val="none"/>
        </w:rPr>
      </w:pPr>
      <w:r>
        <w:rPr>
          <w:color w:val="auto"/>
          <w:szCs w:val="21"/>
          <w:highlight w:val="none"/>
        </w:rPr>
        <w:t>4.5.2 承包人项目经理应按合同约定以及监理人按第3.4 款作出的指示，负责组织合同工作的实施。在情况紧急且无法与监理人取得联系时，可采取保证工程和人员生命财产安全的紧急措施，并在采取措施后24小时内向监理人提交书面报告。</w:t>
      </w:r>
    </w:p>
    <w:p>
      <w:pPr>
        <w:shd w:val="clear" w:color="auto" w:fill="auto"/>
        <w:ind w:firstLine="420"/>
        <w:outlineLvl w:val="9"/>
        <w:rPr>
          <w:color w:val="auto"/>
          <w:szCs w:val="21"/>
          <w:highlight w:val="none"/>
        </w:rPr>
      </w:pPr>
      <w:r>
        <w:rPr>
          <w:color w:val="auto"/>
          <w:szCs w:val="21"/>
          <w:highlight w:val="none"/>
        </w:rPr>
        <w:t>4.5.3 承包人为履行合同发出的一切函件均应盖有承包人单位章或由承包人项目经理签字。</w:t>
      </w:r>
    </w:p>
    <w:p>
      <w:pPr>
        <w:shd w:val="clear" w:color="auto" w:fill="auto"/>
        <w:ind w:firstLine="420"/>
        <w:outlineLvl w:val="9"/>
        <w:rPr>
          <w:color w:val="auto"/>
          <w:szCs w:val="21"/>
          <w:highlight w:val="none"/>
        </w:rPr>
      </w:pPr>
      <w:r>
        <w:rPr>
          <w:color w:val="auto"/>
          <w:szCs w:val="21"/>
          <w:highlight w:val="none"/>
        </w:rPr>
        <w:t>4.5.4 承包人项目经理可以授权其下属人员履行其某项职责，但事先应将这些人员的姓名和授权范围书面通知发包人和监理人。</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4.6 承包人人员的管理</w:t>
      </w:r>
    </w:p>
    <w:p>
      <w:pPr>
        <w:shd w:val="clear" w:color="auto" w:fill="auto"/>
        <w:ind w:firstLine="420"/>
        <w:outlineLvl w:val="9"/>
        <w:rPr>
          <w:color w:val="auto"/>
          <w:szCs w:val="21"/>
          <w:highlight w:val="none"/>
        </w:rPr>
      </w:pPr>
      <w:r>
        <w:rPr>
          <w:color w:val="auto"/>
          <w:szCs w:val="21"/>
          <w:highlight w:val="none"/>
        </w:rPr>
        <w:t>4.6.1 承包人应在接到开始工作通知之日起28天内，向监理人提交承包人的项目管理机构以及人员安排的报告，其内容应包括项目管理机构的设置、各主要岗位的技术和管理人员名单及其资格，以及设计人员和各工种技术工人的安排状况。承包人安排的主要管理人员和技术人员应相对稳定，更换主要管理人员和技术人员的，应取得监理人的同意,并向监理人提交继任人员的资格、管理经验等资料。项目经理的更换，应按照本章第4.5款规定执行。</w:t>
      </w:r>
    </w:p>
    <w:p>
      <w:pPr>
        <w:shd w:val="clear" w:color="auto" w:fill="auto"/>
        <w:ind w:firstLine="420"/>
        <w:outlineLvl w:val="9"/>
        <w:rPr>
          <w:color w:val="auto"/>
          <w:szCs w:val="21"/>
          <w:highlight w:val="none"/>
        </w:rPr>
      </w:pPr>
      <w:r>
        <w:rPr>
          <w:color w:val="auto"/>
          <w:szCs w:val="21"/>
          <w:highlight w:val="none"/>
        </w:rPr>
        <w:t>4.6.2 承包人安排的主要管理人员包括项目经理、设计负责人、施工负责人、采购负责人以及专职质量、安全生产管理人员等；技术人员包括设计师、建筑师、土木工程师、设备工程师、建造师等。</w:t>
      </w:r>
    </w:p>
    <w:p>
      <w:pPr>
        <w:shd w:val="clear" w:color="auto" w:fill="auto"/>
        <w:ind w:firstLine="420"/>
        <w:outlineLvl w:val="9"/>
        <w:rPr>
          <w:color w:val="auto"/>
          <w:szCs w:val="21"/>
          <w:highlight w:val="none"/>
        </w:rPr>
      </w:pPr>
      <w:r>
        <w:rPr>
          <w:color w:val="auto"/>
          <w:szCs w:val="21"/>
          <w:highlight w:val="none"/>
        </w:rPr>
        <w:t>4.6.3 承包人的设计人员应由具有国家规定和发包人要求中约定的资格，并具有从事设计所必需的经验与能力。</w:t>
      </w:r>
    </w:p>
    <w:p>
      <w:pPr>
        <w:shd w:val="clear" w:color="auto" w:fill="auto"/>
        <w:ind w:firstLine="420"/>
        <w:outlineLvl w:val="9"/>
        <w:rPr>
          <w:color w:val="auto"/>
          <w:szCs w:val="21"/>
          <w:highlight w:val="none"/>
        </w:rPr>
      </w:pPr>
      <w:r>
        <w:rPr>
          <w:color w:val="auto"/>
          <w:szCs w:val="21"/>
          <w:highlight w:val="none"/>
        </w:rPr>
        <w:t>承包人应保证其设计人员（包括分包人的设计人员）在合同期限内的任何时候，都能按时参加发包人或其委托的监理人组织的工作会议。</w:t>
      </w:r>
    </w:p>
    <w:p>
      <w:pPr>
        <w:shd w:val="clear" w:color="auto" w:fill="auto"/>
        <w:ind w:firstLine="420"/>
        <w:outlineLvl w:val="9"/>
        <w:rPr>
          <w:color w:val="auto"/>
          <w:szCs w:val="21"/>
          <w:highlight w:val="none"/>
        </w:rPr>
      </w:pPr>
      <w:r>
        <w:rPr>
          <w:color w:val="auto"/>
          <w:szCs w:val="21"/>
          <w:highlight w:val="none"/>
        </w:rPr>
        <w:t>4.6.4 国家规定应当持证上岗的工作人员均应持有相应的资格证明，监理人有权随时检查。监理人认为有必要时，可进行现场考核。</w:t>
      </w:r>
    </w:p>
    <w:p>
      <w:pPr>
        <w:shd w:val="clear" w:color="auto" w:fill="auto"/>
        <w:ind w:firstLine="420"/>
        <w:outlineLvl w:val="9"/>
        <w:rPr>
          <w:color w:val="auto"/>
          <w:szCs w:val="21"/>
          <w:highlight w:val="none"/>
        </w:rPr>
      </w:pPr>
      <w:r>
        <w:rPr>
          <w:color w:val="auto"/>
          <w:szCs w:val="21"/>
          <w:highlight w:val="none"/>
        </w:rPr>
        <w:t>4.6.5 除专用合同条款另有约定外，承包人的主要施工管理人员离开施工现场连续超过3天的，应事先征得监理人同意。承包人擅自更换项目经理或主要施工管理人员，或前述人员未经监理人许可擅自离开施工现场连续超过3天的，应按照专用合同条款约定承担违约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 撤换承包人项目经理和其他人员</w:t>
      </w:r>
    </w:p>
    <w:p>
      <w:pPr>
        <w:shd w:val="clear" w:color="auto" w:fill="auto"/>
        <w:ind w:firstLine="420"/>
        <w:outlineLvl w:val="9"/>
        <w:rPr>
          <w:color w:val="auto"/>
          <w:szCs w:val="21"/>
          <w:highlight w:val="none"/>
        </w:rPr>
      </w:pPr>
      <w:r>
        <w:rPr>
          <w:color w:val="auto"/>
          <w:szCs w:val="21"/>
          <w:highlight w:val="none"/>
        </w:rPr>
        <w:t>承包人应对其项目经理和其他人员进行有效管理。监理人要求撤换不能胜任本职工作、行为不端或玩忽职守的承包人项目经理和其他人员的，承包人应予以撤换。</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4.8 保障承包人人员的合法权益</w:t>
      </w:r>
    </w:p>
    <w:p>
      <w:pPr>
        <w:shd w:val="clear" w:color="auto" w:fill="auto"/>
        <w:ind w:firstLine="420"/>
        <w:outlineLvl w:val="9"/>
        <w:rPr>
          <w:color w:val="auto"/>
          <w:szCs w:val="21"/>
          <w:highlight w:val="none"/>
        </w:rPr>
      </w:pPr>
      <w:r>
        <w:rPr>
          <w:color w:val="auto"/>
          <w:szCs w:val="21"/>
          <w:highlight w:val="none"/>
        </w:rPr>
        <w:t>4.8.1 承包人应与其雇佣的人员签订劳动合同，并按时发放工资。</w:t>
      </w:r>
    </w:p>
    <w:p>
      <w:pPr>
        <w:shd w:val="clear" w:color="auto" w:fill="auto"/>
        <w:ind w:firstLine="420"/>
        <w:outlineLvl w:val="9"/>
        <w:rPr>
          <w:color w:val="auto"/>
          <w:szCs w:val="21"/>
          <w:highlight w:val="none"/>
        </w:rPr>
      </w:pPr>
      <w:r>
        <w:rPr>
          <w:color w:val="auto"/>
          <w:szCs w:val="21"/>
          <w:highlight w:val="none"/>
        </w:rPr>
        <w:t>4.8.2 承包人应按劳动法的规定安排工作时间，保证其雇佣人员享有休息和休假的权利。因设计、施工的特殊需要占用休假日或延长工作时间的，应不超过法律规定的限度，并按法律规定给予补休或付酬。</w:t>
      </w:r>
    </w:p>
    <w:p>
      <w:pPr>
        <w:shd w:val="clear" w:color="auto" w:fill="auto"/>
        <w:ind w:firstLine="420"/>
        <w:outlineLvl w:val="9"/>
        <w:rPr>
          <w:color w:val="auto"/>
          <w:szCs w:val="21"/>
          <w:highlight w:val="none"/>
        </w:rPr>
      </w:pPr>
      <w:r>
        <w:rPr>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pPr>
        <w:shd w:val="clear" w:color="auto" w:fill="auto"/>
        <w:ind w:firstLine="420"/>
        <w:outlineLvl w:val="9"/>
        <w:rPr>
          <w:color w:val="auto"/>
          <w:szCs w:val="21"/>
          <w:highlight w:val="none"/>
        </w:rPr>
      </w:pPr>
      <w:r>
        <w:rPr>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hd w:val="clear" w:color="auto" w:fill="auto"/>
        <w:ind w:firstLine="420"/>
        <w:outlineLvl w:val="9"/>
        <w:rPr>
          <w:color w:val="auto"/>
          <w:szCs w:val="21"/>
          <w:highlight w:val="none"/>
        </w:rPr>
      </w:pPr>
      <w:r>
        <w:rPr>
          <w:color w:val="auto"/>
          <w:szCs w:val="21"/>
          <w:highlight w:val="none"/>
        </w:rPr>
        <w:t>4.8.5 承包人应按有关法律规定和合同约定，为其雇佣人员办理保险。</w:t>
      </w:r>
    </w:p>
    <w:p>
      <w:pPr>
        <w:shd w:val="clear" w:color="auto" w:fill="auto"/>
        <w:ind w:firstLine="420"/>
        <w:outlineLvl w:val="9"/>
        <w:rPr>
          <w:color w:val="auto"/>
          <w:szCs w:val="21"/>
          <w:highlight w:val="none"/>
        </w:rPr>
      </w:pPr>
      <w:r>
        <w:rPr>
          <w:color w:val="auto"/>
          <w:szCs w:val="21"/>
          <w:highlight w:val="none"/>
        </w:rPr>
        <w:t>4.8.6 承包人应负责处理其雇佣人员因工伤亡事故的善后事宜。</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4.9 工程价款应专款专用</w:t>
      </w:r>
    </w:p>
    <w:p>
      <w:pPr>
        <w:shd w:val="clear" w:color="auto" w:fill="auto"/>
        <w:ind w:firstLine="420"/>
        <w:outlineLvl w:val="9"/>
        <w:rPr>
          <w:color w:val="auto"/>
          <w:szCs w:val="21"/>
          <w:highlight w:val="none"/>
        </w:rPr>
      </w:pPr>
      <w:r>
        <w:rPr>
          <w:color w:val="auto"/>
          <w:szCs w:val="21"/>
          <w:highlight w:val="none"/>
        </w:rPr>
        <w:t>发包人按合同约定支付给承包人的各项价款应专用于合同工作。</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4.10 承包人现场查勘</w:t>
      </w:r>
    </w:p>
    <w:p>
      <w:pPr>
        <w:shd w:val="clear" w:color="auto" w:fill="auto"/>
        <w:ind w:firstLine="420"/>
        <w:outlineLvl w:val="9"/>
        <w:rPr>
          <w:color w:val="auto"/>
          <w:szCs w:val="21"/>
          <w:highlight w:val="none"/>
        </w:rPr>
      </w:pPr>
      <w:r>
        <w:rPr>
          <w:color w:val="auto"/>
          <w:szCs w:val="21"/>
          <w:highlight w:val="none"/>
        </w:rPr>
        <w:t>4.10.1 发包人应向承包人提供施工场地及毗邻区域内的供水、排水、供电、供气、供热、通信、广播电视等地下管线资料、气象和水文观测资料，相邻建筑物和构筑物、地下工程的有关资料，以及其他与建设工程有关的原始资料，并承担原始资料错误造成的全部责任，但承包人应对其阅读上述有关资料后所作出的解释和推断负责。</w:t>
      </w:r>
    </w:p>
    <w:p>
      <w:pPr>
        <w:shd w:val="clear" w:color="auto" w:fill="auto"/>
        <w:ind w:firstLine="420"/>
        <w:outlineLvl w:val="9"/>
        <w:rPr>
          <w:color w:val="auto"/>
          <w:szCs w:val="21"/>
          <w:highlight w:val="none"/>
        </w:rPr>
      </w:pPr>
      <w:r>
        <w:rPr>
          <w:color w:val="auto"/>
          <w:szCs w:val="21"/>
          <w:highlight w:val="none"/>
        </w:rPr>
        <w:t>4.10.2 承包人应对施工场地和周围环境进行查勘，并收集除发包人提供外为完成合同工作有关的当地资料。在全部合同工作中，视为承包人已充分估计了应承担的责任和风险。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4.11 不可预见物质条件（A）</w:t>
      </w:r>
    </w:p>
    <w:p>
      <w:pPr>
        <w:shd w:val="clear" w:color="auto" w:fill="auto"/>
        <w:ind w:firstLine="420"/>
        <w:outlineLvl w:val="9"/>
        <w:rPr>
          <w:color w:val="auto"/>
          <w:szCs w:val="21"/>
          <w:highlight w:val="none"/>
        </w:rPr>
      </w:pPr>
      <w:r>
        <w:rPr>
          <w:color w:val="auto"/>
          <w:szCs w:val="21"/>
          <w:highlight w:val="none"/>
        </w:rPr>
        <w:t>4.11.1 不可预见物质条件，除专用合同条款另有约定外，是指承包人在施工场地遇到的不可预见的自然物质条件、非自然的物质障碍和污染物，包括地下和水文条件，但不包括气候条件。</w:t>
      </w:r>
    </w:p>
    <w:p>
      <w:pPr>
        <w:shd w:val="clear" w:color="auto" w:fill="auto"/>
        <w:ind w:firstLine="420"/>
        <w:outlineLvl w:val="9"/>
        <w:rPr>
          <w:color w:val="auto"/>
          <w:szCs w:val="21"/>
          <w:highlight w:val="none"/>
        </w:rPr>
      </w:pPr>
      <w:r>
        <w:rPr>
          <w:color w:val="auto"/>
          <w:szCs w:val="21"/>
          <w:highlight w:val="none"/>
        </w:rPr>
        <w:t>4.11.2 承包人遇到不可预见物质条件时，应采取适应不利物质条件的合理措施继续设计和（或）施工，并及时通知监理人，通知应载明不利物质条件的内容以及承包人认为不可预见的理由。监理人应当及时发出指示，指示构成变更的，按第15条约定执行。监理人没有发出指示的，承包人因采取合理措施而增加的费用和（或）工期延误，由发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4.11 不可预见的困难和费用（B）</w:t>
      </w:r>
    </w:p>
    <w:p>
      <w:pPr>
        <w:shd w:val="clear" w:color="auto" w:fill="auto"/>
        <w:ind w:firstLine="420"/>
        <w:outlineLvl w:val="9"/>
        <w:rPr>
          <w:color w:val="auto"/>
          <w:szCs w:val="21"/>
          <w:highlight w:val="none"/>
        </w:rPr>
      </w:pPr>
      <w:r>
        <w:rPr>
          <w:color w:val="auto"/>
          <w:szCs w:val="21"/>
          <w:highlight w:val="none"/>
        </w:rPr>
        <w:t>除合同另有约定外，承包人应视为已取得工程有关风险、意外事件和其他情况的全部必要资料，并预见工程所有困难和费用。承包人遇到不可预见的困难和费用时，合同价格不予调整。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4.12 进度计划</w:t>
      </w:r>
    </w:p>
    <w:p>
      <w:pPr>
        <w:shd w:val="clear" w:color="auto" w:fill="auto"/>
        <w:ind w:firstLine="420"/>
        <w:outlineLvl w:val="9"/>
        <w:rPr>
          <w:color w:val="auto"/>
          <w:szCs w:val="21"/>
          <w:highlight w:val="none"/>
        </w:rPr>
      </w:pPr>
      <w:r>
        <w:rPr>
          <w:color w:val="auto"/>
          <w:szCs w:val="21"/>
          <w:highlight w:val="none"/>
        </w:rPr>
        <w:t>4.12.1 合同进度计划</w:t>
      </w:r>
    </w:p>
    <w:p>
      <w:pPr>
        <w:shd w:val="clear" w:color="auto" w:fill="auto"/>
        <w:ind w:firstLine="420"/>
        <w:outlineLvl w:val="9"/>
        <w:rPr>
          <w:color w:val="auto"/>
          <w:szCs w:val="21"/>
          <w:highlight w:val="none"/>
        </w:rPr>
      </w:pPr>
      <w:r>
        <w:rPr>
          <w:color w:val="auto"/>
          <w:szCs w:val="21"/>
          <w:highlight w:val="none"/>
        </w:rPr>
        <w:t>承包人应按合同约定的内容和期限，编制详细的进度计划，包括设计、承包人文件提交、采购、制造、检验、运达现场、施工、安装、试验</w:t>
      </w:r>
      <w:r>
        <w:rPr>
          <w:rFonts w:hint="eastAsia"/>
          <w:color w:val="auto"/>
          <w:szCs w:val="21"/>
          <w:highlight w:val="none"/>
          <w:lang w:eastAsia="zh-CN"/>
        </w:rPr>
        <w:t>、</w:t>
      </w:r>
      <w:r>
        <w:rPr>
          <w:rFonts w:hint="eastAsia"/>
          <w:color w:val="auto"/>
          <w:szCs w:val="21"/>
          <w:highlight w:val="none"/>
          <w:lang w:val="en-US" w:eastAsia="zh-CN"/>
        </w:rPr>
        <w:t>调试及并网（完成倒送电）</w:t>
      </w:r>
      <w:r>
        <w:rPr>
          <w:color w:val="auto"/>
          <w:szCs w:val="21"/>
          <w:highlight w:val="none"/>
        </w:rPr>
        <w:t>的各个阶段的预期时间以及设计和施工组织方案说明等报送监理人。监理人应在专用合同条款约定的期限内批复或提出修改意见，否则该进度计划视为已得到批准。经监理人批准的进度计划称合同进度计划，是控制合同工程进度的依据。承包人还应根据合同进度计划，编制更为详细的分阶段或分项进度计划，报监理人批准。</w:t>
      </w:r>
    </w:p>
    <w:p>
      <w:pPr>
        <w:shd w:val="clear" w:color="auto" w:fill="auto"/>
        <w:ind w:firstLine="420"/>
        <w:outlineLvl w:val="9"/>
        <w:rPr>
          <w:color w:val="auto"/>
          <w:szCs w:val="21"/>
          <w:highlight w:val="none"/>
        </w:rPr>
      </w:pPr>
      <w:r>
        <w:rPr>
          <w:color w:val="auto"/>
          <w:szCs w:val="21"/>
          <w:highlight w:val="none"/>
        </w:rPr>
        <w:t>4.12.2 合同进度计划的修订</w:t>
      </w:r>
    </w:p>
    <w:p>
      <w:pPr>
        <w:shd w:val="clear" w:color="auto" w:fill="auto"/>
        <w:ind w:firstLine="420"/>
        <w:outlineLvl w:val="9"/>
        <w:rPr>
          <w:color w:val="auto"/>
          <w:szCs w:val="21"/>
          <w:highlight w:val="none"/>
        </w:rPr>
      </w:pPr>
      <w:r>
        <w:rPr>
          <w:color w:val="auto"/>
          <w:szCs w:val="21"/>
          <w:highlight w:val="none"/>
        </w:rPr>
        <w:t>不论何种原因造成工程的实际进度与第4.12.1项的合同进度计划不符时，承包人可以在专用合同条款约定的期限内向监理人提交修订合同进度计划的申请报告，并附有关措施和相关资料，报监理人批准；监理人也可以直接向承包人作出修订合同进度计划的指示，承包人应按该指示修订合同进度计划，报监理人批准。监理人应在专用合同条款约定的期限内批复。监理人在批复前应获得发包人</w:t>
      </w:r>
      <w:r>
        <w:rPr>
          <w:rFonts w:hint="eastAsia"/>
          <w:color w:val="auto"/>
          <w:szCs w:val="21"/>
          <w:highlight w:val="none"/>
          <w:lang w:val="en-US" w:eastAsia="zh-CN"/>
        </w:rPr>
        <w:t>书面</w:t>
      </w:r>
      <w:r>
        <w:rPr>
          <w:color w:val="auto"/>
          <w:szCs w:val="21"/>
          <w:highlight w:val="none"/>
        </w:rPr>
        <w:t>同意。</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4.13 质量保证</w:t>
      </w:r>
    </w:p>
    <w:p>
      <w:pPr>
        <w:shd w:val="clear" w:color="auto" w:fill="auto"/>
        <w:ind w:firstLine="420"/>
        <w:outlineLvl w:val="9"/>
        <w:rPr>
          <w:color w:val="auto"/>
          <w:szCs w:val="21"/>
          <w:highlight w:val="none"/>
        </w:rPr>
      </w:pPr>
      <w:r>
        <w:rPr>
          <w:color w:val="auto"/>
          <w:szCs w:val="21"/>
          <w:highlight w:val="none"/>
        </w:rPr>
        <w:t>4.13.1 为保证工程质量，承包人应按照合同要求建立质量保证体系。监理人有权对承包人的质量保证体系进行审查。</w:t>
      </w:r>
    </w:p>
    <w:p>
      <w:pPr>
        <w:shd w:val="clear" w:color="auto" w:fill="auto"/>
        <w:ind w:firstLine="420"/>
        <w:outlineLvl w:val="9"/>
        <w:rPr>
          <w:color w:val="auto"/>
          <w:szCs w:val="21"/>
          <w:highlight w:val="none"/>
        </w:rPr>
      </w:pPr>
      <w:r>
        <w:rPr>
          <w:color w:val="auto"/>
          <w:szCs w:val="21"/>
          <w:highlight w:val="none"/>
        </w:rPr>
        <w:t>4.13.2 承包人应在各设计和实施阶段开始前，向监理人提交其具体的质量保证细则和工作程序。</w:t>
      </w:r>
    </w:p>
    <w:p>
      <w:pPr>
        <w:shd w:val="clear" w:color="auto" w:fill="auto"/>
        <w:ind w:firstLine="420"/>
        <w:outlineLvl w:val="9"/>
        <w:rPr>
          <w:color w:val="auto"/>
          <w:szCs w:val="21"/>
          <w:highlight w:val="none"/>
        </w:rPr>
      </w:pPr>
      <w:r>
        <w:rPr>
          <w:color w:val="auto"/>
          <w:szCs w:val="21"/>
          <w:highlight w:val="none"/>
        </w:rPr>
        <w:t>4.13.3 遵守质量保证体系，不应免除合同约定的承包人的义务和责任。</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83" w:name="_Toc30028"/>
      <w:bookmarkStart w:id="384" w:name="_Toc29222"/>
      <w:bookmarkStart w:id="385" w:name="_Toc144327077"/>
      <w:r>
        <w:rPr>
          <w:rFonts w:ascii="Times New Roman" w:hAnsi="Times New Roman" w:cs="Times New Roman"/>
          <w:color w:val="auto"/>
          <w:sz w:val="21"/>
          <w:szCs w:val="21"/>
          <w:highlight w:val="none"/>
        </w:rPr>
        <w:t>5．设计</w:t>
      </w:r>
      <w:bookmarkEnd w:id="383"/>
      <w:bookmarkEnd w:id="384"/>
      <w:bookmarkEnd w:id="385"/>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 承包人的设计义务</w:t>
      </w:r>
    </w:p>
    <w:p>
      <w:pPr>
        <w:shd w:val="clear" w:color="auto" w:fill="auto"/>
        <w:ind w:firstLine="420"/>
        <w:outlineLvl w:val="9"/>
        <w:rPr>
          <w:color w:val="auto"/>
          <w:szCs w:val="21"/>
          <w:highlight w:val="none"/>
        </w:rPr>
      </w:pPr>
      <w:r>
        <w:rPr>
          <w:color w:val="auto"/>
          <w:szCs w:val="21"/>
          <w:highlight w:val="none"/>
        </w:rPr>
        <w:t>5.1.1 设计义务的一般要求</w:t>
      </w:r>
    </w:p>
    <w:p>
      <w:pPr>
        <w:shd w:val="clear" w:color="auto" w:fill="auto"/>
        <w:ind w:firstLine="420"/>
        <w:outlineLvl w:val="9"/>
        <w:rPr>
          <w:color w:val="auto"/>
          <w:szCs w:val="21"/>
          <w:highlight w:val="none"/>
        </w:rPr>
      </w:pPr>
      <w:r>
        <w:rPr>
          <w:color w:val="auto"/>
          <w:szCs w:val="21"/>
          <w:highlight w:val="none"/>
        </w:rPr>
        <w:t>承包人应按照法律规定，以及国家、行业和地方的规范和标准完成设计工作，并符合发包人要求。</w:t>
      </w:r>
    </w:p>
    <w:p>
      <w:pPr>
        <w:shd w:val="clear" w:color="auto" w:fill="auto"/>
        <w:ind w:firstLine="420"/>
        <w:outlineLvl w:val="9"/>
        <w:rPr>
          <w:color w:val="auto"/>
          <w:szCs w:val="21"/>
          <w:highlight w:val="none"/>
        </w:rPr>
      </w:pPr>
      <w:r>
        <w:rPr>
          <w:color w:val="auto"/>
          <w:szCs w:val="21"/>
          <w:highlight w:val="none"/>
        </w:rPr>
        <w:t>5.1.2 法律和标准的变化</w:t>
      </w:r>
    </w:p>
    <w:p>
      <w:pPr>
        <w:shd w:val="clear" w:color="auto" w:fill="auto"/>
        <w:ind w:firstLine="420"/>
        <w:outlineLvl w:val="9"/>
        <w:rPr>
          <w:color w:val="auto"/>
          <w:szCs w:val="21"/>
          <w:highlight w:val="none"/>
        </w:rPr>
      </w:pPr>
      <w:r>
        <w:rPr>
          <w:color w:val="auto"/>
          <w:szCs w:val="21"/>
          <w:highlight w:val="none"/>
        </w:rPr>
        <w:t>除合同另有约定外，承包人完成设计工作所应遵守的法律规定，以及国家、行业和地方的规范和标准，均应视为在基准日适用的版本。基准日之后，前述版本发生重大变化，或者有新的法律，以及国家、行业和地方的规范和标准实施的，承包人应向发包人或发包人委托的监理人提出遵守新规定的建议。发包人或其委托的监理人应在收到建议后7天内发出是否遵守新规定的指示。发包人或其委托的监理人指示遵守新规定的，按照第15条或第16.2款约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5.2 承包人设计进度计划</w:t>
      </w:r>
    </w:p>
    <w:p>
      <w:pPr>
        <w:shd w:val="clear" w:color="auto" w:fill="auto"/>
        <w:ind w:firstLine="420"/>
        <w:outlineLvl w:val="9"/>
        <w:rPr>
          <w:color w:val="auto"/>
          <w:szCs w:val="21"/>
          <w:highlight w:val="none"/>
        </w:rPr>
      </w:pPr>
      <w:r>
        <w:rPr>
          <w:color w:val="auto"/>
          <w:szCs w:val="21"/>
          <w:highlight w:val="none"/>
        </w:rPr>
        <w:t>承包人应按照发包人要求，在合同进度计划中专门列出设计进度计划，报发包人批准后执行。承包人需按照经批准后的计划开展设计工作。</w:t>
      </w:r>
    </w:p>
    <w:p>
      <w:pPr>
        <w:shd w:val="clear" w:color="auto" w:fill="auto"/>
        <w:ind w:firstLine="420"/>
        <w:outlineLvl w:val="9"/>
        <w:rPr>
          <w:color w:val="auto"/>
          <w:szCs w:val="21"/>
          <w:highlight w:val="none"/>
        </w:rPr>
      </w:pPr>
      <w:r>
        <w:rPr>
          <w:color w:val="auto"/>
          <w:szCs w:val="21"/>
          <w:highlight w:val="none"/>
        </w:rPr>
        <w:t>因承包人原因影响设计进度的，按第11.5款的约定执行。因发包人原因影响设计进度的，按第15条变更处理。</w:t>
      </w:r>
    </w:p>
    <w:p>
      <w:pPr>
        <w:shd w:val="clear" w:color="auto" w:fill="auto"/>
        <w:ind w:firstLine="420"/>
        <w:outlineLvl w:val="9"/>
        <w:rPr>
          <w:color w:val="auto"/>
          <w:szCs w:val="21"/>
          <w:highlight w:val="none"/>
        </w:rPr>
      </w:pPr>
      <w:r>
        <w:rPr>
          <w:color w:val="auto"/>
          <w:szCs w:val="21"/>
          <w:highlight w:val="none"/>
        </w:rPr>
        <w:t>发包人或其委托的监理人有权要求承包人根据第11.5款提交修正的进度计划、增加投入资源并加快设计进度。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 设计审查</w:t>
      </w:r>
    </w:p>
    <w:p>
      <w:pPr>
        <w:shd w:val="clear" w:color="auto" w:fill="auto"/>
        <w:ind w:firstLine="420"/>
        <w:outlineLvl w:val="9"/>
        <w:rPr>
          <w:color w:val="auto"/>
          <w:szCs w:val="21"/>
          <w:highlight w:val="none"/>
        </w:rPr>
      </w:pPr>
      <w:r>
        <w:rPr>
          <w:color w:val="auto"/>
          <w:szCs w:val="21"/>
          <w:highlight w:val="none"/>
        </w:rPr>
        <w:t>5.3.1 承包人的设计文件应报发包人审查同意。审查的范围和内容在发包人要求中约定。</w:t>
      </w:r>
    </w:p>
    <w:p>
      <w:pPr>
        <w:shd w:val="clear" w:color="auto" w:fill="auto"/>
        <w:ind w:firstLine="420"/>
        <w:outlineLvl w:val="9"/>
        <w:rPr>
          <w:color w:val="auto"/>
          <w:szCs w:val="21"/>
          <w:highlight w:val="none"/>
        </w:rPr>
      </w:pPr>
      <w:r>
        <w:rPr>
          <w:color w:val="auto"/>
          <w:szCs w:val="21"/>
          <w:highlight w:val="none"/>
        </w:rPr>
        <w:t>除合同另有约定外，自监理人收到承包人的设计文件以及承包人的通知之日起，发包人对承包人的设计文件审查期不超过21天。承包人的设计文件对于合同约定有偏离的，应在通知中说明。承包人需要修改已提交的承包人文件的，应立即通知监理人，并向监理人提交修改后的承包人的设计文件，审查期重新起算。</w:t>
      </w:r>
    </w:p>
    <w:p>
      <w:pPr>
        <w:shd w:val="clear" w:color="auto" w:fill="auto"/>
        <w:ind w:firstLine="420"/>
        <w:outlineLvl w:val="9"/>
        <w:rPr>
          <w:color w:val="auto"/>
          <w:szCs w:val="21"/>
          <w:highlight w:val="none"/>
        </w:rPr>
      </w:pPr>
      <w:r>
        <w:rPr>
          <w:color w:val="auto"/>
          <w:szCs w:val="21"/>
          <w:highlight w:val="none"/>
        </w:rPr>
        <w:t>发包人不同意设计文件的，应通过监理人以书面形式通知承包人，并说明不符合合同要求的具体内容。承包人应根据监理人的书面说明，对承包人文件进行修改后重新报送发包人审查，审查期重新起算。</w:t>
      </w:r>
    </w:p>
    <w:p>
      <w:pPr>
        <w:shd w:val="clear" w:color="auto" w:fill="auto"/>
        <w:ind w:firstLine="420"/>
        <w:outlineLvl w:val="9"/>
        <w:rPr>
          <w:color w:val="auto"/>
          <w:szCs w:val="21"/>
          <w:highlight w:val="none"/>
        </w:rPr>
      </w:pPr>
      <w:r>
        <w:rPr>
          <w:color w:val="auto"/>
          <w:szCs w:val="21"/>
          <w:highlight w:val="none"/>
        </w:rPr>
        <w:t>合同约定的审查期满，发包人没有做出审查结论也没有提出异议的，视为承包人的设计文件已获发包人同意。</w:t>
      </w:r>
    </w:p>
    <w:p>
      <w:pPr>
        <w:shd w:val="clear" w:color="auto" w:fill="auto"/>
        <w:ind w:firstLine="420"/>
        <w:outlineLvl w:val="9"/>
        <w:rPr>
          <w:color w:val="auto"/>
          <w:szCs w:val="21"/>
          <w:highlight w:val="none"/>
        </w:rPr>
      </w:pPr>
      <w:r>
        <w:rPr>
          <w:color w:val="auto"/>
          <w:szCs w:val="21"/>
          <w:highlight w:val="none"/>
        </w:rPr>
        <w:t>5.3.2 承包人的设计文件不需要政府有关部门审查或批准的，承包人应当严格按照经发包人审查同意的设计文件设计和实施工程。</w:t>
      </w:r>
    </w:p>
    <w:p>
      <w:pPr>
        <w:shd w:val="clear" w:color="auto" w:fill="auto"/>
        <w:ind w:firstLine="420"/>
        <w:outlineLvl w:val="9"/>
        <w:rPr>
          <w:color w:val="auto"/>
          <w:szCs w:val="21"/>
          <w:highlight w:val="none"/>
        </w:rPr>
      </w:pPr>
      <w:r>
        <w:rPr>
          <w:color w:val="auto"/>
          <w:szCs w:val="21"/>
          <w:highlight w:val="none"/>
        </w:rPr>
        <w:t xml:space="preserve">5.3.3 </w:t>
      </w:r>
      <w:r>
        <w:rPr>
          <w:rStyle w:val="75"/>
          <w:vanish/>
          <w:color w:val="auto"/>
          <w:highlight w:val="none"/>
        </w:rPr>
        <w:t>（</w:t>
      </w:r>
      <w:r>
        <w:rPr>
          <w:color w:val="auto"/>
          <w:szCs w:val="21"/>
          <w:highlight w:val="none"/>
        </w:rPr>
        <w:t>设计文件需政府有关部门审查或批准的，发包人应在审查同意承包人的设计文件后7天内，向政府有关部门报送设计文件，承包人应予以协助。</w:t>
      </w:r>
    </w:p>
    <w:p>
      <w:pPr>
        <w:shd w:val="clear" w:color="auto" w:fill="auto"/>
        <w:ind w:firstLine="420"/>
        <w:outlineLvl w:val="9"/>
        <w:rPr>
          <w:color w:val="auto"/>
          <w:szCs w:val="21"/>
          <w:highlight w:val="none"/>
        </w:rPr>
      </w:pPr>
      <w:r>
        <w:rPr>
          <w:color w:val="auto"/>
          <w:szCs w:val="21"/>
          <w:highlight w:val="none"/>
        </w:rPr>
        <w:t>对于政府有关部门的审查意见，不需要修改发包人要求的，承包人需按该审查意见修改承包人的设计文件；需要修改发包人要求的，发包人应重新提出发包人要求，承包人应根据新提出的发包人要求修改承包人文件。上述情形还应适用第15条、第1.13款的有关约定。</w:t>
      </w:r>
    </w:p>
    <w:p>
      <w:pPr>
        <w:shd w:val="clear" w:color="auto" w:fill="auto"/>
        <w:ind w:firstLine="420"/>
        <w:outlineLvl w:val="9"/>
        <w:rPr>
          <w:color w:val="auto"/>
          <w:szCs w:val="21"/>
          <w:highlight w:val="none"/>
        </w:rPr>
      </w:pPr>
      <w:r>
        <w:rPr>
          <w:color w:val="auto"/>
          <w:szCs w:val="21"/>
          <w:highlight w:val="none"/>
        </w:rPr>
        <w:t>政府有关部门审查批准的，承包人应当严格按照批准后的承包人的设计文件设计和实施工程。</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5.4 培训</w:t>
      </w:r>
    </w:p>
    <w:p>
      <w:pPr>
        <w:shd w:val="clear" w:color="auto" w:fill="auto"/>
        <w:ind w:firstLine="420"/>
        <w:outlineLvl w:val="9"/>
        <w:rPr>
          <w:color w:val="auto"/>
          <w:szCs w:val="21"/>
          <w:highlight w:val="none"/>
        </w:rPr>
      </w:pPr>
      <w:r>
        <w:rPr>
          <w:color w:val="auto"/>
          <w:szCs w:val="21"/>
          <w:highlight w:val="none"/>
        </w:rPr>
        <w:t>承包人应按照发包人要求，对发包人的人员进行工程操作和维修方面的培训。合同约定接收之前进行培训的，应在第18.3款约定的竣工验收前完成培训。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 竣工文件</w:t>
      </w:r>
    </w:p>
    <w:p>
      <w:pPr>
        <w:shd w:val="clear" w:color="auto" w:fill="auto"/>
        <w:ind w:firstLine="420"/>
        <w:outlineLvl w:val="9"/>
        <w:rPr>
          <w:color w:val="auto"/>
          <w:szCs w:val="21"/>
          <w:highlight w:val="none"/>
        </w:rPr>
      </w:pPr>
      <w:r>
        <w:rPr>
          <w:color w:val="auto"/>
          <w:szCs w:val="21"/>
          <w:highlight w:val="none"/>
        </w:rPr>
        <w:t>5.5.1 承包人应编制并及时更新反映工程实施结果的竣工记录，如实记载竣工工程的确切位置、尺寸和已实施工作的详细说明。竣工记录应保存在施工场地，并在竣工试验开始前，按照专用合同条款约定的份数提交给监理人。</w:t>
      </w:r>
    </w:p>
    <w:p>
      <w:pPr>
        <w:shd w:val="clear" w:color="auto" w:fill="auto"/>
        <w:ind w:firstLine="420"/>
        <w:outlineLvl w:val="9"/>
        <w:rPr>
          <w:color w:val="auto"/>
          <w:szCs w:val="21"/>
          <w:highlight w:val="none"/>
        </w:rPr>
      </w:pPr>
      <w:r>
        <w:rPr>
          <w:color w:val="auto"/>
          <w:szCs w:val="21"/>
          <w:highlight w:val="none"/>
        </w:rPr>
        <w:t>5.5.2 在颁发工程接收证书之前，承包人应按照发包人要求的份数和形式向监理人提交相应竣工图纸，并取得监理人对尺寸、参照系统及其他有关细节的认可。监理人应按照第5.3款的约定进行审查。</w:t>
      </w:r>
    </w:p>
    <w:p>
      <w:pPr>
        <w:shd w:val="clear" w:color="auto" w:fill="auto"/>
        <w:ind w:firstLine="420"/>
        <w:outlineLvl w:val="9"/>
        <w:rPr>
          <w:color w:val="auto"/>
          <w:szCs w:val="21"/>
          <w:highlight w:val="none"/>
        </w:rPr>
      </w:pPr>
      <w:r>
        <w:rPr>
          <w:color w:val="auto"/>
          <w:szCs w:val="21"/>
          <w:highlight w:val="none"/>
        </w:rPr>
        <w:t>5.5.3 在监理人收到上述文件前，不应认为工程已根据第18.3款和第18.5款约定完成验收。</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 操作和维修手册</w:t>
      </w:r>
    </w:p>
    <w:p>
      <w:pPr>
        <w:shd w:val="clear" w:color="auto" w:fill="auto"/>
        <w:ind w:firstLine="420"/>
        <w:outlineLvl w:val="9"/>
        <w:rPr>
          <w:color w:val="auto"/>
          <w:szCs w:val="21"/>
          <w:highlight w:val="none"/>
        </w:rPr>
      </w:pPr>
      <w:r>
        <w:rPr>
          <w:color w:val="auto"/>
          <w:szCs w:val="21"/>
          <w:highlight w:val="none"/>
        </w:rPr>
        <w:t>5.6.1 在竣工试验开始前，承包人应向监理人提交暂行的操作和维修手册，该手册应足够详细，以便发包人能够对生产设备进行操作、维修、拆卸、重新安装、调整及修理。</w:t>
      </w:r>
    </w:p>
    <w:p>
      <w:pPr>
        <w:shd w:val="clear" w:color="auto" w:fill="auto"/>
        <w:ind w:firstLine="420"/>
        <w:outlineLvl w:val="9"/>
        <w:rPr>
          <w:color w:val="auto"/>
          <w:szCs w:val="21"/>
          <w:highlight w:val="none"/>
        </w:rPr>
      </w:pPr>
      <w:r>
        <w:rPr>
          <w:color w:val="auto"/>
          <w:szCs w:val="21"/>
          <w:highlight w:val="none"/>
        </w:rPr>
        <w:t>5.6.2 承包人应提交足够详细的最终操作和维修手册，以及在发包人要求中明确的相关操作和维修手册。在监理人收到上述文件前，不应认为工程已根据第18.3款和第18.5款约定完成验收。</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5.7 承包人文件错误</w:t>
      </w:r>
    </w:p>
    <w:p>
      <w:pPr>
        <w:shd w:val="clear" w:color="auto" w:fill="auto"/>
        <w:ind w:firstLine="420"/>
        <w:outlineLvl w:val="9"/>
        <w:rPr>
          <w:color w:val="auto"/>
          <w:szCs w:val="21"/>
          <w:highlight w:val="none"/>
        </w:rPr>
      </w:pPr>
      <w:r>
        <w:rPr>
          <w:color w:val="auto"/>
          <w:szCs w:val="21"/>
          <w:highlight w:val="none"/>
        </w:rPr>
        <w:t>承包人文件存在错误、遗漏、含混、矛盾、不充分之处或其他缺陷，无论承包人是否根据本款获得了批准，承包人均应自费对前述问题带来的缺陷和工程问题进行改正。第1.13款发包人要求的错误导致承包人文件错误、遗漏、含混、矛盾、不充分或其他缺陷的除外。</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86" w:name="_Toc24866"/>
      <w:bookmarkStart w:id="387" w:name="_Toc144327078"/>
      <w:bookmarkStart w:id="388" w:name="_Toc32445"/>
      <w:r>
        <w:rPr>
          <w:rFonts w:ascii="Times New Roman" w:hAnsi="Times New Roman" w:cs="Times New Roman"/>
          <w:color w:val="auto"/>
          <w:sz w:val="21"/>
          <w:szCs w:val="21"/>
          <w:highlight w:val="none"/>
        </w:rPr>
        <w:t>6．材料和工程设备</w:t>
      </w:r>
      <w:bookmarkEnd w:id="386"/>
      <w:bookmarkEnd w:id="387"/>
      <w:bookmarkEnd w:id="388"/>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6.1 承包人提供的材料和工程设备</w:t>
      </w:r>
    </w:p>
    <w:p>
      <w:pPr>
        <w:shd w:val="clear" w:color="auto" w:fill="auto"/>
        <w:ind w:firstLine="420"/>
        <w:outlineLvl w:val="9"/>
        <w:rPr>
          <w:color w:val="auto"/>
          <w:szCs w:val="21"/>
          <w:highlight w:val="none"/>
        </w:rPr>
      </w:pPr>
      <w:r>
        <w:rPr>
          <w:color w:val="auto"/>
          <w:szCs w:val="21"/>
          <w:highlight w:val="none"/>
        </w:rPr>
        <w:t>6.1.1 除专用合同条款另有约定外，承包人提供的材料和工程设备均由承包人负责采购、运输和保管。承包人应对其采购的材料和工程设备负责。</w:t>
      </w:r>
    </w:p>
    <w:p>
      <w:pPr>
        <w:shd w:val="clear" w:color="auto" w:fill="auto"/>
        <w:ind w:firstLine="420"/>
        <w:outlineLvl w:val="9"/>
        <w:rPr>
          <w:color w:val="auto"/>
          <w:szCs w:val="21"/>
          <w:highlight w:val="none"/>
        </w:rPr>
      </w:pPr>
      <w:r>
        <w:rPr>
          <w:color w:val="auto"/>
          <w:szCs w:val="21"/>
          <w:highlight w:val="none"/>
        </w:rPr>
        <w:t>6.1.2 承包人应按专用合同条款的约定，将各项材料和工程设备的供货人及品种、技术要求、规格、数量和供货时间等报送监理人批准。承包人应向监理人提交其负责提供的材料和工程设备的质量证明文件，并满足合同约定的质量标准。</w:t>
      </w:r>
    </w:p>
    <w:p>
      <w:pPr>
        <w:shd w:val="clear" w:color="auto" w:fill="auto"/>
        <w:ind w:firstLine="420"/>
        <w:outlineLvl w:val="9"/>
        <w:rPr>
          <w:color w:val="auto"/>
          <w:szCs w:val="21"/>
          <w:highlight w:val="none"/>
        </w:rPr>
      </w:pPr>
      <w:r>
        <w:rPr>
          <w:color w:val="auto"/>
          <w:szCs w:val="21"/>
          <w:highlight w:val="none"/>
        </w:rPr>
        <w:t>6.1.3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6.2 发包人提供的材料和工程设备（A）</w:t>
      </w:r>
    </w:p>
    <w:p>
      <w:pPr>
        <w:shd w:val="clear" w:color="auto" w:fill="auto"/>
        <w:ind w:firstLine="420"/>
        <w:outlineLvl w:val="9"/>
        <w:rPr>
          <w:color w:val="auto"/>
          <w:szCs w:val="21"/>
          <w:highlight w:val="none"/>
        </w:rPr>
      </w:pPr>
      <w:r>
        <w:rPr>
          <w:color w:val="auto"/>
          <w:szCs w:val="21"/>
          <w:highlight w:val="none"/>
        </w:rPr>
        <w:t>6.2.1 专用合同条款约定发包人提供部分材料和工程设备的，应写明材料和工程设备的名称、规格、数量、价格、交货方式、交货地点等。</w:t>
      </w:r>
    </w:p>
    <w:p>
      <w:pPr>
        <w:shd w:val="clear" w:color="auto" w:fill="auto"/>
        <w:ind w:firstLine="420"/>
        <w:outlineLvl w:val="9"/>
        <w:rPr>
          <w:color w:val="auto"/>
          <w:szCs w:val="21"/>
          <w:highlight w:val="none"/>
        </w:rPr>
      </w:pPr>
      <w:r>
        <w:rPr>
          <w:color w:val="auto"/>
          <w:szCs w:val="21"/>
          <w:highlight w:val="none"/>
        </w:rPr>
        <w:t>6.2.2 承包人应根据合同进度计划的安排，向监理人报送要求发包人交货的日期计划。发包人应按照监理人与合同双方当事人商定的交货日期，向承包人提交材料和工程设备。</w:t>
      </w:r>
    </w:p>
    <w:p>
      <w:pPr>
        <w:shd w:val="clear" w:color="auto" w:fill="auto"/>
        <w:ind w:firstLine="420"/>
        <w:outlineLvl w:val="9"/>
        <w:rPr>
          <w:color w:val="auto"/>
          <w:szCs w:val="21"/>
          <w:highlight w:val="none"/>
        </w:rPr>
      </w:pPr>
      <w:r>
        <w:rPr>
          <w:color w:val="auto"/>
          <w:szCs w:val="21"/>
          <w:highlight w:val="none"/>
        </w:rPr>
        <w:t>6.2.3 发包人应在材料和工程设备到货7 天前通知承包人，承包人应会同监理人在约定的时间内，赴交货地点共同进行验收。除专用合同条款另有约定外，发包人提供的材料和工程设备验收后，由承包人负责接收、运输和保管。</w:t>
      </w:r>
    </w:p>
    <w:p>
      <w:pPr>
        <w:shd w:val="clear" w:color="auto" w:fill="auto"/>
        <w:ind w:firstLine="420"/>
        <w:outlineLvl w:val="9"/>
        <w:rPr>
          <w:color w:val="auto"/>
          <w:szCs w:val="21"/>
          <w:highlight w:val="none"/>
        </w:rPr>
      </w:pPr>
      <w:r>
        <w:rPr>
          <w:color w:val="auto"/>
          <w:szCs w:val="21"/>
          <w:highlight w:val="none"/>
        </w:rPr>
        <w:t>6.2.4 发包人要求向承包人提前交货的，承包人不得拒绝，但发包人应承担承包人由此增加的费用。</w:t>
      </w:r>
    </w:p>
    <w:p>
      <w:pPr>
        <w:shd w:val="clear" w:color="auto" w:fill="auto"/>
        <w:ind w:firstLine="420"/>
        <w:outlineLvl w:val="9"/>
        <w:rPr>
          <w:color w:val="auto"/>
          <w:szCs w:val="21"/>
          <w:highlight w:val="none"/>
        </w:rPr>
      </w:pPr>
      <w:r>
        <w:rPr>
          <w:color w:val="auto"/>
          <w:szCs w:val="21"/>
          <w:highlight w:val="none"/>
        </w:rPr>
        <w:t>6.2.5 承包人要求更改交货日期或地点的，应事先报请监理人批准。由于承包人要求更改交货时间或地点所增加的费用和（或）工期延误由承包人承担。</w:t>
      </w:r>
    </w:p>
    <w:p>
      <w:pPr>
        <w:shd w:val="clear" w:color="auto" w:fill="auto"/>
        <w:ind w:firstLine="420"/>
        <w:outlineLvl w:val="9"/>
        <w:rPr>
          <w:color w:val="auto"/>
          <w:szCs w:val="21"/>
          <w:highlight w:val="none"/>
        </w:rPr>
      </w:pPr>
      <w:r>
        <w:rPr>
          <w:color w:val="auto"/>
          <w:szCs w:val="21"/>
          <w:highlight w:val="none"/>
        </w:rPr>
        <w:t>6.2.6 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6.2 发包人提供的材料和工程设备（B）</w:t>
      </w:r>
    </w:p>
    <w:p>
      <w:pPr>
        <w:shd w:val="clear" w:color="auto" w:fill="auto"/>
        <w:ind w:firstLine="420"/>
        <w:outlineLvl w:val="9"/>
        <w:rPr>
          <w:color w:val="auto"/>
          <w:szCs w:val="21"/>
          <w:highlight w:val="none"/>
        </w:rPr>
      </w:pPr>
      <w:r>
        <w:rPr>
          <w:color w:val="auto"/>
          <w:szCs w:val="21"/>
          <w:highlight w:val="none"/>
        </w:rPr>
        <w:t>发包人不提供材料和工程设备。</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6.3 专用于工程的材料和工程设备</w:t>
      </w:r>
    </w:p>
    <w:p>
      <w:pPr>
        <w:shd w:val="clear" w:color="auto" w:fill="auto"/>
        <w:ind w:firstLine="420"/>
        <w:outlineLvl w:val="9"/>
        <w:rPr>
          <w:color w:val="auto"/>
          <w:szCs w:val="21"/>
          <w:highlight w:val="none"/>
        </w:rPr>
      </w:pPr>
      <w:r>
        <w:rPr>
          <w:color w:val="auto"/>
          <w:szCs w:val="21"/>
          <w:highlight w:val="none"/>
        </w:rPr>
        <w:t>6.3.1 运入施工场地的材料、工程设备，包括备品备件、安装专用工器具与随机资料，必须专用于合同约定范围内的工程，未经监理人同意，承包人不得运出施工场地或挪作他用。</w:t>
      </w:r>
    </w:p>
    <w:p>
      <w:pPr>
        <w:shd w:val="clear" w:color="auto" w:fill="auto"/>
        <w:ind w:firstLine="420"/>
        <w:outlineLvl w:val="9"/>
        <w:rPr>
          <w:color w:val="auto"/>
          <w:szCs w:val="21"/>
          <w:highlight w:val="none"/>
        </w:rPr>
      </w:pPr>
      <w:r>
        <w:rPr>
          <w:color w:val="auto"/>
          <w:szCs w:val="21"/>
          <w:highlight w:val="none"/>
        </w:rPr>
        <w:t>6.3.2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6.4 实施方法</w:t>
      </w:r>
    </w:p>
    <w:p>
      <w:pPr>
        <w:shd w:val="clear" w:color="auto" w:fill="auto"/>
        <w:ind w:firstLine="420"/>
        <w:outlineLvl w:val="9"/>
        <w:rPr>
          <w:color w:val="auto"/>
          <w:szCs w:val="21"/>
          <w:highlight w:val="none"/>
        </w:rPr>
      </w:pPr>
      <w:r>
        <w:rPr>
          <w:color w:val="auto"/>
          <w:szCs w:val="21"/>
          <w:highlight w:val="none"/>
        </w:rPr>
        <w:t>承包人对材料的加工、工程设备的采购、制造、安装应当按照法律规定、合同约定以及行业习惯来实施。</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 禁止使用不合格的材料和工程设备</w:t>
      </w:r>
    </w:p>
    <w:p>
      <w:pPr>
        <w:shd w:val="clear" w:color="auto" w:fill="auto"/>
        <w:ind w:firstLine="420"/>
        <w:outlineLvl w:val="9"/>
        <w:rPr>
          <w:color w:val="auto"/>
          <w:szCs w:val="21"/>
          <w:highlight w:val="none"/>
        </w:rPr>
      </w:pPr>
      <w:r>
        <w:rPr>
          <w:color w:val="auto"/>
          <w:szCs w:val="21"/>
          <w:highlight w:val="none"/>
        </w:rPr>
        <w:t>6.5.1 监理人有权拒绝承包人提供的不合格材料或工程设备，并要求承包人立即进行更换。监理人应在更换后再次进行检查和检验，由此增加的费用和（或）工期延误由承包人承担。</w:t>
      </w:r>
    </w:p>
    <w:p>
      <w:pPr>
        <w:shd w:val="clear" w:color="auto" w:fill="auto"/>
        <w:ind w:firstLine="420"/>
        <w:outlineLvl w:val="9"/>
        <w:rPr>
          <w:color w:val="auto"/>
          <w:szCs w:val="21"/>
          <w:highlight w:val="none"/>
        </w:rPr>
      </w:pPr>
      <w:r>
        <w:rPr>
          <w:color w:val="auto"/>
          <w:szCs w:val="21"/>
          <w:highlight w:val="none"/>
        </w:rPr>
        <w:t>6.5.2 监理人发现承包人使用了不合格的材料和工程设备，应即时发出指示要求承包人立即改正，并禁止在工程中继续使用不合格的材料和工程设备。</w:t>
      </w:r>
    </w:p>
    <w:p>
      <w:pPr>
        <w:shd w:val="clear" w:color="auto" w:fill="auto"/>
        <w:ind w:firstLine="420"/>
        <w:outlineLvl w:val="9"/>
        <w:rPr>
          <w:color w:val="auto"/>
          <w:szCs w:val="21"/>
          <w:highlight w:val="none"/>
        </w:rPr>
      </w:pPr>
      <w:r>
        <w:rPr>
          <w:color w:val="auto"/>
          <w:szCs w:val="21"/>
          <w:highlight w:val="none"/>
        </w:rPr>
        <w:t>6.5.3 发包人提供的材料或工程设备不符合合同要求的，承包人有权拒绝，并可要求发包人更换，由此增加的费用和（或）工期延误由发包人承担。</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89" w:name="_Toc14510"/>
      <w:bookmarkStart w:id="390" w:name="_Toc144327079"/>
      <w:bookmarkStart w:id="391" w:name="_Toc5933"/>
      <w:r>
        <w:rPr>
          <w:rFonts w:ascii="Times New Roman" w:hAnsi="Times New Roman" w:cs="Times New Roman"/>
          <w:color w:val="auto"/>
          <w:sz w:val="21"/>
          <w:szCs w:val="21"/>
          <w:highlight w:val="none"/>
        </w:rPr>
        <w:t>7．施工设备和临时设施</w:t>
      </w:r>
      <w:bookmarkEnd w:id="389"/>
      <w:bookmarkEnd w:id="390"/>
      <w:bookmarkEnd w:id="391"/>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7.1 承包人提供的施工设备和临时设施</w:t>
      </w:r>
    </w:p>
    <w:p>
      <w:pPr>
        <w:shd w:val="clear" w:color="auto" w:fill="auto"/>
        <w:ind w:firstLine="420"/>
        <w:outlineLvl w:val="9"/>
        <w:rPr>
          <w:color w:val="auto"/>
          <w:szCs w:val="21"/>
          <w:highlight w:val="none"/>
        </w:rPr>
      </w:pPr>
      <w:r>
        <w:rPr>
          <w:color w:val="auto"/>
          <w:szCs w:val="21"/>
          <w:highlight w:val="none"/>
        </w:rPr>
        <w:t>7.1.1 承包人应按合同进度计划的要求，及时配置施工设备和修建临时设施。进入施工场地的承包人设备需经监理人核查后才能投入使用。承包人更换合同约定的承包人设备的，应报监理人批准。</w:t>
      </w:r>
    </w:p>
    <w:p>
      <w:pPr>
        <w:shd w:val="clear" w:color="auto" w:fill="auto"/>
        <w:ind w:firstLine="420"/>
        <w:outlineLvl w:val="9"/>
        <w:rPr>
          <w:color w:val="auto"/>
          <w:szCs w:val="21"/>
          <w:highlight w:val="none"/>
        </w:rPr>
      </w:pPr>
      <w:r>
        <w:rPr>
          <w:color w:val="auto"/>
          <w:szCs w:val="21"/>
          <w:highlight w:val="none"/>
        </w:rPr>
        <w:t>7.1.2 除专用合同条款另有约定外，承包人应自行承担修建临时设施的费用。需要临时占地的，应由发包人办理申请手续并承担相应费用。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7.2 发包人提供的施工设备和临时设施（A）</w:t>
      </w:r>
    </w:p>
    <w:p>
      <w:pPr>
        <w:shd w:val="clear" w:color="auto" w:fill="auto"/>
        <w:ind w:firstLine="420"/>
        <w:outlineLvl w:val="9"/>
        <w:rPr>
          <w:color w:val="auto"/>
          <w:szCs w:val="21"/>
          <w:highlight w:val="none"/>
        </w:rPr>
      </w:pPr>
      <w:r>
        <w:rPr>
          <w:color w:val="auto"/>
          <w:szCs w:val="21"/>
          <w:highlight w:val="none"/>
        </w:rPr>
        <w:t>发包人提供的施工设备或临时设施在专用合同条款中约定。</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7.2 发包人提供的施工设备和临时设施（B）</w:t>
      </w:r>
    </w:p>
    <w:p>
      <w:pPr>
        <w:shd w:val="clear" w:color="auto" w:fill="auto"/>
        <w:ind w:firstLine="420"/>
        <w:outlineLvl w:val="9"/>
        <w:rPr>
          <w:color w:val="auto"/>
          <w:szCs w:val="21"/>
          <w:highlight w:val="none"/>
        </w:rPr>
      </w:pPr>
      <w:r>
        <w:rPr>
          <w:color w:val="auto"/>
          <w:szCs w:val="21"/>
          <w:highlight w:val="none"/>
        </w:rPr>
        <w:t>发包人不提供施工设备或临时设施。</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7.3 要求承包人增加或更换施工设备</w:t>
      </w:r>
    </w:p>
    <w:p>
      <w:pPr>
        <w:shd w:val="clear" w:color="auto" w:fill="auto"/>
        <w:ind w:firstLine="420"/>
        <w:outlineLvl w:val="9"/>
        <w:rPr>
          <w:color w:val="auto"/>
          <w:szCs w:val="21"/>
          <w:highlight w:val="none"/>
        </w:rPr>
      </w:pPr>
      <w:r>
        <w:rPr>
          <w:color w:val="auto"/>
          <w:szCs w:val="21"/>
          <w:highlight w:val="none"/>
        </w:rPr>
        <w:t>承包人使用的施工设备不能满足合同进度计划和（或）质量标准时，监理人有权要求承包人增加或更换施工设备，承包人应及时增加或更换，由此增加的费用和（或）工期延误由承包人承担。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7.4 施工设备和临时设施专用于合同工程</w:t>
      </w:r>
    </w:p>
    <w:p>
      <w:pPr>
        <w:shd w:val="clear" w:color="auto" w:fill="auto"/>
        <w:ind w:firstLine="420"/>
        <w:outlineLvl w:val="9"/>
        <w:rPr>
          <w:color w:val="auto"/>
          <w:szCs w:val="21"/>
          <w:highlight w:val="none"/>
        </w:rPr>
      </w:pPr>
      <w:r>
        <w:rPr>
          <w:color w:val="auto"/>
          <w:szCs w:val="21"/>
          <w:highlight w:val="none"/>
        </w:rPr>
        <w:t>7.4.1 除合同另有约定外，运入施工场地的所有施工设备以及在施工场地建设的临时设施应专用于合同工程。未经监理人同意，不得将上述施工设备和临时设施中的任何部分运出施工场地或挪作他用。</w:t>
      </w:r>
    </w:p>
    <w:p>
      <w:pPr>
        <w:shd w:val="clear" w:color="auto" w:fill="auto"/>
        <w:ind w:firstLine="420"/>
        <w:outlineLvl w:val="9"/>
        <w:rPr>
          <w:color w:val="auto"/>
          <w:szCs w:val="21"/>
          <w:highlight w:val="none"/>
        </w:rPr>
      </w:pPr>
      <w:r>
        <w:rPr>
          <w:color w:val="auto"/>
          <w:szCs w:val="21"/>
          <w:highlight w:val="none"/>
        </w:rPr>
        <w:t>7.4.2 经监理人同意，承包人可根据合同进度计划撤走闲置的施工设备。</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92" w:name="_Toc28083"/>
      <w:bookmarkStart w:id="393" w:name="_Toc19086"/>
      <w:bookmarkStart w:id="394" w:name="_Toc144327080"/>
      <w:r>
        <w:rPr>
          <w:rFonts w:ascii="Times New Roman" w:hAnsi="Times New Roman" w:cs="Times New Roman"/>
          <w:color w:val="auto"/>
          <w:sz w:val="21"/>
          <w:szCs w:val="21"/>
          <w:highlight w:val="none"/>
        </w:rPr>
        <w:t>8．交通运输</w:t>
      </w:r>
      <w:bookmarkEnd w:id="392"/>
      <w:bookmarkEnd w:id="393"/>
      <w:bookmarkEnd w:id="394"/>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8.1 道路通行权和场外设施（A）</w:t>
      </w:r>
    </w:p>
    <w:p>
      <w:pPr>
        <w:shd w:val="clear" w:color="auto" w:fill="auto"/>
        <w:ind w:firstLine="420"/>
        <w:outlineLvl w:val="9"/>
        <w:rPr>
          <w:color w:val="auto"/>
          <w:szCs w:val="21"/>
          <w:highlight w:val="none"/>
        </w:rPr>
      </w:pPr>
      <w:r>
        <w:rPr>
          <w:color w:val="auto"/>
          <w:szCs w:val="21"/>
          <w:highlight w:val="none"/>
        </w:rPr>
        <w:t>发包人应根据工程的施工需要，负责办理取得出入施工场地的专用和临时道路的通行权，以及取得为工程建设所需修建场外设施的权利，并承担有关费用。承包人应协助发包人办理上述手续。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8.1 道路通行权和场外设施（B）</w:t>
      </w:r>
    </w:p>
    <w:p>
      <w:pPr>
        <w:shd w:val="clear" w:color="auto" w:fill="auto"/>
        <w:ind w:firstLine="420"/>
        <w:outlineLvl w:val="9"/>
        <w:rPr>
          <w:color w:val="auto"/>
          <w:szCs w:val="21"/>
          <w:highlight w:val="none"/>
        </w:rPr>
      </w:pPr>
      <w:r>
        <w:rPr>
          <w:color w:val="auto"/>
          <w:szCs w:val="21"/>
          <w:highlight w:val="none"/>
        </w:rPr>
        <w:t>承包人应根据工程的施工需要，负责办理取得出入施工场地的专用和临时道路的通行权，以及取得为工程建设所需修建场外设施的权利，并承担有关费用。发包人应协助承包人办理上述手续。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8.2 场内施工道路</w:t>
      </w:r>
    </w:p>
    <w:p>
      <w:pPr>
        <w:shd w:val="clear" w:color="auto" w:fill="auto"/>
        <w:ind w:firstLine="420"/>
        <w:outlineLvl w:val="9"/>
        <w:rPr>
          <w:color w:val="auto"/>
          <w:szCs w:val="21"/>
          <w:highlight w:val="none"/>
        </w:rPr>
      </w:pPr>
      <w:r>
        <w:rPr>
          <w:color w:val="auto"/>
          <w:szCs w:val="21"/>
          <w:highlight w:val="none"/>
        </w:rPr>
        <w:t>8.2.1 除专用合同条款另有约定外，承包人应负责修建、维修、养护和管理施工所需的临时道路和交通设施，包括维修、养护和管理发包人提供的道路和交通设施，并承担相应费用。</w:t>
      </w:r>
    </w:p>
    <w:p>
      <w:pPr>
        <w:shd w:val="clear" w:color="auto" w:fill="auto"/>
        <w:ind w:firstLine="420"/>
        <w:outlineLvl w:val="9"/>
        <w:rPr>
          <w:color w:val="auto"/>
          <w:szCs w:val="21"/>
          <w:highlight w:val="none"/>
        </w:rPr>
      </w:pPr>
      <w:r>
        <w:rPr>
          <w:color w:val="auto"/>
          <w:szCs w:val="21"/>
          <w:highlight w:val="none"/>
        </w:rPr>
        <w:t>8.2.2 除专用合同条款另有约定外，承包人修建的临时道路和交通设施应免费提供发包人和监理人为实现合同目的使用。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8.3 场外交通</w:t>
      </w:r>
    </w:p>
    <w:p>
      <w:pPr>
        <w:shd w:val="clear" w:color="auto" w:fill="auto"/>
        <w:ind w:firstLine="420"/>
        <w:outlineLvl w:val="9"/>
        <w:rPr>
          <w:color w:val="auto"/>
          <w:szCs w:val="21"/>
          <w:highlight w:val="none"/>
        </w:rPr>
      </w:pPr>
      <w:r>
        <w:rPr>
          <w:color w:val="auto"/>
          <w:szCs w:val="21"/>
          <w:highlight w:val="none"/>
        </w:rPr>
        <w:t>8.3.1 承包人车辆外出行驶所需的场外公共道路的通行费、养路费和税款等由承包人承担。</w:t>
      </w:r>
    </w:p>
    <w:p>
      <w:pPr>
        <w:shd w:val="clear" w:color="auto" w:fill="auto"/>
        <w:ind w:firstLine="420"/>
        <w:outlineLvl w:val="9"/>
        <w:rPr>
          <w:color w:val="auto"/>
          <w:szCs w:val="21"/>
          <w:highlight w:val="none"/>
        </w:rPr>
      </w:pPr>
      <w:r>
        <w:rPr>
          <w:color w:val="auto"/>
          <w:szCs w:val="21"/>
          <w:highlight w:val="none"/>
        </w:rPr>
        <w:t>8.3.2 承包人应遵守有关交通法规，严格按照道路和桥梁的限制荷重安全行驶，并服从交通管理部门的检查和监督。</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8.4 超大件和超重件的运输</w:t>
      </w:r>
    </w:p>
    <w:p>
      <w:pPr>
        <w:shd w:val="clear" w:color="auto" w:fill="auto"/>
        <w:ind w:firstLine="420"/>
        <w:outlineLvl w:val="9"/>
        <w:rPr>
          <w:color w:val="auto"/>
          <w:szCs w:val="21"/>
          <w:highlight w:val="none"/>
        </w:rPr>
      </w:pPr>
      <w:r>
        <w:rPr>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 道路和桥梁的损坏责任</w:t>
      </w:r>
    </w:p>
    <w:p>
      <w:pPr>
        <w:shd w:val="clear" w:color="auto" w:fill="auto"/>
        <w:ind w:firstLine="420"/>
        <w:outlineLvl w:val="9"/>
        <w:rPr>
          <w:color w:val="auto"/>
          <w:szCs w:val="21"/>
          <w:highlight w:val="none"/>
        </w:rPr>
      </w:pPr>
      <w:r>
        <w:rPr>
          <w:color w:val="auto"/>
          <w:szCs w:val="21"/>
          <w:highlight w:val="none"/>
        </w:rPr>
        <w:t>因承包人运输造成施工场地内外公共道路和桥梁损坏的，由承包人承担修复损坏的全部费用和可能引起的赔偿。</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8.6 水路和航空运输</w:t>
      </w:r>
    </w:p>
    <w:p>
      <w:pPr>
        <w:shd w:val="clear" w:color="auto" w:fill="auto"/>
        <w:ind w:firstLine="420"/>
        <w:outlineLvl w:val="9"/>
        <w:rPr>
          <w:color w:val="auto"/>
          <w:szCs w:val="21"/>
          <w:highlight w:val="none"/>
        </w:rPr>
      </w:pPr>
      <w:r>
        <w:rPr>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95" w:name="_Toc144327081"/>
      <w:bookmarkStart w:id="396" w:name="_Toc15186"/>
      <w:bookmarkStart w:id="397" w:name="_Toc20050"/>
      <w:r>
        <w:rPr>
          <w:rFonts w:ascii="Times New Roman" w:hAnsi="Times New Roman" w:cs="Times New Roman"/>
          <w:color w:val="auto"/>
          <w:sz w:val="21"/>
          <w:szCs w:val="21"/>
          <w:highlight w:val="none"/>
        </w:rPr>
        <w:t>9．测量放线</w:t>
      </w:r>
      <w:bookmarkEnd w:id="395"/>
      <w:bookmarkEnd w:id="396"/>
      <w:bookmarkEnd w:id="397"/>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9.1 施工控制网</w:t>
      </w:r>
    </w:p>
    <w:p>
      <w:pPr>
        <w:shd w:val="clear" w:color="auto" w:fill="auto"/>
        <w:ind w:firstLine="420"/>
        <w:outlineLvl w:val="9"/>
        <w:rPr>
          <w:color w:val="auto"/>
          <w:szCs w:val="21"/>
          <w:highlight w:val="none"/>
        </w:rPr>
      </w:pPr>
      <w:r>
        <w:rPr>
          <w:color w:val="auto"/>
          <w:szCs w:val="21"/>
          <w:highlight w:val="none"/>
        </w:rPr>
        <w:t>9.1.1 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批准。</w:t>
      </w:r>
    </w:p>
    <w:p>
      <w:pPr>
        <w:shd w:val="clear" w:color="auto" w:fill="auto"/>
        <w:ind w:firstLine="420"/>
        <w:outlineLvl w:val="9"/>
        <w:rPr>
          <w:color w:val="auto"/>
          <w:szCs w:val="21"/>
          <w:highlight w:val="none"/>
        </w:rPr>
      </w:pPr>
      <w:r>
        <w:rPr>
          <w:color w:val="auto"/>
          <w:szCs w:val="21"/>
          <w:highlight w:val="none"/>
        </w:rPr>
        <w:t>9.1.2 承包人应负责管理施工控制网点。施工控制网点丢失或损坏的，承包人应及时修复。承包人应承担施工控制网点的管理与修复费用，并在工程竣工后将施工控制网点移交发包人。</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9.2 施工测量</w:t>
      </w:r>
    </w:p>
    <w:p>
      <w:pPr>
        <w:shd w:val="clear" w:color="auto" w:fill="auto"/>
        <w:ind w:firstLine="420"/>
        <w:outlineLvl w:val="9"/>
        <w:rPr>
          <w:color w:val="auto"/>
          <w:szCs w:val="21"/>
          <w:highlight w:val="none"/>
        </w:rPr>
      </w:pPr>
      <w:r>
        <w:rPr>
          <w:color w:val="auto"/>
          <w:szCs w:val="21"/>
          <w:highlight w:val="none"/>
        </w:rPr>
        <w:t>9.2.1 承包人应负责施工过程中的全部施工测量放线工作，并配置合格的人员、仪器、设备和其他物品。</w:t>
      </w:r>
    </w:p>
    <w:p>
      <w:pPr>
        <w:shd w:val="clear" w:color="auto" w:fill="auto"/>
        <w:ind w:firstLine="420"/>
        <w:outlineLvl w:val="9"/>
        <w:rPr>
          <w:color w:val="auto"/>
          <w:szCs w:val="21"/>
          <w:highlight w:val="none"/>
        </w:rPr>
      </w:pPr>
      <w:r>
        <w:rPr>
          <w:color w:val="auto"/>
          <w:szCs w:val="21"/>
          <w:highlight w:val="none"/>
        </w:rPr>
        <w:t>9.2.2 监理人可以指示承包人进行抽样复测，当复测中发现错误或出现超过合同约定的误差时，承包人应按监理人指示进行修正或补测，并承担相应的复测费用。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9.3 基准资料错误的责任</w:t>
      </w:r>
    </w:p>
    <w:p>
      <w:pPr>
        <w:shd w:val="clear" w:color="auto" w:fill="auto"/>
        <w:ind w:firstLine="420"/>
        <w:outlineLvl w:val="9"/>
        <w:rPr>
          <w:color w:val="auto"/>
          <w:szCs w:val="21"/>
          <w:highlight w:val="none"/>
        </w:rPr>
      </w:pPr>
      <w:r>
        <w:rPr>
          <w:color w:val="auto"/>
          <w:szCs w:val="21"/>
          <w:highlight w:val="none"/>
        </w:rPr>
        <w:t>发包人应对其提供的测量基准点、基准线和水准点及其书面资料的真实性、准确性和完整性负责，对其提供上述基准资料错误导致承包人损失的，发包人应当承担由此增加的费用和（或）工期延误，并向承包人支付合理利润。承包人应在设计或施工中对上述资料的准确性进行核实，发现存在明显错误或疏忽的，应及时通知监理人。</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9.4 监理人使用施工控制网</w:t>
      </w:r>
    </w:p>
    <w:p>
      <w:pPr>
        <w:shd w:val="clear" w:color="auto" w:fill="auto"/>
        <w:ind w:firstLine="420"/>
        <w:outlineLvl w:val="9"/>
        <w:rPr>
          <w:color w:val="auto"/>
          <w:szCs w:val="21"/>
          <w:highlight w:val="none"/>
        </w:rPr>
      </w:pPr>
      <w:r>
        <w:rPr>
          <w:color w:val="auto"/>
          <w:szCs w:val="21"/>
          <w:highlight w:val="none"/>
        </w:rPr>
        <w:t>监理人需要使用施工控制网的，承包人应提供必要的协助，发包人不再为此支付费用。</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398" w:name="_Toc3279"/>
      <w:bookmarkStart w:id="399" w:name="_Toc19978"/>
      <w:bookmarkStart w:id="400" w:name="_Toc144327082"/>
      <w:r>
        <w:rPr>
          <w:rFonts w:ascii="Times New Roman" w:hAnsi="Times New Roman" w:cs="Times New Roman"/>
          <w:color w:val="auto"/>
          <w:sz w:val="21"/>
          <w:szCs w:val="21"/>
          <w:highlight w:val="none"/>
        </w:rPr>
        <w:t>10．安全、治安保卫和环境保护</w:t>
      </w:r>
      <w:bookmarkEnd w:id="398"/>
      <w:bookmarkEnd w:id="399"/>
      <w:bookmarkEnd w:id="400"/>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10.1 发包人的安全责任</w:t>
      </w:r>
    </w:p>
    <w:p>
      <w:pPr>
        <w:shd w:val="clear" w:color="auto" w:fill="auto"/>
        <w:ind w:firstLine="420"/>
        <w:outlineLvl w:val="9"/>
        <w:rPr>
          <w:color w:val="auto"/>
          <w:szCs w:val="21"/>
          <w:highlight w:val="none"/>
        </w:rPr>
      </w:pPr>
      <w:r>
        <w:rPr>
          <w:color w:val="auto"/>
          <w:szCs w:val="21"/>
          <w:highlight w:val="none"/>
        </w:rPr>
        <w:t>10.1.1 发包人应按合同约定履行安全职责，授权监理人按合同约定的安全工作内容监督、检查承包人安全工作的实施，组织承包人和有关单位进行安全检查。</w:t>
      </w:r>
    </w:p>
    <w:p>
      <w:pPr>
        <w:shd w:val="clear" w:color="auto" w:fill="auto"/>
        <w:ind w:firstLine="420"/>
        <w:outlineLvl w:val="9"/>
        <w:rPr>
          <w:color w:val="auto"/>
          <w:szCs w:val="21"/>
          <w:highlight w:val="none"/>
        </w:rPr>
      </w:pPr>
      <w:r>
        <w:rPr>
          <w:color w:val="auto"/>
          <w:szCs w:val="21"/>
          <w:highlight w:val="none"/>
        </w:rPr>
        <w:t>10.1.2 发包人应对其现场机构雇佣的全部人员的工伤事故承担责任，但由于承包人原因造成发包人人员工伤的，应由承包人承担责任</w:t>
      </w:r>
      <w:r>
        <w:rPr>
          <w:rFonts w:hint="eastAsia"/>
          <w:color w:val="auto"/>
          <w:szCs w:val="21"/>
          <w:highlight w:val="none"/>
          <w:lang w:eastAsia="zh-CN"/>
        </w:rPr>
        <w:t>，</w:t>
      </w:r>
      <w:r>
        <w:rPr>
          <w:rFonts w:hint="eastAsia"/>
          <w:color w:val="auto"/>
          <w:szCs w:val="21"/>
          <w:highlight w:val="none"/>
          <w:lang w:val="en-US" w:eastAsia="zh-CN"/>
        </w:rPr>
        <w:t>由此给发包人造成损失的，发包人有权从应付承包人款项中予以扣除</w:t>
      </w:r>
      <w:r>
        <w:rPr>
          <w:color w:val="auto"/>
          <w:szCs w:val="21"/>
          <w:highlight w:val="none"/>
        </w:rPr>
        <w:t>。</w:t>
      </w:r>
    </w:p>
    <w:p>
      <w:pPr>
        <w:shd w:val="clear" w:color="auto" w:fill="auto"/>
        <w:ind w:firstLine="420"/>
        <w:outlineLvl w:val="9"/>
        <w:rPr>
          <w:color w:val="auto"/>
          <w:szCs w:val="21"/>
          <w:highlight w:val="none"/>
        </w:rPr>
      </w:pPr>
      <w:r>
        <w:rPr>
          <w:color w:val="auto"/>
          <w:szCs w:val="21"/>
          <w:highlight w:val="none"/>
        </w:rPr>
        <w:t>10.1.3 发包人应负责赔偿以下各种情况造成的第三者人身伤亡和财产损失：</w:t>
      </w:r>
    </w:p>
    <w:p>
      <w:pPr>
        <w:shd w:val="clear" w:color="auto" w:fill="auto"/>
        <w:ind w:firstLine="420"/>
        <w:outlineLvl w:val="9"/>
        <w:rPr>
          <w:color w:val="auto"/>
          <w:szCs w:val="21"/>
          <w:highlight w:val="none"/>
        </w:rPr>
      </w:pPr>
      <w:r>
        <w:rPr>
          <w:color w:val="auto"/>
          <w:szCs w:val="21"/>
          <w:highlight w:val="none"/>
        </w:rPr>
        <w:t>（1）工程或工程的任何部分对土地的占用所造成的第三者财产损失；</w:t>
      </w:r>
    </w:p>
    <w:p>
      <w:pPr>
        <w:shd w:val="clear" w:color="auto" w:fill="auto"/>
        <w:ind w:firstLine="420"/>
        <w:outlineLvl w:val="9"/>
        <w:rPr>
          <w:color w:val="auto"/>
          <w:szCs w:val="21"/>
          <w:highlight w:val="none"/>
        </w:rPr>
      </w:pPr>
      <w:r>
        <w:rPr>
          <w:color w:val="auto"/>
          <w:szCs w:val="21"/>
          <w:highlight w:val="none"/>
        </w:rPr>
        <w:t>（2）由于发包人原因在施工场地及其毗邻地带、履行合同工作中造成的第三者人身伤亡和财产损失。</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10.2 承包人的安全责任</w:t>
      </w:r>
    </w:p>
    <w:p>
      <w:pPr>
        <w:shd w:val="clear" w:color="auto" w:fill="auto"/>
        <w:ind w:firstLine="420"/>
        <w:outlineLvl w:val="9"/>
        <w:rPr>
          <w:color w:val="auto"/>
          <w:szCs w:val="21"/>
          <w:highlight w:val="none"/>
        </w:rPr>
      </w:pPr>
      <w:r>
        <w:rPr>
          <w:color w:val="auto"/>
          <w:szCs w:val="21"/>
          <w:highlight w:val="none"/>
        </w:rPr>
        <w:t>10.2.1 承包人应按合同约定履行安全职责，执行监理人有关安全工作的指示，并在专用合同条款约定的期限内，按合同约定的安全工作内容，编制安全措施计划报送监理人批准。</w:t>
      </w:r>
    </w:p>
    <w:p>
      <w:pPr>
        <w:shd w:val="clear" w:color="auto" w:fill="auto"/>
        <w:ind w:firstLine="420"/>
        <w:outlineLvl w:val="9"/>
        <w:rPr>
          <w:color w:val="auto"/>
          <w:szCs w:val="21"/>
          <w:highlight w:val="none"/>
        </w:rPr>
      </w:pPr>
      <w:r>
        <w:rPr>
          <w:color w:val="auto"/>
          <w:szCs w:val="21"/>
          <w:highlight w:val="none"/>
        </w:rPr>
        <w:t>10.2.2 承包人按照合同约定需要进行勘察的，应严格执行操作规程，采取措施保证各类管线、设施和周边建筑物、构筑物的安全。</w:t>
      </w:r>
    </w:p>
    <w:p>
      <w:pPr>
        <w:shd w:val="clear" w:color="auto" w:fill="auto"/>
        <w:ind w:firstLine="420"/>
        <w:outlineLvl w:val="9"/>
        <w:rPr>
          <w:color w:val="auto"/>
          <w:szCs w:val="21"/>
          <w:highlight w:val="none"/>
        </w:rPr>
      </w:pPr>
      <w:r>
        <w:rPr>
          <w:color w:val="auto"/>
          <w:szCs w:val="21"/>
          <w:highlight w:val="none"/>
        </w:rPr>
        <w:t>10.2.3 承包人应当按照法律、法规和工程建设强制性标准进行设计，在设计文件中注明涉及施工安全的重点部位和环节，提出保障施工作业人员和预防安全事故的措施建议，防止因设计不合理导致生产安全事故的发生。</w:t>
      </w:r>
    </w:p>
    <w:p>
      <w:pPr>
        <w:shd w:val="clear" w:color="auto" w:fill="auto"/>
        <w:ind w:firstLine="420"/>
        <w:outlineLvl w:val="9"/>
        <w:rPr>
          <w:color w:val="auto"/>
          <w:szCs w:val="21"/>
          <w:highlight w:val="none"/>
        </w:rPr>
      </w:pPr>
      <w:r>
        <w:rPr>
          <w:color w:val="auto"/>
          <w:szCs w:val="21"/>
          <w:highlight w:val="none"/>
        </w:rPr>
        <w:t>10.2.4 承包人应加强施工作业安全管理，特别应加强易燃、易爆材料、火工器材、有毒与腐蚀性材料和其他危险品的管理，以及对爆破作业和地下工程施工等危险作业的管理。</w:t>
      </w:r>
    </w:p>
    <w:p>
      <w:pPr>
        <w:shd w:val="clear" w:color="auto" w:fill="auto"/>
        <w:ind w:firstLine="420"/>
        <w:outlineLvl w:val="9"/>
        <w:rPr>
          <w:color w:val="auto"/>
          <w:szCs w:val="21"/>
          <w:highlight w:val="none"/>
        </w:rPr>
      </w:pPr>
      <w:r>
        <w:rPr>
          <w:color w:val="auto"/>
          <w:szCs w:val="21"/>
          <w:highlight w:val="none"/>
        </w:rPr>
        <w:t>10.2.5 承包人应严格按照国家安全标准制定施工安全操作规程，配备必要的安全生产和劳动保护设施，加强对承包人人员的安全教育，并发放安全工作手册和劳动保护用具。</w:t>
      </w:r>
    </w:p>
    <w:p>
      <w:pPr>
        <w:shd w:val="clear" w:color="auto" w:fill="auto"/>
        <w:ind w:firstLine="420"/>
        <w:outlineLvl w:val="9"/>
        <w:rPr>
          <w:color w:val="auto"/>
          <w:szCs w:val="21"/>
          <w:highlight w:val="none"/>
        </w:rPr>
      </w:pPr>
      <w:r>
        <w:rPr>
          <w:color w:val="auto"/>
          <w:szCs w:val="21"/>
          <w:highlight w:val="none"/>
        </w:rPr>
        <w:t>10.2.6 承包人应按监理人的指示制定应对灾害的紧急预案，报送监理人批准。承包人还应按预案做好安全检查，配置必要的救助物资和器材，切实保护好有关人员的人身和财产安全。</w:t>
      </w:r>
    </w:p>
    <w:p>
      <w:pPr>
        <w:shd w:val="clear" w:color="auto" w:fill="auto"/>
        <w:ind w:firstLine="420"/>
        <w:outlineLvl w:val="9"/>
        <w:rPr>
          <w:color w:val="auto"/>
          <w:szCs w:val="21"/>
          <w:highlight w:val="none"/>
        </w:rPr>
      </w:pPr>
      <w:r>
        <w:rPr>
          <w:color w:val="auto"/>
          <w:szCs w:val="21"/>
          <w:highlight w:val="none"/>
        </w:rPr>
        <w:t>10.2.7 合同约定的安全作业环境及安全施工措施所需费用应遵守有关规定，并包括在相关工作的合同价格中。因采取合同未约定的安全作业环境及安全施工措施增加的费用，由监理人按第3.5 款商定或确定。</w:t>
      </w:r>
    </w:p>
    <w:p>
      <w:pPr>
        <w:shd w:val="clear" w:color="auto" w:fill="auto"/>
        <w:ind w:firstLine="420"/>
        <w:outlineLvl w:val="9"/>
        <w:rPr>
          <w:color w:val="auto"/>
          <w:szCs w:val="21"/>
          <w:highlight w:val="none"/>
        </w:rPr>
      </w:pPr>
      <w:r>
        <w:rPr>
          <w:color w:val="auto"/>
          <w:szCs w:val="21"/>
          <w:highlight w:val="none"/>
        </w:rPr>
        <w:t>10.2.8 承包人应对其履行合同所雇佣的全部人员，包括分包人人员的工伤事故承担责任，但由于发包人原因造成承包人人员工伤事故的，应由发包人承担责任。</w:t>
      </w:r>
    </w:p>
    <w:p>
      <w:pPr>
        <w:shd w:val="clear" w:color="auto" w:fill="auto"/>
        <w:ind w:firstLine="420"/>
        <w:outlineLvl w:val="9"/>
        <w:rPr>
          <w:color w:val="auto"/>
          <w:szCs w:val="21"/>
          <w:highlight w:val="none"/>
        </w:rPr>
      </w:pPr>
      <w:r>
        <w:rPr>
          <w:color w:val="auto"/>
          <w:szCs w:val="21"/>
          <w:highlight w:val="none"/>
        </w:rPr>
        <w:t>10.2.9 由于承包人原因在施工场地内及其毗邻地带造成的第三者人员伤亡和财产损失，由承包人负责赔偿。</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10.3 治安保卫</w:t>
      </w:r>
    </w:p>
    <w:p>
      <w:pPr>
        <w:shd w:val="clear" w:color="auto" w:fill="auto"/>
        <w:ind w:firstLine="420"/>
        <w:outlineLvl w:val="9"/>
        <w:rPr>
          <w:color w:val="auto"/>
          <w:szCs w:val="21"/>
          <w:highlight w:val="none"/>
        </w:rPr>
      </w:pPr>
      <w:r>
        <w:rPr>
          <w:color w:val="auto"/>
          <w:szCs w:val="21"/>
          <w:highlight w:val="none"/>
        </w:rPr>
        <w:t>10.3.1 除合同另有约定外，承包人应与当地公安部门协商，在现场建立治安管理机构或联防组织，统一管理施工场地的治安保卫事项，履行合同工程的治安保卫职责。</w:t>
      </w:r>
    </w:p>
    <w:p>
      <w:pPr>
        <w:shd w:val="clear" w:color="auto" w:fill="auto"/>
        <w:ind w:firstLine="420"/>
        <w:outlineLvl w:val="9"/>
        <w:rPr>
          <w:color w:val="auto"/>
          <w:szCs w:val="21"/>
          <w:highlight w:val="none"/>
        </w:rPr>
      </w:pPr>
      <w:r>
        <w:rPr>
          <w:color w:val="auto"/>
          <w:szCs w:val="21"/>
          <w:highlight w:val="none"/>
        </w:rPr>
        <w:t>10.3.2 发包人和承包人除应协助现场治安管理机构或联防组织维护施工场地的社会治安外，还应做好包括生活区在内的各自管辖区的治安保卫工作。</w:t>
      </w:r>
    </w:p>
    <w:p>
      <w:pPr>
        <w:shd w:val="clear" w:color="auto" w:fill="auto"/>
        <w:ind w:firstLine="420"/>
        <w:outlineLvl w:val="9"/>
        <w:rPr>
          <w:color w:val="auto"/>
          <w:szCs w:val="21"/>
          <w:highlight w:val="none"/>
        </w:rPr>
      </w:pPr>
      <w:r>
        <w:rPr>
          <w:color w:val="auto"/>
          <w:szCs w:val="21"/>
          <w:highlight w:val="none"/>
        </w:rPr>
        <w:t>10.3.3 除合同另有约定外，承包人应编制施工场地治安管理计划，并制定应对突发治安事件的紧急预案，报监理人批准。自承包人进入施工现场，至发包人接收工程的期间，施工现场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10.4 环境保护</w:t>
      </w:r>
    </w:p>
    <w:p>
      <w:pPr>
        <w:shd w:val="clear" w:color="auto" w:fill="auto"/>
        <w:ind w:firstLine="420"/>
        <w:outlineLvl w:val="9"/>
        <w:rPr>
          <w:color w:val="auto"/>
          <w:szCs w:val="21"/>
          <w:highlight w:val="none"/>
        </w:rPr>
      </w:pPr>
      <w:r>
        <w:rPr>
          <w:color w:val="auto"/>
          <w:szCs w:val="21"/>
          <w:highlight w:val="none"/>
        </w:rPr>
        <w:t>10.4.1 承包人在履行合同过程中，应遵守有关环境保护的法律，履行合同约定的环境保护义务，并对违反法律和合同约定义务所造成的环境破坏、人身伤害和财产损失负责。</w:t>
      </w:r>
    </w:p>
    <w:p>
      <w:pPr>
        <w:shd w:val="clear" w:color="auto" w:fill="auto"/>
        <w:ind w:firstLine="420"/>
        <w:outlineLvl w:val="9"/>
        <w:rPr>
          <w:color w:val="auto"/>
          <w:szCs w:val="21"/>
          <w:highlight w:val="none"/>
        </w:rPr>
      </w:pPr>
      <w:r>
        <w:rPr>
          <w:color w:val="auto"/>
          <w:szCs w:val="21"/>
          <w:highlight w:val="none"/>
        </w:rPr>
        <w:t>10.4.2 承包人应按合同约定的环保工作内容，编制环保措施计划，报送监理人批准。</w:t>
      </w:r>
    </w:p>
    <w:p>
      <w:pPr>
        <w:shd w:val="clear" w:color="auto" w:fill="auto"/>
        <w:ind w:firstLine="420"/>
        <w:outlineLvl w:val="9"/>
        <w:rPr>
          <w:color w:val="auto"/>
          <w:szCs w:val="21"/>
          <w:highlight w:val="none"/>
        </w:rPr>
      </w:pPr>
      <w:r>
        <w:rPr>
          <w:color w:val="auto"/>
          <w:szCs w:val="21"/>
          <w:highlight w:val="none"/>
        </w:rPr>
        <w:t>10.4.3 承包人应确保施工过程中产生的气体排放物、粉尘、噪声、地面排水及排污等，符合法律规定和发包人要求。</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10.5 事故处理</w:t>
      </w:r>
    </w:p>
    <w:p>
      <w:pPr>
        <w:shd w:val="clear" w:color="auto" w:fill="auto"/>
        <w:ind w:firstLine="420"/>
        <w:outlineLvl w:val="9"/>
        <w:rPr>
          <w:color w:val="auto"/>
          <w:szCs w:val="21"/>
          <w:highlight w:val="none"/>
        </w:rPr>
      </w:pPr>
      <w:r>
        <w:rPr>
          <w:color w:val="auto"/>
          <w:szCs w:val="21"/>
          <w:highlight w:val="none"/>
        </w:rPr>
        <w:t>合同履行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01" w:name="_Toc144327083"/>
      <w:bookmarkStart w:id="402" w:name="_Toc8064"/>
      <w:bookmarkStart w:id="403" w:name="_Toc18502"/>
      <w:r>
        <w:rPr>
          <w:rFonts w:ascii="Times New Roman" w:hAnsi="Times New Roman" w:cs="Times New Roman"/>
          <w:color w:val="auto"/>
          <w:sz w:val="21"/>
          <w:szCs w:val="21"/>
          <w:highlight w:val="none"/>
        </w:rPr>
        <w:t>11．开始工作和竣工</w:t>
      </w:r>
      <w:bookmarkEnd w:id="401"/>
      <w:bookmarkEnd w:id="402"/>
      <w:bookmarkEnd w:id="403"/>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11.1 开始工作</w:t>
      </w:r>
    </w:p>
    <w:p>
      <w:pPr>
        <w:shd w:val="clear" w:color="auto" w:fill="auto"/>
        <w:ind w:firstLine="420"/>
        <w:outlineLvl w:val="9"/>
        <w:rPr>
          <w:color w:val="auto"/>
          <w:szCs w:val="21"/>
          <w:highlight w:val="none"/>
        </w:rPr>
      </w:pPr>
      <w:r>
        <w:rPr>
          <w:color w:val="auto"/>
          <w:szCs w:val="21"/>
          <w:highlight w:val="none"/>
        </w:rPr>
        <w:t>符合专用合同条款约定的开始工作的条件的，监理人应提前7天向承包人发出开始工作通知。监理人在发出开始工作通知前应获得发包人同意。工期自开始工作通知中载明的开始工作日期起计算。除专用合同条款另有约定外，因发包人原因造成监理人未能在合同签订之日起90天内发出开始工作通知的，承包人有权提出价格调整要求，或者解除合同。发包人应当承担由此增加的费用和（或）工期延误，并向承包人支付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11.2 竣工</w:t>
      </w:r>
    </w:p>
    <w:p>
      <w:pPr>
        <w:shd w:val="clear" w:color="auto" w:fill="auto"/>
        <w:ind w:firstLine="420"/>
        <w:outlineLvl w:val="9"/>
        <w:rPr>
          <w:color w:val="auto"/>
          <w:szCs w:val="21"/>
          <w:highlight w:val="none"/>
        </w:rPr>
      </w:pPr>
      <w:r>
        <w:rPr>
          <w:color w:val="auto"/>
          <w:szCs w:val="21"/>
          <w:highlight w:val="none"/>
        </w:rPr>
        <w:t>承包人应在第1.1.4.3 目约定的期限内完成合同工作。实际竣工日期按第18.3款约定确定，并在工程接收证书中载明。</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11.3 发包人引起的工期延误</w:t>
      </w:r>
    </w:p>
    <w:p>
      <w:pPr>
        <w:shd w:val="clear" w:color="auto" w:fill="auto"/>
        <w:ind w:firstLine="420"/>
        <w:outlineLvl w:val="9"/>
        <w:rPr>
          <w:color w:val="auto"/>
          <w:szCs w:val="21"/>
          <w:highlight w:val="none"/>
        </w:rPr>
      </w:pPr>
      <w:r>
        <w:rPr>
          <w:color w:val="auto"/>
          <w:szCs w:val="21"/>
          <w:highlight w:val="none"/>
        </w:rPr>
        <w:t>在履行合同过程中，由于发包人的下列原因造成工期延误的，承包人有权要求发包人延长工期和（或）增加费用，并支付合理利润。需要修订合同进度计划的，按照第4.12.2项的约定执行。</w:t>
      </w:r>
    </w:p>
    <w:p>
      <w:pPr>
        <w:shd w:val="clear" w:color="auto" w:fill="auto"/>
        <w:ind w:firstLine="420"/>
        <w:outlineLvl w:val="9"/>
        <w:rPr>
          <w:color w:val="auto"/>
          <w:szCs w:val="21"/>
          <w:highlight w:val="none"/>
        </w:rPr>
      </w:pPr>
      <w:r>
        <w:rPr>
          <w:color w:val="auto"/>
          <w:szCs w:val="21"/>
          <w:highlight w:val="none"/>
        </w:rPr>
        <w:t>（l）变更；</w:t>
      </w:r>
    </w:p>
    <w:p>
      <w:pPr>
        <w:shd w:val="clear" w:color="auto" w:fill="auto"/>
        <w:ind w:firstLine="420"/>
        <w:outlineLvl w:val="9"/>
        <w:rPr>
          <w:color w:val="auto"/>
          <w:szCs w:val="21"/>
          <w:highlight w:val="none"/>
        </w:rPr>
      </w:pPr>
      <w:r>
        <w:rPr>
          <w:color w:val="auto"/>
          <w:szCs w:val="21"/>
          <w:highlight w:val="none"/>
        </w:rPr>
        <w:t>（2）未能按照合同要求的期限对承包人文件进行审查；</w:t>
      </w:r>
    </w:p>
    <w:p>
      <w:pPr>
        <w:shd w:val="clear" w:color="auto" w:fill="auto"/>
        <w:ind w:firstLine="420"/>
        <w:outlineLvl w:val="9"/>
        <w:rPr>
          <w:color w:val="auto"/>
          <w:szCs w:val="21"/>
          <w:highlight w:val="none"/>
        </w:rPr>
      </w:pPr>
      <w:r>
        <w:rPr>
          <w:color w:val="auto"/>
          <w:szCs w:val="21"/>
          <w:highlight w:val="none"/>
        </w:rPr>
        <w:t xml:space="preserve">（3）因发包人原因导致的暂停施工； </w:t>
      </w:r>
    </w:p>
    <w:p>
      <w:pPr>
        <w:shd w:val="clear" w:color="auto" w:fill="auto"/>
        <w:ind w:firstLine="420"/>
        <w:outlineLvl w:val="9"/>
        <w:rPr>
          <w:color w:val="auto"/>
          <w:szCs w:val="21"/>
          <w:highlight w:val="none"/>
        </w:rPr>
      </w:pPr>
      <w:r>
        <w:rPr>
          <w:color w:val="auto"/>
          <w:szCs w:val="21"/>
          <w:highlight w:val="none"/>
        </w:rPr>
        <w:t>（4） 未按合同约定及时支付预付款、进度款；</w:t>
      </w:r>
    </w:p>
    <w:p>
      <w:pPr>
        <w:shd w:val="clear" w:color="auto" w:fill="auto"/>
        <w:ind w:firstLine="420"/>
        <w:outlineLvl w:val="9"/>
        <w:rPr>
          <w:color w:val="auto"/>
          <w:szCs w:val="21"/>
          <w:highlight w:val="none"/>
        </w:rPr>
      </w:pPr>
      <w:r>
        <w:rPr>
          <w:color w:val="auto"/>
          <w:szCs w:val="21"/>
          <w:highlight w:val="none"/>
        </w:rPr>
        <w:t>（5） 发包人按第9.3款提供的基准资料错误；</w:t>
      </w:r>
    </w:p>
    <w:p>
      <w:pPr>
        <w:shd w:val="clear" w:color="auto" w:fill="auto"/>
        <w:ind w:firstLine="420"/>
        <w:outlineLvl w:val="9"/>
        <w:rPr>
          <w:color w:val="auto"/>
          <w:szCs w:val="21"/>
          <w:highlight w:val="none"/>
        </w:rPr>
      </w:pPr>
      <w:r>
        <w:rPr>
          <w:color w:val="auto"/>
          <w:szCs w:val="21"/>
          <w:highlight w:val="none"/>
        </w:rPr>
        <w:t>（6）发包人按第6.2款迟延提供材料、工程设备或变更交货地点的；</w:t>
      </w:r>
    </w:p>
    <w:p>
      <w:pPr>
        <w:shd w:val="clear" w:color="auto" w:fill="auto"/>
        <w:ind w:firstLine="420"/>
        <w:outlineLvl w:val="9"/>
        <w:rPr>
          <w:color w:val="auto"/>
          <w:szCs w:val="21"/>
          <w:highlight w:val="none"/>
        </w:rPr>
      </w:pPr>
      <w:r>
        <w:rPr>
          <w:color w:val="auto"/>
          <w:szCs w:val="21"/>
          <w:highlight w:val="none"/>
        </w:rPr>
        <w:t>（7）发包人未及时按照“发包人要求”履行相关义务；</w:t>
      </w:r>
    </w:p>
    <w:p>
      <w:pPr>
        <w:shd w:val="clear" w:color="auto" w:fill="auto"/>
        <w:ind w:firstLine="420"/>
        <w:outlineLvl w:val="9"/>
        <w:rPr>
          <w:color w:val="auto"/>
          <w:szCs w:val="21"/>
          <w:highlight w:val="none"/>
        </w:rPr>
      </w:pPr>
      <w:r>
        <w:rPr>
          <w:color w:val="auto"/>
          <w:szCs w:val="21"/>
          <w:highlight w:val="none"/>
        </w:rPr>
        <w:t>（8）发包人造成工期延误的其他原因。</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11.4 异常恶劣的气候条件</w:t>
      </w:r>
    </w:p>
    <w:p>
      <w:pPr>
        <w:shd w:val="clear" w:color="auto" w:fill="auto"/>
        <w:ind w:firstLine="420"/>
        <w:outlineLvl w:val="9"/>
        <w:rPr>
          <w:color w:val="auto"/>
          <w:szCs w:val="21"/>
          <w:highlight w:val="none"/>
        </w:rPr>
      </w:pPr>
      <w:r>
        <w:rPr>
          <w:color w:val="auto"/>
          <w:szCs w:val="21"/>
          <w:highlight w:val="none"/>
        </w:rPr>
        <w:t>由于出现专用合同条款规定的异常恶劣气候的条件导致工期延误的，承包人有权要求发包人延长工期和（或）增加费用。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11.5 承包人引起的工期延误</w:t>
      </w:r>
    </w:p>
    <w:p>
      <w:pPr>
        <w:shd w:val="clear" w:color="auto" w:fill="auto"/>
        <w:ind w:firstLine="420"/>
        <w:outlineLvl w:val="9"/>
        <w:rPr>
          <w:color w:val="auto"/>
          <w:szCs w:val="21"/>
          <w:highlight w:val="none"/>
        </w:rPr>
      </w:pPr>
      <w:r>
        <w:rPr>
          <w:color w:val="auto"/>
          <w:szCs w:val="21"/>
          <w:highlight w:val="none"/>
        </w:rPr>
        <w:t>由于承包人原因，未能按合同进度计划完成工作，或监理人认为承包人工作进度不能满足合同工期要求的，承包人应采取措施加快进度，并承担加快进度所增加的费用。由于承包人原因造成工期延误，承包人应支付逾期竣工违约金。逾期竣工违约金的计算方法和最高限额在专用合同条款中约定。承包人支付逾期竣工违约金，不免除承包人完成工作及修补缺陷的义务。</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11.6 工期提前</w:t>
      </w:r>
    </w:p>
    <w:p>
      <w:pPr>
        <w:shd w:val="clear" w:color="auto" w:fill="auto"/>
        <w:ind w:firstLine="420"/>
        <w:outlineLvl w:val="9"/>
        <w:rPr>
          <w:color w:val="auto"/>
          <w:szCs w:val="21"/>
          <w:highlight w:val="none"/>
        </w:rPr>
      </w:pPr>
      <w:r>
        <w:rPr>
          <w:color w:val="auto"/>
          <w:szCs w:val="21"/>
          <w:highlight w:val="none"/>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11.7 行政审批迟延</w:t>
      </w:r>
    </w:p>
    <w:p>
      <w:pPr>
        <w:shd w:val="clear" w:color="auto" w:fill="auto"/>
        <w:ind w:firstLine="420"/>
        <w:outlineLvl w:val="9"/>
        <w:rPr>
          <w:color w:val="auto"/>
          <w:szCs w:val="21"/>
          <w:highlight w:val="none"/>
        </w:rPr>
      </w:pPr>
      <w:r>
        <w:rPr>
          <w:color w:val="auto"/>
          <w:szCs w:val="21"/>
          <w:highlight w:val="none"/>
        </w:rPr>
        <w:t>合同约定范围内的工作需国家有关部门审批的，发包人和（或）承包人应按照合同约定的职责分工完成行政审批报送。因国家有关部门审批迟延造成费用增加和（或）工期延误的，由发包人承担。</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04" w:name="_Toc24086"/>
      <w:bookmarkStart w:id="405" w:name="_Toc144327084"/>
      <w:bookmarkStart w:id="406" w:name="_Toc28514"/>
      <w:r>
        <w:rPr>
          <w:rFonts w:ascii="Times New Roman" w:hAnsi="Times New Roman" w:cs="Times New Roman"/>
          <w:color w:val="auto"/>
          <w:sz w:val="21"/>
          <w:szCs w:val="21"/>
          <w:highlight w:val="none"/>
        </w:rPr>
        <w:t>12．暂停工作</w:t>
      </w:r>
      <w:bookmarkEnd w:id="404"/>
      <w:bookmarkEnd w:id="405"/>
      <w:bookmarkEnd w:id="40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12.1 由发包人暂停工作</w:t>
      </w:r>
    </w:p>
    <w:p>
      <w:pPr>
        <w:shd w:val="clear" w:color="auto" w:fill="auto"/>
        <w:ind w:firstLine="420"/>
        <w:outlineLvl w:val="9"/>
        <w:rPr>
          <w:color w:val="auto"/>
          <w:szCs w:val="21"/>
          <w:highlight w:val="none"/>
        </w:rPr>
      </w:pPr>
      <w:r>
        <w:rPr>
          <w:color w:val="auto"/>
          <w:szCs w:val="21"/>
          <w:highlight w:val="none"/>
        </w:rPr>
        <w:t>12.1.1 发包人认为必要时，可通过监理人向承包人发出暂停工作的指示，承包人应按监理人指示暂停工作。由于发包人原因引起的暂停工作造成工期延误的，承包人有权要求发包人延长工期和（或）增加费用，并支付合理利润。</w:t>
      </w:r>
    </w:p>
    <w:p>
      <w:pPr>
        <w:shd w:val="clear" w:color="auto" w:fill="auto"/>
        <w:ind w:firstLine="420"/>
        <w:outlineLvl w:val="9"/>
        <w:rPr>
          <w:color w:val="auto"/>
          <w:szCs w:val="21"/>
          <w:highlight w:val="none"/>
        </w:rPr>
      </w:pPr>
      <w:r>
        <w:rPr>
          <w:color w:val="auto"/>
          <w:szCs w:val="21"/>
          <w:highlight w:val="none"/>
        </w:rPr>
        <w:t>12.1.2 由于承包人下列原因造成发包人暂停工作的，由此造成费用的增加和（或）工期延误由承包人承担：</w:t>
      </w:r>
    </w:p>
    <w:p>
      <w:pPr>
        <w:shd w:val="clear" w:color="auto" w:fill="auto"/>
        <w:ind w:firstLine="420"/>
        <w:outlineLvl w:val="9"/>
        <w:rPr>
          <w:color w:val="auto"/>
          <w:szCs w:val="21"/>
          <w:highlight w:val="none"/>
        </w:rPr>
      </w:pPr>
      <w:r>
        <w:rPr>
          <w:color w:val="auto"/>
          <w:szCs w:val="21"/>
          <w:highlight w:val="none"/>
        </w:rPr>
        <w:t>（1）承包人违约；</w:t>
      </w:r>
    </w:p>
    <w:p>
      <w:pPr>
        <w:shd w:val="clear" w:color="auto" w:fill="auto"/>
        <w:ind w:firstLine="420"/>
        <w:outlineLvl w:val="9"/>
        <w:rPr>
          <w:color w:val="auto"/>
          <w:szCs w:val="21"/>
          <w:highlight w:val="none"/>
        </w:rPr>
      </w:pPr>
      <w:r>
        <w:rPr>
          <w:color w:val="auto"/>
          <w:szCs w:val="21"/>
          <w:highlight w:val="none"/>
        </w:rPr>
        <w:t>（2）承包人擅自暂停工作；</w:t>
      </w:r>
    </w:p>
    <w:p>
      <w:pPr>
        <w:shd w:val="clear" w:color="auto" w:fill="auto"/>
        <w:ind w:firstLine="420"/>
        <w:outlineLvl w:val="9"/>
        <w:rPr>
          <w:color w:val="auto"/>
          <w:szCs w:val="21"/>
          <w:highlight w:val="none"/>
        </w:rPr>
      </w:pPr>
      <w:r>
        <w:rPr>
          <w:color w:val="auto"/>
          <w:szCs w:val="21"/>
          <w:highlight w:val="none"/>
        </w:rPr>
        <w:t>（3）合同约定由承包人承担责任的其他暂停工作。</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12.2 由承包人暂停工作</w:t>
      </w:r>
    </w:p>
    <w:p>
      <w:pPr>
        <w:shd w:val="clear" w:color="auto" w:fill="auto"/>
        <w:ind w:firstLine="420"/>
        <w:outlineLvl w:val="9"/>
        <w:rPr>
          <w:color w:val="auto"/>
          <w:szCs w:val="21"/>
          <w:highlight w:val="none"/>
        </w:rPr>
      </w:pPr>
      <w:r>
        <w:rPr>
          <w:color w:val="auto"/>
          <w:szCs w:val="21"/>
          <w:highlight w:val="none"/>
        </w:rPr>
        <w:t>12.2.1 合同履行过程中发生下列情形之一的，承包人可向发包人发出通知，要求发包人采取有效措施予以纠正。发包人收到承包人通知后的28天内仍不履行合同义务，承包人有权暂停施工，并通知监理人，发包人应承担由此增加的费用和（或）工期延误责任，并支付承包人合理利润。</w:t>
      </w:r>
    </w:p>
    <w:p>
      <w:pPr>
        <w:shd w:val="clear" w:color="auto" w:fill="auto"/>
        <w:ind w:firstLine="420"/>
        <w:outlineLvl w:val="9"/>
        <w:rPr>
          <w:color w:val="auto"/>
          <w:szCs w:val="21"/>
          <w:highlight w:val="none"/>
        </w:rPr>
      </w:pPr>
      <w:r>
        <w:rPr>
          <w:color w:val="auto"/>
          <w:szCs w:val="21"/>
          <w:highlight w:val="none"/>
        </w:rPr>
        <w:t>（1）发包人</w:t>
      </w:r>
      <w:r>
        <w:rPr>
          <w:rFonts w:hint="eastAsia"/>
          <w:color w:val="auto"/>
          <w:szCs w:val="21"/>
          <w:highlight w:val="none"/>
          <w:lang w:val="en-US" w:eastAsia="zh-CN"/>
        </w:rPr>
        <w:t>无正当理由</w:t>
      </w:r>
      <w:r>
        <w:rPr>
          <w:color w:val="auto"/>
          <w:szCs w:val="21"/>
          <w:highlight w:val="none"/>
        </w:rPr>
        <w:t>未能按合同约定支付价款，或拖延、拒绝批准付款申请和支付证书，导致付款延误的；</w:t>
      </w:r>
    </w:p>
    <w:p>
      <w:pPr>
        <w:shd w:val="clear" w:color="auto" w:fill="auto"/>
        <w:ind w:firstLine="420"/>
        <w:outlineLvl w:val="9"/>
        <w:rPr>
          <w:color w:val="auto"/>
          <w:szCs w:val="21"/>
          <w:highlight w:val="none"/>
        </w:rPr>
      </w:pPr>
      <w:r>
        <w:rPr>
          <w:color w:val="auto"/>
          <w:szCs w:val="21"/>
          <w:highlight w:val="none"/>
        </w:rPr>
        <w:t>（2）监理人无正当理由没有在约定期限内发出复工指示，导致承包人无法复工的；</w:t>
      </w:r>
    </w:p>
    <w:p>
      <w:pPr>
        <w:shd w:val="clear" w:color="auto" w:fill="auto"/>
        <w:ind w:firstLine="420"/>
        <w:outlineLvl w:val="9"/>
        <w:rPr>
          <w:color w:val="auto"/>
          <w:szCs w:val="21"/>
          <w:highlight w:val="none"/>
        </w:rPr>
      </w:pPr>
      <w:r>
        <w:rPr>
          <w:color w:val="auto"/>
          <w:szCs w:val="21"/>
          <w:highlight w:val="none"/>
        </w:rPr>
        <w:t>（3）发包人无法继续履行或明确表示不履行或实质上已停止履行合同的；</w:t>
      </w:r>
    </w:p>
    <w:p>
      <w:pPr>
        <w:shd w:val="clear" w:color="auto" w:fill="auto"/>
        <w:ind w:firstLine="420"/>
        <w:outlineLvl w:val="9"/>
        <w:rPr>
          <w:color w:val="auto"/>
          <w:szCs w:val="21"/>
          <w:highlight w:val="none"/>
        </w:rPr>
      </w:pPr>
      <w:r>
        <w:rPr>
          <w:color w:val="auto"/>
          <w:szCs w:val="21"/>
          <w:highlight w:val="none"/>
        </w:rPr>
        <w:t>（4）发包人不履行合同约定其他义务的。</w:t>
      </w:r>
    </w:p>
    <w:p>
      <w:pPr>
        <w:shd w:val="clear" w:color="auto" w:fill="auto"/>
        <w:ind w:firstLine="420"/>
        <w:outlineLvl w:val="9"/>
        <w:rPr>
          <w:color w:val="auto"/>
          <w:szCs w:val="21"/>
          <w:highlight w:val="none"/>
        </w:rPr>
      </w:pPr>
      <w:r>
        <w:rPr>
          <w:color w:val="auto"/>
          <w:szCs w:val="21"/>
          <w:highlight w:val="none"/>
        </w:rPr>
        <w:t>12.2.2 由于发包人的原因发生暂停施工的紧急情况，且监理人未及时下达暂停工作指示的，承包人可先暂停施工，并及时向监理人提出暂停工作的书面请求。监理人应在收到书面请求后的24小时内予以答复，逾期未答复的，视为同意承包人的暂停工作请求。</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12.3 暂停工作后的照管</w:t>
      </w:r>
    </w:p>
    <w:p>
      <w:pPr>
        <w:shd w:val="clear" w:color="auto" w:fill="auto"/>
        <w:ind w:firstLine="420"/>
        <w:outlineLvl w:val="9"/>
        <w:rPr>
          <w:color w:val="auto"/>
          <w:szCs w:val="21"/>
          <w:highlight w:val="none"/>
        </w:rPr>
      </w:pPr>
      <w:r>
        <w:rPr>
          <w:color w:val="auto"/>
          <w:szCs w:val="21"/>
          <w:highlight w:val="none"/>
        </w:rPr>
        <w:t>不论由于何种原因引起暂停工作的，暂停工作期间，承包人应负责妥善保护工程并提供安全保障，由此增加的费用由责任方承担。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12.4 暂停工作后的复工</w:t>
      </w:r>
    </w:p>
    <w:p>
      <w:pPr>
        <w:shd w:val="clear" w:color="auto" w:fill="auto"/>
        <w:ind w:firstLine="420"/>
        <w:outlineLvl w:val="9"/>
        <w:rPr>
          <w:color w:val="auto"/>
          <w:szCs w:val="21"/>
          <w:highlight w:val="none"/>
        </w:rPr>
      </w:pPr>
      <w:r>
        <w:rPr>
          <w:color w:val="auto"/>
          <w:szCs w:val="21"/>
          <w:highlight w:val="none"/>
        </w:rPr>
        <w:t>12.4.1暂停工作后，监理人应与发包人和承包人协商，采取有效措施积极消除暂停工作的影响。当工程具备复工条件时，监理人应立即向承包人发出复工通知。承包人收到复工通知后，应在监理人指定的期限内复工。</w:t>
      </w:r>
    </w:p>
    <w:p>
      <w:pPr>
        <w:shd w:val="clear" w:color="auto" w:fill="auto"/>
        <w:ind w:firstLine="420"/>
        <w:outlineLvl w:val="9"/>
        <w:rPr>
          <w:color w:val="auto"/>
          <w:szCs w:val="21"/>
          <w:highlight w:val="none"/>
        </w:rPr>
      </w:pPr>
      <w:r>
        <w:rPr>
          <w:color w:val="auto"/>
          <w:szCs w:val="21"/>
          <w:highlight w:val="none"/>
        </w:rPr>
        <w:t>12.4.2承包人无故拖延和拒绝复工的，由此增加的费用和工期延误由承包人承担；因发包人原因无法按时复工的，承包人有权要求发包人延长工期和（或）增加费用，并支付合理利润。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12.5 暂停工作56天以上</w:t>
      </w:r>
    </w:p>
    <w:p>
      <w:pPr>
        <w:shd w:val="clear" w:color="auto" w:fill="auto"/>
        <w:ind w:firstLine="420"/>
        <w:outlineLvl w:val="9"/>
        <w:rPr>
          <w:color w:val="auto"/>
          <w:szCs w:val="21"/>
          <w:highlight w:val="none"/>
        </w:rPr>
      </w:pPr>
      <w:r>
        <w:rPr>
          <w:color w:val="auto"/>
          <w:szCs w:val="21"/>
          <w:highlight w:val="none"/>
        </w:rPr>
        <w:t>12.5.1监理人发出暂停工作指示后56 天内未向承包人发出复工通知的，除该项暂停由于承包人违约造成之外，承包人可向监理人提交书面通知，要求监理人在收到书面通知后28天内准许已暂停工作的全部或部分继续工作。如监理人逾期不予批准，则承包人可以通知监理人，将工程受影响的部分按第15条的约定作为可取消工作的变更处理。暂停工作影响到整个工程的，视为发包人违约，应按第12.2.1项的约定执行，同时承包人有权解除合同。</w:t>
      </w:r>
    </w:p>
    <w:p>
      <w:pPr>
        <w:shd w:val="clear" w:color="auto" w:fill="auto"/>
        <w:ind w:firstLine="420"/>
        <w:outlineLvl w:val="9"/>
        <w:rPr>
          <w:color w:val="auto"/>
          <w:szCs w:val="21"/>
          <w:highlight w:val="none"/>
        </w:rPr>
      </w:pPr>
      <w:r>
        <w:rPr>
          <w:color w:val="auto"/>
          <w:szCs w:val="21"/>
          <w:highlight w:val="none"/>
        </w:rPr>
        <w:t>12.5.2由于承包人原因引起暂停工作的，如承包人在收到监理人暂停工作指示后56 天内不采取有效的复工措施，造成工期延误的，视为承包人违约，应按第12.1.2 项的约定执行。</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07" w:name="_Toc32013"/>
      <w:bookmarkStart w:id="408" w:name="_Toc20361"/>
      <w:bookmarkStart w:id="409" w:name="_Toc144327085"/>
      <w:r>
        <w:rPr>
          <w:rFonts w:ascii="Times New Roman" w:hAnsi="Times New Roman" w:cs="Times New Roman"/>
          <w:color w:val="auto"/>
          <w:sz w:val="21"/>
          <w:szCs w:val="21"/>
          <w:highlight w:val="none"/>
        </w:rPr>
        <w:t>13．工程质量</w:t>
      </w:r>
      <w:bookmarkEnd w:id="407"/>
      <w:bookmarkEnd w:id="408"/>
      <w:bookmarkEnd w:id="409"/>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13.1 工程质量要求</w:t>
      </w:r>
    </w:p>
    <w:p>
      <w:pPr>
        <w:shd w:val="clear" w:color="auto" w:fill="auto"/>
        <w:ind w:firstLine="420"/>
        <w:outlineLvl w:val="9"/>
        <w:rPr>
          <w:color w:val="auto"/>
          <w:szCs w:val="21"/>
          <w:highlight w:val="none"/>
        </w:rPr>
      </w:pPr>
      <w:r>
        <w:rPr>
          <w:color w:val="auto"/>
          <w:szCs w:val="21"/>
          <w:highlight w:val="none"/>
        </w:rPr>
        <w:t>13.1.1 工程质量验收按法律规定和合同约定的验收标准执行。</w:t>
      </w:r>
    </w:p>
    <w:p>
      <w:pPr>
        <w:shd w:val="clear" w:color="auto" w:fill="auto"/>
        <w:ind w:firstLine="420"/>
        <w:outlineLvl w:val="9"/>
        <w:rPr>
          <w:color w:val="auto"/>
          <w:szCs w:val="21"/>
          <w:highlight w:val="none"/>
        </w:rPr>
      </w:pPr>
      <w:r>
        <w:rPr>
          <w:color w:val="auto"/>
          <w:szCs w:val="21"/>
          <w:highlight w:val="none"/>
        </w:rPr>
        <w:t>13.1.2 因承包人原因造成工程质量不符合法律的规定和合同约定的，监理人有权要求承包人返工直至符合合同要求为止，由此造成的费用增加和（或）工期延误由承包人承担。</w:t>
      </w:r>
    </w:p>
    <w:p>
      <w:pPr>
        <w:shd w:val="clear" w:color="auto" w:fill="auto"/>
        <w:ind w:firstLine="420"/>
        <w:outlineLvl w:val="9"/>
        <w:rPr>
          <w:color w:val="auto"/>
          <w:szCs w:val="21"/>
          <w:highlight w:val="none"/>
        </w:rPr>
      </w:pPr>
      <w:r>
        <w:rPr>
          <w:color w:val="auto"/>
          <w:szCs w:val="21"/>
          <w:highlight w:val="none"/>
        </w:rPr>
        <w:t>13.1.3 因发包人原因造成工程质量达不到合同约定验收标准的，发包人应承担由于承包人返工造成的费用增加和（或）工期延误，并支付承包人合理利润。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13.2 承包人的质量检查</w:t>
      </w:r>
    </w:p>
    <w:p>
      <w:pPr>
        <w:shd w:val="clear" w:color="auto" w:fill="auto"/>
        <w:ind w:firstLine="420"/>
        <w:outlineLvl w:val="9"/>
        <w:rPr>
          <w:color w:val="auto"/>
          <w:szCs w:val="21"/>
          <w:highlight w:val="none"/>
        </w:rPr>
      </w:pPr>
      <w:r>
        <w:rPr>
          <w:color w:val="auto"/>
          <w:szCs w:val="21"/>
          <w:highlight w:val="none"/>
        </w:rPr>
        <w:t>承包人应按合同约定对设计、材料、工程设备以及全部工程内容及其施工工艺进行全过程的质量检查和检验，并作详细记录，编制工程质量报表，报送监理人审查。</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13.3 监理人的质量检查</w:t>
      </w:r>
    </w:p>
    <w:p>
      <w:pPr>
        <w:shd w:val="clear" w:color="auto" w:fill="auto"/>
        <w:ind w:firstLine="420"/>
        <w:outlineLvl w:val="9"/>
        <w:rPr>
          <w:color w:val="auto"/>
          <w:szCs w:val="21"/>
          <w:highlight w:val="none"/>
        </w:rPr>
      </w:pPr>
      <w:r>
        <w:rPr>
          <w:color w:val="auto"/>
          <w:szCs w:val="21"/>
          <w:highlight w:val="none"/>
        </w:rPr>
        <w:t>监理人有权对全部工程内容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13.4 工程隐蔽部位覆盖前的检查</w:t>
      </w:r>
    </w:p>
    <w:p>
      <w:pPr>
        <w:shd w:val="clear" w:color="auto" w:fill="auto"/>
        <w:ind w:firstLine="420"/>
        <w:outlineLvl w:val="9"/>
        <w:rPr>
          <w:color w:val="auto"/>
          <w:szCs w:val="21"/>
          <w:highlight w:val="none"/>
        </w:rPr>
      </w:pPr>
      <w:r>
        <w:rPr>
          <w:color w:val="auto"/>
          <w:szCs w:val="21"/>
          <w:highlight w:val="none"/>
        </w:rPr>
        <w:t>13.4.1 通知监理人检查</w:t>
      </w:r>
    </w:p>
    <w:p>
      <w:pPr>
        <w:shd w:val="clear" w:color="auto" w:fill="auto"/>
        <w:ind w:firstLine="420"/>
        <w:outlineLvl w:val="9"/>
        <w:rPr>
          <w:color w:val="auto"/>
          <w:szCs w:val="21"/>
          <w:highlight w:val="none"/>
        </w:rPr>
      </w:pPr>
      <w:r>
        <w:rPr>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hd w:val="clear" w:color="auto" w:fill="auto"/>
        <w:ind w:firstLine="420"/>
        <w:outlineLvl w:val="9"/>
        <w:rPr>
          <w:color w:val="auto"/>
          <w:szCs w:val="21"/>
          <w:highlight w:val="none"/>
        </w:rPr>
      </w:pPr>
      <w:r>
        <w:rPr>
          <w:color w:val="auto"/>
          <w:szCs w:val="21"/>
          <w:highlight w:val="none"/>
        </w:rPr>
        <w:t>13.4.2 监理人未到场检查</w:t>
      </w:r>
    </w:p>
    <w:p>
      <w:pPr>
        <w:shd w:val="clear" w:color="auto" w:fill="auto"/>
        <w:ind w:firstLine="420"/>
        <w:outlineLvl w:val="9"/>
        <w:rPr>
          <w:color w:val="auto"/>
          <w:szCs w:val="21"/>
          <w:highlight w:val="none"/>
        </w:rPr>
      </w:pPr>
      <w:r>
        <w:rPr>
          <w:color w:val="auto"/>
          <w:szCs w:val="21"/>
          <w:highlight w:val="none"/>
        </w:rPr>
        <w:t>监理人未按第13.4.l 项约定的时间进行检查的，除监理人另有指示外，承包人可自行完成覆盖工作，并作相应记录报送监理人，监理人应签字确认。监理人事后对检查记录有疑问的，可按第13.4.3 项的约定重新检查。</w:t>
      </w:r>
    </w:p>
    <w:p>
      <w:pPr>
        <w:shd w:val="clear" w:color="auto" w:fill="auto"/>
        <w:ind w:firstLine="420"/>
        <w:outlineLvl w:val="9"/>
        <w:rPr>
          <w:color w:val="auto"/>
          <w:szCs w:val="21"/>
          <w:highlight w:val="none"/>
        </w:rPr>
      </w:pPr>
      <w:r>
        <w:rPr>
          <w:color w:val="auto"/>
          <w:szCs w:val="21"/>
          <w:highlight w:val="none"/>
        </w:rPr>
        <w:t>13.4.3 监理人重新检查</w:t>
      </w:r>
    </w:p>
    <w:p>
      <w:pPr>
        <w:shd w:val="clear" w:color="auto" w:fill="auto"/>
        <w:ind w:firstLine="420"/>
        <w:outlineLvl w:val="9"/>
        <w:rPr>
          <w:color w:val="auto"/>
          <w:szCs w:val="21"/>
          <w:highlight w:val="none"/>
        </w:rPr>
      </w:pPr>
      <w:r>
        <w:rPr>
          <w:color w:val="auto"/>
          <w:szCs w:val="21"/>
          <w:highlight w:val="none"/>
        </w:rPr>
        <w:t>承包人按第13.4.1 项或第13.4.2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hd w:val="clear" w:color="auto" w:fill="auto"/>
        <w:ind w:firstLine="420"/>
        <w:outlineLvl w:val="9"/>
        <w:rPr>
          <w:color w:val="auto"/>
          <w:szCs w:val="21"/>
          <w:highlight w:val="none"/>
        </w:rPr>
      </w:pPr>
      <w:r>
        <w:rPr>
          <w:color w:val="auto"/>
          <w:szCs w:val="21"/>
          <w:highlight w:val="none"/>
        </w:rPr>
        <w:t>13.4.4 承包人私自覆盖</w:t>
      </w:r>
    </w:p>
    <w:p>
      <w:pPr>
        <w:shd w:val="clear" w:color="auto" w:fill="auto"/>
        <w:ind w:firstLine="420"/>
        <w:outlineLvl w:val="9"/>
        <w:rPr>
          <w:color w:val="auto"/>
          <w:szCs w:val="21"/>
          <w:highlight w:val="none"/>
        </w:rPr>
      </w:pPr>
      <w:r>
        <w:rPr>
          <w:color w:val="auto"/>
          <w:szCs w:val="21"/>
          <w:highlight w:val="none"/>
        </w:rPr>
        <w:t>承包人未通知监理人到场检查，私自将工程隐蔽部位覆盖的，监理人有权指示承包人钻孔探测或揭开检查，由此增加的费用和（或）工期延误由承包人承担。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13.5 清除不合格工程</w:t>
      </w:r>
    </w:p>
    <w:p>
      <w:pPr>
        <w:shd w:val="clear" w:color="auto" w:fill="auto"/>
        <w:ind w:firstLine="420"/>
        <w:outlineLvl w:val="9"/>
        <w:rPr>
          <w:color w:val="auto"/>
          <w:szCs w:val="21"/>
          <w:highlight w:val="none"/>
        </w:rPr>
      </w:pPr>
      <w:r>
        <w:rPr>
          <w:color w:val="auto"/>
          <w:szCs w:val="21"/>
          <w:highlight w:val="none"/>
        </w:rPr>
        <w:t>13.5.1 因承包人设计失误，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hd w:val="clear" w:color="auto" w:fill="auto"/>
        <w:ind w:firstLine="420"/>
        <w:outlineLvl w:val="9"/>
        <w:rPr>
          <w:color w:val="auto"/>
          <w:szCs w:val="21"/>
          <w:highlight w:val="none"/>
        </w:rPr>
      </w:pPr>
      <w:r>
        <w:rPr>
          <w:color w:val="auto"/>
          <w:szCs w:val="21"/>
          <w:highlight w:val="none"/>
        </w:rPr>
        <w:t>13.5.2 由于发包人提供的材料或工程设备不合格造成的工程不合格，需要承包人采取措施补救的，发包人应承担由此增加的费用和（或）工期延误，并支付承包人合理利润。</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10" w:name="_Toc29986"/>
      <w:bookmarkStart w:id="411" w:name="_Toc18588"/>
      <w:bookmarkStart w:id="412" w:name="_Toc144327086"/>
      <w:r>
        <w:rPr>
          <w:rFonts w:ascii="Times New Roman" w:hAnsi="Times New Roman" w:cs="Times New Roman"/>
          <w:color w:val="auto"/>
          <w:sz w:val="21"/>
          <w:szCs w:val="21"/>
          <w:highlight w:val="none"/>
        </w:rPr>
        <w:t>14．试验和检验</w:t>
      </w:r>
      <w:bookmarkEnd w:id="410"/>
      <w:bookmarkEnd w:id="411"/>
      <w:bookmarkEnd w:id="412"/>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14.1 材料、工程设备和工程的试验和检验</w:t>
      </w:r>
    </w:p>
    <w:p>
      <w:pPr>
        <w:shd w:val="clear" w:color="auto" w:fill="auto"/>
        <w:ind w:firstLine="420"/>
        <w:outlineLvl w:val="9"/>
        <w:rPr>
          <w:color w:val="auto"/>
          <w:szCs w:val="21"/>
          <w:highlight w:val="none"/>
        </w:rPr>
      </w:pPr>
      <w:r>
        <w:rPr>
          <w:color w:val="auto"/>
          <w:szCs w:val="21"/>
          <w:highlight w:val="none"/>
        </w:rPr>
        <w:t>14.1.1 本款适用于竣工试验之前的试验和检验。</w:t>
      </w:r>
    </w:p>
    <w:p>
      <w:pPr>
        <w:shd w:val="clear" w:color="auto" w:fill="auto"/>
        <w:ind w:firstLine="420"/>
        <w:outlineLvl w:val="9"/>
        <w:rPr>
          <w:color w:val="auto"/>
          <w:szCs w:val="21"/>
          <w:highlight w:val="none"/>
        </w:rPr>
      </w:pPr>
      <w:r>
        <w:rPr>
          <w:color w:val="auto"/>
          <w:szCs w:val="21"/>
          <w:highlight w:val="none"/>
        </w:rPr>
        <w:t>14.1.2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hd w:val="clear" w:color="auto" w:fill="auto"/>
        <w:ind w:firstLine="420"/>
        <w:outlineLvl w:val="9"/>
        <w:rPr>
          <w:color w:val="auto"/>
          <w:szCs w:val="21"/>
          <w:highlight w:val="none"/>
        </w:rPr>
      </w:pPr>
      <w:r>
        <w:rPr>
          <w:color w:val="auto"/>
          <w:szCs w:val="21"/>
          <w:highlight w:val="none"/>
        </w:rPr>
        <w:t>14.1.3 监理人未按合同约定派员参加试验和检验的，除监理人另有指示外，承包人可自行试验和检验，并应立即将试验和检验结果报送监理人，监理人应签字确认。</w:t>
      </w:r>
    </w:p>
    <w:p>
      <w:pPr>
        <w:shd w:val="clear" w:color="auto" w:fill="auto"/>
        <w:ind w:firstLine="420"/>
        <w:outlineLvl w:val="9"/>
        <w:rPr>
          <w:color w:val="auto"/>
          <w:szCs w:val="21"/>
          <w:highlight w:val="none"/>
        </w:rPr>
      </w:pPr>
      <w:r>
        <w:rPr>
          <w:color w:val="auto"/>
          <w:szCs w:val="21"/>
          <w:highlight w:val="none"/>
        </w:rPr>
        <w:t>14.1.4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14.2 现场材料试验</w:t>
      </w:r>
    </w:p>
    <w:p>
      <w:pPr>
        <w:shd w:val="clear" w:color="auto" w:fill="auto"/>
        <w:ind w:firstLine="420"/>
        <w:outlineLvl w:val="9"/>
        <w:rPr>
          <w:color w:val="auto"/>
          <w:szCs w:val="21"/>
          <w:highlight w:val="none"/>
        </w:rPr>
      </w:pPr>
      <w:r>
        <w:rPr>
          <w:color w:val="auto"/>
          <w:szCs w:val="21"/>
          <w:highlight w:val="none"/>
        </w:rPr>
        <w:t>14.2.1 承包人根据合同约定或监理人指示进行的现场材料试验，应由承包人提供试验场所、试验人员、试验设备器材以及其他必要的试验条件。</w:t>
      </w:r>
    </w:p>
    <w:p>
      <w:pPr>
        <w:shd w:val="clear" w:color="auto" w:fill="auto"/>
        <w:ind w:firstLine="420"/>
        <w:outlineLvl w:val="9"/>
        <w:rPr>
          <w:color w:val="auto"/>
          <w:szCs w:val="21"/>
          <w:highlight w:val="none"/>
        </w:rPr>
      </w:pPr>
      <w:r>
        <w:rPr>
          <w:color w:val="auto"/>
          <w:szCs w:val="21"/>
          <w:highlight w:val="none"/>
        </w:rPr>
        <w:t>14.2.2 监理人在必要时可以使用承包人的试验场所、试验设备器材以及其他试验条件，进行以工程质量检查为目的的复核性材料试验，承包人应予以协助。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14.3 现场工艺试验</w:t>
      </w:r>
    </w:p>
    <w:p>
      <w:pPr>
        <w:shd w:val="clear" w:color="auto" w:fill="auto"/>
        <w:ind w:firstLine="420"/>
        <w:outlineLvl w:val="9"/>
        <w:rPr>
          <w:color w:val="auto"/>
          <w:szCs w:val="21"/>
          <w:highlight w:val="none"/>
        </w:rPr>
      </w:pPr>
      <w:r>
        <w:rPr>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承包人应按合同约定或监理人指示进行现场工艺试验。对大型的现场工艺试验，监理人认为必要时，应由承包人根据监理人提出的工艺试验要求，编制工艺试验措施计划，报送监理人批准。</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13" w:name="_Toc27495"/>
      <w:bookmarkStart w:id="414" w:name="_Toc13820"/>
      <w:bookmarkStart w:id="415" w:name="_Toc144327087"/>
      <w:r>
        <w:rPr>
          <w:rFonts w:ascii="Times New Roman" w:hAnsi="Times New Roman" w:cs="Times New Roman"/>
          <w:color w:val="auto"/>
          <w:sz w:val="21"/>
          <w:szCs w:val="21"/>
          <w:highlight w:val="none"/>
        </w:rPr>
        <w:t>15．变更</w:t>
      </w:r>
      <w:bookmarkEnd w:id="413"/>
      <w:bookmarkEnd w:id="414"/>
      <w:bookmarkEnd w:id="415"/>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15.1 变更权</w:t>
      </w:r>
    </w:p>
    <w:p>
      <w:pPr>
        <w:shd w:val="clear" w:color="auto" w:fill="auto"/>
        <w:ind w:firstLine="420"/>
        <w:outlineLvl w:val="9"/>
        <w:rPr>
          <w:color w:val="auto"/>
          <w:szCs w:val="21"/>
          <w:highlight w:val="none"/>
        </w:rPr>
      </w:pPr>
      <w:r>
        <w:rPr>
          <w:color w:val="auto"/>
          <w:szCs w:val="21"/>
          <w:highlight w:val="none"/>
        </w:rPr>
        <w:t>在履行合同过程中，经发包人同意，监理人可按第15.3 款约定的变更程序向承包人作出有关发包人要求改变的变更指示，承包人应遵照执行。变更应在相应内容实施前提出，否则发包人应承担承包人损失。没有监理人的变更指示，承包人不得擅自变更。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15.2 承包人的合理化建议</w:t>
      </w:r>
    </w:p>
    <w:p>
      <w:pPr>
        <w:shd w:val="clear" w:color="auto" w:fill="auto"/>
        <w:ind w:firstLine="420"/>
        <w:outlineLvl w:val="9"/>
        <w:rPr>
          <w:color w:val="auto"/>
          <w:szCs w:val="21"/>
          <w:highlight w:val="none"/>
        </w:rPr>
      </w:pPr>
      <w:r>
        <w:rPr>
          <w:color w:val="auto"/>
          <w:szCs w:val="21"/>
          <w:highlight w:val="none"/>
        </w:rPr>
        <w:t>15.2.1 在履行合同过程中，承包人对发包人要求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款约定向承包人发出变更指示。</w:t>
      </w:r>
    </w:p>
    <w:p>
      <w:pPr>
        <w:shd w:val="clear" w:color="auto" w:fill="auto"/>
        <w:ind w:firstLine="420"/>
        <w:outlineLvl w:val="9"/>
        <w:rPr>
          <w:color w:val="auto"/>
          <w:szCs w:val="21"/>
          <w:highlight w:val="none"/>
        </w:rPr>
      </w:pPr>
      <w:r>
        <w:rPr>
          <w:color w:val="auto"/>
          <w:szCs w:val="21"/>
          <w:highlight w:val="none"/>
        </w:rPr>
        <w:t>15.2.2 承包人提出的合理化建议降低了合同价格、缩短了工期或者提高了工程经济效益的，发包人可按国家有关规定在专用合同条款中约定给予奖励。</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15.3 变更程序</w:t>
      </w:r>
    </w:p>
    <w:p>
      <w:pPr>
        <w:shd w:val="clear" w:color="auto" w:fill="auto"/>
        <w:ind w:firstLine="420"/>
        <w:outlineLvl w:val="9"/>
        <w:rPr>
          <w:color w:val="auto"/>
          <w:szCs w:val="21"/>
          <w:highlight w:val="none"/>
        </w:rPr>
      </w:pPr>
      <w:r>
        <w:rPr>
          <w:color w:val="auto"/>
          <w:szCs w:val="21"/>
          <w:highlight w:val="none"/>
        </w:rPr>
        <w:t>15.3.1 变更的提出</w:t>
      </w:r>
    </w:p>
    <w:p>
      <w:pPr>
        <w:shd w:val="clear" w:color="auto" w:fill="auto"/>
        <w:ind w:firstLine="420"/>
        <w:outlineLvl w:val="9"/>
        <w:rPr>
          <w:color w:val="auto"/>
          <w:szCs w:val="21"/>
          <w:highlight w:val="none"/>
        </w:rPr>
      </w:pPr>
      <w:r>
        <w:rPr>
          <w:color w:val="auto"/>
          <w:szCs w:val="21"/>
          <w:highlight w:val="none"/>
        </w:rPr>
        <w:t>（1）在合同履行过程中，监理人可向承包人发出变更意向书。变更意向书应说明变更的具体内容和发包人对变更的时间要求，并附必要的相关资料。变更意向书应要求承包人提交包括拟实施变更工作的设计和计划、措施和竣工时间等内容的实施方案。发包人同意承包人根据变更意向书要求提交的变更实施方案的，由监理人按第15.3.3 项约定发出变更指示。</w:t>
      </w:r>
    </w:p>
    <w:p>
      <w:pPr>
        <w:shd w:val="clear" w:color="auto" w:fill="auto"/>
        <w:ind w:firstLine="420"/>
        <w:outlineLvl w:val="9"/>
        <w:rPr>
          <w:color w:val="auto"/>
          <w:szCs w:val="21"/>
          <w:highlight w:val="none"/>
        </w:rPr>
      </w:pPr>
      <w:r>
        <w:rPr>
          <w:color w:val="auto"/>
          <w:szCs w:val="21"/>
          <w:highlight w:val="none"/>
        </w:rPr>
        <w:t>（2）承包人收到监理人按合同约定发出的文件，经检查认为其中存在对发包人要求变更情形的，可向监理人提出书面变更建议。变更建议应阐明要求变更的依据，以及实施该变更工作对合同价款和工期的影响，并附必要的图纸和说明。监理人收到承包人书面建议后，应与发包人共同研究，确认存在变更的，应在收到承包人书面建议后的14 天内作出变更指示。经研究后不同意作为变更的，应由监理人书面答复承包人。</w:t>
      </w:r>
    </w:p>
    <w:p>
      <w:pPr>
        <w:shd w:val="clear" w:color="auto" w:fill="auto"/>
        <w:ind w:firstLine="420"/>
        <w:outlineLvl w:val="9"/>
        <w:rPr>
          <w:color w:val="auto"/>
          <w:szCs w:val="21"/>
          <w:highlight w:val="none"/>
        </w:rPr>
      </w:pPr>
      <w:r>
        <w:rPr>
          <w:color w:val="auto"/>
          <w:szCs w:val="21"/>
          <w:highlight w:val="none"/>
        </w:rPr>
        <w:t>（3）承包人收到监理人的变更意向书后认为难以实施此项变更的，应立即通知监理人，说明原因并附详细依据。监理人与承包人和发包人协商后确定撤销、改变或不改变原变更意向书。</w:t>
      </w:r>
    </w:p>
    <w:p>
      <w:pPr>
        <w:shd w:val="clear" w:color="auto" w:fill="auto"/>
        <w:ind w:firstLine="420"/>
        <w:outlineLvl w:val="9"/>
        <w:rPr>
          <w:color w:val="auto"/>
          <w:szCs w:val="21"/>
          <w:highlight w:val="none"/>
        </w:rPr>
      </w:pPr>
      <w:r>
        <w:rPr>
          <w:color w:val="auto"/>
          <w:szCs w:val="21"/>
          <w:highlight w:val="none"/>
        </w:rPr>
        <w:t>15.3.2 变更估价</w:t>
      </w:r>
    </w:p>
    <w:p>
      <w:pPr>
        <w:shd w:val="clear" w:color="auto" w:fill="auto"/>
        <w:ind w:firstLine="420"/>
        <w:outlineLvl w:val="9"/>
        <w:rPr>
          <w:color w:val="auto"/>
          <w:szCs w:val="21"/>
          <w:highlight w:val="none"/>
        </w:rPr>
      </w:pPr>
      <w:r>
        <w:rPr>
          <w:color w:val="auto"/>
          <w:szCs w:val="21"/>
          <w:highlight w:val="none"/>
        </w:rPr>
        <w:t>监理人应按照第3.5 款商定或确定变更价格。变更价格应包括合理的利润，并应考虑承包人根据第15.2款提出的合理化建议。</w:t>
      </w:r>
    </w:p>
    <w:p>
      <w:pPr>
        <w:shd w:val="clear" w:color="auto" w:fill="auto"/>
        <w:ind w:firstLine="420"/>
        <w:outlineLvl w:val="9"/>
        <w:rPr>
          <w:color w:val="auto"/>
          <w:szCs w:val="21"/>
          <w:highlight w:val="none"/>
        </w:rPr>
      </w:pPr>
      <w:r>
        <w:rPr>
          <w:color w:val="auto"/>
          <w:szCs w:val="21"/>
          <w:highlight w:val="none"/>
        </w:rPr>
        <w:t>15.3.3 变更指示</w:t>
      </w:r>
    </w:p>
    <w:p>
      <w:pPr>
        <w:shd w:val="clear" w:color="auto" w:fill="auto"/>
        <w:ind w:firstLine="420"/>
        <w:outlineLvl w:val="9"/>
        <w:rPr>
          <w:color w:val="auto"/>
          <w:szCs w:val="21"/>
          <w:highlight w:val="none"/>
        </w:rPr>
      </w:pPr>
      <w:r>
        <w:rPr>
          <w:color w:val="auto"/>
          <w:szCs w:val="21"/>
          <w:highlight w:val="none"/>
        </w:rPr>
        <w:t>（1）变更指示只能由监理人发出。</w:t>
      </w:r>
    </w:p>
    <w:p>
      <w:pPr>
        <w:shd w:val="clear" w:color="auto" w:fill="auto"/>
        <w:ind w:firstLine="420"/>
        <w:outlineLvl w:val="9"/>
        <w:rPr>
          <w:color w:val="auto"/>
          <w:szCs w:val="21"/>
          <w:highlight w:val="none"/>
        </w:rPr>
      </w:pPr>
      <w:r>
        <w:rPr>
          <w:color w:val="auto"/>
          <w:szCs w:val="21"/>
          <w:highlight w:val="none"/>
        </w:rPr>
        <w:t>（2）变更指示应说明变更的目的、范围、变更内容以及变更的工程量及其进度和技术要求，并附有关图纸和文件。承包人收到变更指示后，应按变更指示进行变更工作。</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15.4 暂列金额</w:t>
      </w:r>
    </w:p>
    <w:p>
      <w:pPr>
        <w:shd w:val="clear" w:color="auto" w:fill="auto"/>
        <w:ind w:firstLine="420"/>
        <w:outlineLvl w:val="9"/>
        <w:rPr>
          <w:color w:val="auto"/>
          <w:szCs w:val="21"/>
          <w:highlight w:val="none"/>
        </w:rPr>
      </w:pPr>
      <w:r>
        <w:rPr>
          <w:color w:val="auto"/>
          <w:szCs w:val="21"/>
          <w:highlight w:val="none"/>
        </w:rPr>
        <w:t>经发包人同意，承包人可使用暂列金额，但应按照第15.6款规定的程序进行，并对合同价格进行相应调整。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15.5 计日工（A）</w:t>
      </w:r>
    </w:p>
    <w:p>
      <w:pPr>
        <w:shd w:val="clear" w:color="auto" w:fill="auto"/>
        <w:ind w:firstLine="420"/>
        <w:outlineLvl w:val="9"/>
        <w:rPr>
          <w:color w:val="auto"/>
          <w:szCs w:val="21"/>
          <w:highlight w:val="none"/>
        </w:rPr>
      </w:pPr>
      <w:r>
        <w:rPr>
          <w:color w:val="auto"/>
          <w:szCs w:val="21"/>
          <w:highlight w:val="none"/>
        </w:rPr>
        <w:t>15.5.1 发包人认为有必要时，由监理人通知承包人以计日工方式实施变更的零星工作。其价款按列入合同中的计日工计价子目及其单价进行计算。</w:t>
      </w:r>
    </w:p>
    <w:p>
      <w:pPr>
        <w:shd w:val="clear" w:color="auto" w:fill="auto"/>
        <w:ind w:firstLine="420"/>
        <w:outlineLvl w:val="9"/>
        <w:rPr>
          <w:color w:val="auto"/>
          <w:szCs w:val="21"/>
          <w:highlight w:val="none"/>
        </w:rPr>
      </w:pPr>
      <w:r>
        <w:rPr>
          <w:color w:val="auto"/>
          <w:szCs w:val="21"/>
          <w:highlight w:val="none"/>
        </w:rPr>
        <w:t>15.5.2 采用计日工计价的任何一项变更工作，应从暂列金额中支付，承包人应在该项变更的实施过程中，每天提交以下报表和有关凭证报送监理人批准：</w:t>
      </w:r>
    </w:p>
    <w:p>
      <w:pPr>
        <w:shd w:val="clear" w:color="auto" w:fill="auto"/>
        <w:ind w:firstLine="420"/>
        <w:outlineLvl w:val="9"/>
        <w:rPr>
          <w:color w:val="auto"/>
          <w:szCs w:val="21"/>
          <w:highlight w:val="none"/>
        </w:rPr>
      </w:pPr>
      <w:r>
        <w:rPr>
          <w:color w:val="auto"/>
          <w:szCs w:val="21"/>
          <w:highlight w:val="none"/>
        </w:rPr>
        <w:t>（1）工作名称、内容和数量；</w:t>
      </w:r>
    </w:p>
    <w:p>
      <w:pPr>
        <w:shd w:val="clear" w:color="auto" w:fill="auto"/>
        <w:ind w:firstLine="420"/>
        <w:outlineLvl w:val="9"/>
        <w:rPr>
          <w:color w:val="auto"/>
          <w:szCs w:val="21"/>
          <w:highlight w:val="none"/>
        </w:rPr>
      </w:pPr>
      <w:r>
        <w:rPr>
          <w:color w:val="auto"/>
          <w:szCs w:val="21"/>
          <w:highlight w:val="none"/>
        </w:rPr>
        <w:t>（2）投入该工作所有人员的姓名、专业/工种、级别和耗用工时；</w:t>
      </w:r>
    </w:p>
    <w:p>
      <w:pPr>
        <w:shd w:val="clear" w:color="auto" w:fill="auto"/>
        <w:ind w:firstLine="420"/>
        <w:outlineLvl w:val="9"/>
        <w:rPr>
          <w:color w:val="auto"/>
          <w:szCs w:val="21"/>
          <w:highlight w:val="none"/>
        </w:rPr>
      </w:pPr>
      <w:r>
        <w:rPr>
          <w:color w:val="auto"/>
          <w:szCs w:val="21"/>
          <w:highlight w:val="none"/>
        </w:rPr>
        <w:t>（3）投入该工作的材料类别和数量；</w:t>
      </w:r>
    </w:p>
    <w:p>
      <w:pPr>
        <w:shd w:val="clear" w:color="auto" w:fill="auto"/>
        <w:ind w:firstLine="420"/>
        <w:outlineLvl w:val="9"/>
        <w:rPr>
          <w:color w:val="auto"/>
          <w:szCs w:val="21"/>
          <w:highlight w:val="none"/>
        </w:rPr>
      </w:pPr>
      <w:r>
        <w:rPr>
          <w:color w:val="auto"/>
          <w:szCs w:val="21"/>
          <w:highlight w:val="none"/>
        </w:rPr>
        <w:t>（4）投入该工作的施工设备型号、台数和耗用台时；</w:t>
      </w:r>
    </w:p>
    <w:p>
      <w:pPr>
        <w:shd w:val="clear" w:color="auto" w:fill="auto"/>
        <w:ind w:firstLine="420"/>
        <w:outlineLvl w:val="9"/>
        <w:rPr>
          <w:color w:val="auto"/>
          <w:szCs w:val="21"/>
          <w:highlight w:val="none"/>
        </w:rPr>
      </w:pPr>
      <w:r>
        <w:rPr>
          <w:color w:val="auto"/>
          <w:szCs w:val="21"/>
          <w:highlight w:val="none"/>
        </w:rPr>
        <w:t>（5）监理人要求提交的其他资料和凭证。</w:t>
      </w:r>
    </w:p>
    <w:p>
      <w:pPr>
        <w:shd w:val="clear" w:color="auto" w:fill="auto"/>
        <w:ind w:firstLine="420"/>
        <w:outlineLvl w:val="9"/>
        <w:rPr>
          <w:color w:val="auto"/>
          <w:szCs w:val="21"/>
          <w:highlight w:val="none"/>
        </w:rPr>
      </w:pPr>
      <w:r>
        <w:rPr>
          <w:color w:val="auto"/>
          <w:szCs w:val="21"/>
          <w:highlight w:val="none"/>
        </w:rPr>
        <w:t>15.5.3 计日工由承包人汇总后，按第17.3.3 项的约定列入进度付款申请单，由监理人复核并经发包人同意后列入进度付款。</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15.5 计日工（B）</w:t>
      </w:r>
    </w:p>
    <w:p>
      <w:pPr>
        <w:shd w:val="clear" w:color="auto" w:fill="auto"/>
        <w:ind w:firstLine="420"/>
        <w:outlineLvl w:val="9"/>
        <w:rPr>
          <w:color w:val="auto"/>
          <w:szCs w:val="21"/>
          <w:highlight w:val="none"/>
        </w:rPr>
      </w:pPr>
      <w:r>
        <w:rPr>
          <w:color w:val="auto"/>
          <w:szCs w:val="21"/>
          <w:highlight w:val="none"/>
        </w:rPr>
        <w:t>签约合同价包括计日工的，按合同约定进行支付。</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15.6 暂估价（A）</w:t>
      </w:r>
    </w:p>
    <w:p>
      <w:pPr>
        <w:shd w:val="clear" w:color="auto" w:fill="auto"/>
        <w:ind w:firstLine="420"/>
        <w:outlineLvl w:val="9"/>
        <w:rPr>
          <w:color w:val="auto"/>
          <w:szCs w:val="21"/>
          <w:highlight w:val="none"/>
        </w:rPr>
      </w:pPr>
      <w:r>
        <w:rPr>
          <w:color w:val="auto"/>
          <w:szCs w:val="21"/>
          <w:highlight w:val="none"/>
        </w:rPr>
        <w:t>15.6.1 发包人在价格清单中给定暂估价的专业服务、材料、工程设备和专业工程属于依法必须招标的范围并达到规定的规模标准的，由发包人和承包人以招标的方式选择供应商或分包人。发包人和承包人的权利义务关系在专用合同条款中约定。中标金额与价格清单中所列的暂估价的金额差以及相应的税金等其他费用列入合同价格。</w:t>
      </w:r>
    </w:p>
    <w:p>
      <w:pPr>
        <w:shd w:val="clear" w:color="auto" w:fill="auto"/>
        <w:ind w:firstLine="420"/>
        <w:outlineLvl w:val="9"/>
        <w:rPr>
          <w:color w:val="auto"/>
          <w:szCs w:val="21"/>
          <w:highlight w:val="none"/>
        </w:rPr>
      </w:pPr>
      <w:r>
        <w:rPr>
          <w:color w:val="auto"/>
          <w:szCs w:val="21"/>
          <w:highlight w:val="none"/>
        </w:rPr>
        <w:t>15.6.2 发包人在价格清单中给定暂估价的专业服务、材料和工程设备不属于依法必须招标的范围或未达到规定的规模标准的，应由承包人按第6.1 款的约定提供。经监理人确认的专业服务、材料、工程设备的价格与价格清单中所列的暂估价的金额差以及相应的税金等其他费用列入合同价格。</w:t>
      </w:r>
    </w:p>
    <w:p>
      <w:pPr>
        <w:shd w:val="clear" w:color="auto" w:fill="auto"/>
        <w:ind w:firstLine="420"/>
        <w:outlineLvl w:val="9"/>
        <w:rPr>
          <w:color w:val="auto"/>
          <w:szCs w:val="21"/>
          <w:highlight w:val="none"/>
        </w:rPr>
      </w:pPr>
      <w:r>
        <w:rPr>
          <w:color w:val="auto"/>
          <w:szCs w:val="21"/>
          <w:highlight w:val="none"/>
        </w:rPr>
        <w:t>15.6.3 发包人在价格清单中给定暂估价的专业工程不属于依法必须招标的范围或未达到规定的规模标准的，由监理人按照第15.3.2项进行估价，但专用合同条款另有约定的除外。经估价的专业工程与价格清单中所列的暂估价的金额差以及相应的税金等其他费用列入合同价格。</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15.6 暂估价（B）</w:t>
      </w:r>
    </w:p>
    <w:p>
      <w:pPr>
        <w:shd w:val="clear" w:color="auto" w:fill="auto"/>
        <w:ind w:firstLine="420"/>
        <w:outlineLvl w:val="9"/>
        <w:rPr>
          <w:color w:val="auto"/>
          <w:szCs w:val="21"/>
          <w:highlight w:val="none"/>
        </w:rPr>
      </w:pPr>
      <w:r>
        <w:rPr>
          <w:color w:val="auto"/>
          <w:szCs w:val="21"/>
          <w:highlight w:val="none"/>
        </w:rPr>
        <w:t>签约合同价包括暂估价的，按合同约定进行支付。</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16" w:name="_Toc144327088"/>
      <w:bookmarkStart w:id="417" w:name="_Toc5302"/>
      <w:bookmarkStart w:id="418" w:name="_Toc13441"/>
      <w:r>
        <w:rPr>
          <w:rFonts w:ascii="Times New Roman" w:hAnsi="Times New Roman" w:cs="Times New Roman"/>
          <w:color w:val="auto"/>
          <w:sz w:val="21"/>
          <w:szCs w:val="21"/>
          <w:highlight w:val="none"/>
        </w:rPr>
        <w:t>16．价格调整</w:t>
      </w:r>
      <w:bookmarkEnd w:id="416"/>
      <w:bookmarkEnd w:id="417"/>
      <w:bookmarkEnd w:id="418"/>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16.1 物价波动引起的调整（Ａ）</w:t>
      </w:r>
    </w:p>
    <w:p>
      <w:pPr>
        <w:shd w:val="clear" w:color="auto" w:fill="auto"/>
        <w:ind w:firstLine="420"/>
        <w:outlineLvl w:val="9"/>
        <w:rPr>
          <w:color w:val="auto"/>
          <w:szCs w:val="21"/>
          <w:highlight w:val="none"/>
        </w:rPr>
      </w:pPr>
      <w:r>
        <w:rPr>
          <w:color w:val="auto"/>
          <w:szCs w:val="21"/>
          <w:highlight w:val="none"/>
        </w:rPr>
        <w:t>除专用合同条款另有约定外，因物价波动引起的价格调整按照本款约定处理。</w:t>
      </w:r>
    </w:p>
    <w:p>
      <w:pPr>
        <w:shd w:val="clear" w:color="auto" w:fill="auto"/>
        <w:ind w:firstLine="420"/>
        <w:outlineLvl w:val="9"/>
        <w:rPr>
          <w:color w:val="auto"/>
          <w:szCs w:val="21"/>
          <w:highlight w:val="none"/>
        </w:rPr>
      </w:pPr>
      <w:r>
        <w:rPr>
          <w:color w:val="auto"/>
          <w:szCs w:val="21"/>
          <w:highlight w:val="none"/>
        </w:rPr>
        <w:t>16.1.1 采用价格指数调整价格差额（适用于投标函附录约定了价格指数和权重的）</w:t>
      </w:r>
    </w:p>
    <w:p>
      <w:pPr>
        <w:shd w:val="clear" w:color="auto" w:fill="auto"/>
        <w:ind w:firstLine="420"/>
        <w:outlineLvl w:val="9"/>
        <w:rPr>
          <w:color w:val="auto"/>
          <w:szCs w:val="21"/>
          <w:highlight w:val="none"/>
        </w:rPr>
      </w:pPr>
      <w:r>
        <w:rPr>
          <w:color w:val="auto"/>
          <w:szCs w:val="21"/>
          <w:highlight w:val="none"/>
        </w:rPr>
        <w:t>16.1.1.1 价格调整公式</w:t>
      </w:r>
    </w:p>
    <w:p>
      <w:pPr>
        <w:shd w:val="clear" w:color="auto" w:fill="auto"/>
        <w:ind w:firstLine="420"/>
        <w:outlineLvl w:val="9"/>
        <w:rPr>
          <w:color w:val="auto"/>
          <w:szCs w:val="21"/>
          <w:highlight w:val="none"/>
        </w:rPr>
      </w:pPr>
      <w:r>
        <w:rPr>
          <w:color w:val="auto"/>
          <w:szCs w:val="21"/>
          <w:highlight w:val="none"/>
        </w:rPr>
        <w:t>因人工、材料和设备等价格波动影响合同价格时，根据投标函附录中的价格指数和权重表约定的数据，按以下公式计算差额并调整合同价格。</w:t>
      </w:r>
    </w:p>
    <w:p>
      <w:pPr>
        <w:shd w:val="clear" w:color="auto" w:fill="auto"/>
        <w:ind w:firstLine="420"/>
        <w:outlineLvl w:val="9"/>
        <w:rPr>
          <w:color w:val="auto"/>
          <w:szCs w:val="21"/>
          <w:highlight w:val="none"/>
        </w:rPr>
      </w:pPr>
      <w:r>
        <w:rPr>
          <w:color w:val="auto"/>
          <w:szCs w:val="21"/>
          <w:highlight w:val="none"/>
        </w:rPr>
        <w:t>F</w:t>
      </w:r>
      <w:r>
        <w:rPr>
          <w:color w:val="auto"/>
          <w:szCs w:val="21"/>
          <w:highlight w:val="none"/>
          <w:vertAlign w:val="subscript"/>
        </w:rPr>
        <w:t xml:space="preserve">t1        </w:t>
      </w:r>
      <w:r>
        <w:rPr>
          <w:color w:val="auto"/>
          <w:szCs w:val="21"/>
          <w:highlight w:val="none"/>
        </w:rPr>
        <w:t xml:space="preserve"> F</w:t>
      </w:r>
      <w:r>
        <w:rPr>
          <w:color w:val="auto"/>
          <w:szCs w:val="21"/>
          <w:highlight w:val="none"/>
          <w:vertAlign w:val="subscript"/>
        </w:rPr>
        <w:t xml:space="preserve">t2         </w:t>
      </w:r>
      <w:r>
        <w:rPr>
          <w:color w:val="auto"/>
          <w:szCs w:val="21"/>
          <w:highlight w:val="none"/>
        </w:rPr>
        <w:t>F</w:t>
      </w:r>
      <w:r>
        <w:rPr>
          <w:color w:val="auto"/>
          <w:szCs w:val="21"/>
          <w:highlight w:val="none"/>
          <w:vertAlign w:val="subscript"/>
        </w:rPr>
        <w:t xml:space="preserve">t3                 </w:t>
      </w:r>
      <w:r>
        <w:rPr>
          <w:color w:val="auto"/>
          <w:szCs w:val="21"/>
          <w:highlight w:val="none"/>
        </w:rPr>
        <w:t>F</w:t>
      </w:r>
      <w:r>
        <w:rPr>
          <w:color w:val="auto"/>
          <w:szCs w:val="21"/>
          <w:highlight w:val="none"/>
          <w:vertAlign w:val="subscript"/>
        </w:rPr>
        <w:t>tn</w:t>
      </w:r>
    </w:p>
    <w:p>
      <w:pPr>
        <w:shd w:val="clear" w:color="auto" w:fill="auto"/>
        <w:ind w:left="420" w:leftChars="200" w:firstLine="420"/>
        <w:outlineLvl w:val="9"/>
        <w:rPr>
          <w:color w:val="auto"/>
          <w:szCs w:val="21"/>
          <w:highlight w:val="none"/>
        </w:rPr>
      </w:pPr>
      <w:r>
        <w:rPr>
          <w:color w:val="auto"/>
          <w:szCs w:val="21"/>
          <w:highlight w:val="none"/>
        </w:rPr>
        <w:t>△P=P</w:t>
      </w:r>
      <w:r>
        <w:rPr>
          <w:color w:val="auto"/>
          <w:szCs w:val="21"/>
          <w:highlight w:val="none"/>
          <w:vertAlign w:val="subscript"/>
        </w:rPr>
        <w:t>O</w:t>
      </w:r>
      <w:r>
        <w:rPr>
          <w:color w:val="auto"/>
          <w:szCs w:val="21"/>
          <w:highlight w:val="none"/>
        </w:rPr>
        <w:t>［A+｛B</w:t>
      </w:r>
      <w:r>
        <w:rPr>
          <w:color w:val="auto"/>
          <w:szCs w:val="21"/>
          <w:highlight w:val="none"/>
          <w:vertAlign w:val="subscript"/>
        </w:rPr>
        <w:t>1</w:t>
      </w:r>
      <w:r>
        <w:rPr>
          <w:color w:val="auto"/>
          <w:szCs w:val="21"/>
          <w:highlight w:val="none"/>
        </w:rPr>
        <w:t>×—＋B</w:t>
      </w:r>
      <w:r>
        <w:rPr>
          <w:color w:val="auto"/>
          <w:szCs w:val="21"/>
          <w:highlight w:val="none"/>
          <w:vertAlign w:val="subscript"/>
        </w:rPr>
        <w:t>2</w:t>
      </w:r>
      <w:r>
        <w:rPr>
          <w:color w:val="auto"/>
          <w:szCs w:val="21"/>
          <w:highlight w:val="none"/>
        </w:rPr>
        <w:t>×—＋B</w:t>
      </w:r>
      <w:r>
        <w:rPr>
          <w:color w:val="auto"/>
          <w:szCs w:val="21"/>
          <w:highlight w:val="none"/>
          <w:vertAlign w:val="subscript"/>
        </w:rPr>
        <w:t>3</w:t>
      </w:r>
      <w:r>
        <w:rPr>
          <w:color w:val="auto"/>
          <w:szCs w:val="21"/>
          <w:highlight w:val="none"/>
        </w:rPr>
        <w:t>×—＋…＋B</w:t>
      </w:r>
      <w:r>
        <w:rPr>
          <w:color w:val="auto"/>
          <w:szCs w:val="21"/>
          <w:highlight w:val="none"/>
          <w:vertAlign w:val="subscript"/>
        </w:rPr>
        <w:t>n</w:t>
      </w:r>
      <w:r>
        <w:rPr>
          <w:color w:val="auto"/>
          <w:szCs w:val="21"/>
          <w:highlight w:val="none"/>
        </w:rPr>
        <w:t xml:space="preserve">×—｝－1］ </w:t>
      </w:r>
    </w:p>
    <w:p>
      <w:pPr>
        <w:shd w:val="clear" w:color="auto" w:fill="auto"/>
        <w:ind w:left="420" w:leftChars="200" w:firstLine="420"/>
        <w:outlineLvl w:val="9"/>
        <w:rPr>
          <w:color w:val="auto"/>
          <w:szCs w:val="21"/>
          <w:highlight w:val="none"/>
        </w:rPr>
      </w:pPr>
      <w:r>
        <w:rPr>
          <w:color w:val="auto"/>
          <w:szCs w:val="21"/>
          <w:highlight w:val="none"/>
        </w:rPr>
        <w:t>F</w:t>
      </w:r>
      <w:r>
        <w:rPr>
          <w:color w:val="auto"/>
          <w:szCs w:val="21"/>
          <w:highlight w:val="none"/>
          <w:vertAlign w:val="subscript"/>
        </w:rPr>
        <w:t xml:space="preserve">01        </w:t>
      </w:r>
      <w:r>
        <w:rPr>
          <w:color w:val="auto"/>
          <w:szCs w:val="21"/>
          <w:highlight w:val="none"/>
        </w:rPr>
        <w:t>F</w:t>
      </w:r>
      <w:r>
        <w:rPr>
          <w:color w:val="auto"/>
          <w:szCs w:val="21"/>
          <w:highlight w:val="none"/>
          <w:vertAlign w:val="subscript"/>
        </w:rPr>
        <w:t xml:space="preserve">02       </w:t>
      </w:r>
      <w:r>
        <w:rPr>
          <w:color w:val="auto"/>
          <w:szCs w:val="21"/>
          <w:highlight w:val="none"/>
        </w:rPr>
        <w:t>F</w:t>
      </w:r>
      <w:r>
        <w:rPr>
          <w:color w:val="auto"/>
          <w:szCs w:val="21"/>
          <w:highlight w:val="none"/>
          <w:vertAlign w:val="subscript"/>
        </w:rPr>
        <w:t xml:space="preserve">03              </w:t>
      </w:r>
      <w:r>
        <w:rPr>
          <w:color w:val="auto"/>
          <w:szCs w:val="21"/>
          <w:highlight w:val="none"/>
        </w:rPr>
        <w:t>F</w:t>
      </w:r>
      <w:r>
        <w:rPr>
          <w:color w:val="auto"/>
          <w:szCs w:val="21"/>
          <w:highlight w:val="none"/>
          <w:vertAlign w:val="subscript"/>
        </w:rPr>
        <w:t>04</w:t>
      </w:r>
    </w:p>
    <w:p>
      <w:pPr>
        <w:shd w:val="clear" w:color="auto" w:fill="auto"/>
        <w:ind w:firstLine="420"/>
        <w:outlineLvl w:val="9"/>
        <w:rPr>
          <w:color w:val="auto"/>
          <w:szCs w:val="21"/>
          <w:highlight w:val="none"/>
        </w:rPr>
      </w:pPr>
      <w:r>
        <w:rPr>
          <w:color w:val="auto"/>
          <w:szCs w:val="21"/>
          <w:highlight w:val="none"/>
        </w:rPr>
        <w:t>式中：△P---需调整的价格差额；</w:t>
      </w:r>
    </w:p>
    <w:p>
      <w:pPr>
        <w:shd w:val="clear" w:color="auto" w:fill="auto"/>
        <w:ind w:firstLine="420"/>
        <w:outlineLvl w:val="9"/>
        <w:rPr>
          <w:color w:val="auto"/>
          <w:szCs w:val="21"/>
          <w:highlight w:val="none"/>
        </w:rPr>
      </w:pPr>
      <w:r>
        <w:rPr>
          <w:color w:val="auto"/>
          <w:szCs w:val="21"/>
          <w:highlight w:val="none"/>
        </w:rPr>
        <w:t>P</w:t>
      </w:r>
      <w:r>
        <w:rPr>
          <w:color w:val="auto"/>
          <w:szCs w:val="21"/>
          <w:highlight w:val="none"/>
          <w:vertAlign w:val="subscript"/>
        </w:rPr>
        <w:t>O</w:t>
      </w:r>
      <w:r>
        <w:rPr>
          <w:color w:val="auto"/>
          <w:szCs w:val="21"/>
          <w:highlight w:val="none"/>
        </w:rPr>
        <w:t>---第17.3.4 项、第17.5.2 项和第17.6.2 项约定的付款证书中承包人应得到的已完成工作量的金额。此项金额应不包括价格调整、不计质量保证金的扣留和支付、预付款的支付和扣回。第15条约定的变更及其他金额已按当期价格计价的，也不计在内；</w:t>
      </w:r>
    </w:p>
    <w:p>
      <w:pPr>
        <w:shd w:val="clear" w:color="auto" w:fill="auto"/>
        <w:ind w:firstLine="420"/>
        <w:outlineLvl w:val="9"/>
        <w:rPr>
          <w:color w:val="auto"/>
          <w:szCs w:val="21"/>
          <w:highlight w:val="none"/>
        </w:rPr>
      </w:pPr>
      <w:r>
        <w:rPr>
          <w:color w:val="auto"/>
          <w:szCs w:val="21"/>
          <w:highlight w:val="none"/>
        </w:rPr>
        <w:t xml:space="preserve">A ---定值权重（即不调部分的权重）； </w:t>
      </w:r>
    </w:p>
    <w:p>
      <w:pPr>
        <w:shd w:val="clear" w:color="auto" w:fill="auto"/>
        <w:ind w:firstLine="420"/>
        <w:outlineLvl w:val="9"/>
        <w:rPr>
          <w:color w:val="auto"/>
          <w:szCs w:val="21"/>
          <w:highlight w:val="none"/>
        </w:rPr>
      </w:pPr>
      <w:r>
        <w:rPr>
          <w:color w:val="auto"/>
          <w:szCs w:val="21"/>
          <w:highlight w:val="none"/>
        </w:rPr>
        <w:t>B</w:t>
      </w:r>
      <w:r>
        <w:rPr>
          <w:color w:val="auto"/>
          <w:szCs w:val="21"/>
          <w:highlight w:val="none"/>
          <w:vertAlign w:val="subscript"/>
        </w:rPr>
        <w:t>1</w:t>
      </w:r>
      <w:r>
        <w:rPr>
          <w:color w:val="auto"/>
          <w:szCs w:val="21"/>
          <w:highlight w:val="none"/>
        </w:rPr>
        <w:t>；B</w:t>
      </w:r>
      <w:r>
        <w:rPr>
          <w:color w:val="auto"/>
          <w:szCs w:val="21"/>
          <w:highlight w:val="none"/>
          <w:vertAlign w:val="subscript"/>
        </w:rPr>
        <w:t>2</w:t>
      </w:r>
      <w:r>
        <w:rPr>
          <w:color w:val="auto"/>
          <w:szCs w:val="21"/>
          <w:highlight w:val="none"/>
        </w:rPr>
        <w:t>；B</w:t>
      </w:r>
      <w:r>
        <w:rPr>
          <w:color w:val="auto"/>
          <w:szCs w:val="21"/>
          <w:highlight w:val="none"/>
          <w:vertAlign w:val="subscript"/>
        </w:rPr>
        <w:t>3</w:t>
      </w:r>
      <w:r>
        <w:rPr>
          <w:color w:val="auto"/>
          <w:szCs w:val="21"/>
          <w:highlight w:val="none"/>
        </w:rPr>
        <w:t>；……B</w:t>
      </w:r>
      <w:r>
        <w:rPr>
          <w:color w:val="auto"/>
          <w:szCs w:val="21"/>
          <w:highlight w:val="none"/>
          <w:vertAlign w:val="subscript"/>
        </w:rPr>
        <w:t>n</w:t>
      </w:r>
      <w:r>
        <w:rPr>
          <w:color w:val="auto"/>
          <w:szCs w:val="21"/>
          <w:highlight w:val="none"/>
        </w:rPr>
        <w:t>---各可调因子的变值权重（即可调部分的权重）为各可调因子在投标函投标总报价中所占的比例；</w:t>
      </w:r>
    </w:p>
    <w:p>
      <w:pPr>
        <w:shd w:val="clear" w:color="auto" w:fill="auto"/>
        <w:ind w:firstLine="420"/>
        <w:outlineLvl w:val="9"/>
        <w:rPr>
          <w:color w:val="auto"/>
          <w:szCs w:val="21"/>
          <w:highlight w:val="none"/>
        </w:rPr>
      </w:pPr>
      <w:r>
        <w:rPr>
          <w:color w:val="auto"/>
          <w:szCs w:val="21"/>
          <w:highlight w:val="none"/>
        </w:rPr>
        <w:t>F</w:t>
      </w:r>
      <w:r>
        <w:rPr>
          <w:color w:val="auto"/>
          <w:szCs w:val="21"/>
          <w:highlight w:val="none"/>
          <w:vertAlign w:val="subscript"/>
        </w:rPr>
        <w:t>t1</w:t>
      </w:r>
      <w:r>
        <w:rPr>
          <w:color w:val="auto"/>
          <w:szCs w:val="21"/>
          <w:highlight w:val="none"/>
        </w:rPr>
        <w:t>；F</w:t>
      </w:r>
      <w:r>
        <w:rPr>
          <w:color w:val="auto"/>
          <w:szCs w:val="21"/>
          <w:highlight w:val="none"/>
          <w:vertAlign w:val="subscript"/>
        </w:rPr>
        <w:t>t2</w:t>
      </w:r>
      <w:r>
        <w:rPr>
          <w:color w:val="auto"/>
          <w:szCs w:val="21"/>
          <w:highlight w:val="none"/>
        </w:rPr>
        <w:t>；F</w:t>
      </w:r>
      <w:r>
        <w:rPr>
          <w:color w:val="auto"/>
          <w:szCs w:val="21"/>
          <w:highlight w:val="none"/>
          <w:vertAlign w:val="subscript"/>
        </w:rPr>
        <w:t>t3</w:t>
      </w:r>
      <w:r>
        <w:rPr>
          <w:color w:val="auto"/>
          <w:szCs w:val="21"/>
          <w:highlight w:val="none"/>
        </w:rPr>
        <w:t>；……F</w:t>
      </w:r>
      <w:r>
        <w:rPr>
          <w:color w:val="auto"/>
          <w:szCs w:val="21"/>
          <w:highlight w:val="none"/>
          <w:vertAlign w:val="subscript"/>
        </w:rPr>
        <w:t>tn</w:t>
      </w:r>
      <w:r>
        <w:rPr>
          <w:color w:val="auto"/>
          <w:szCs w:val="21"/>
          <w:highlight w:val="none"/>
        </w:rPr>
        <w:t>---各可调因子的当期价格指数，指第17.3.3 项、第17.5.2 项和第17.6.2 项约定的付款证书相关周期最后一天的前42天的各可调因子的价格指数；</w:t>
      </w:r>
    </w:p>
    <w:p>
      <w:pPr>
        <w:shd w:val="clear" w:color="auto" w:fill="auto"/>
        <w:ind w:firstLine="420"/>
        <w:outlineLvl w:val="9"/>
        <w:rPr>
          <w:color w:val="auto"/>
          <w:szCs w:val="21"/>
          <w:highlight w:val="none"/>
        </w:rPr>
      </w:pPr>
      <w:r>
        <w:rPr>
          <w:color w:val="auto"/>
          <w:szCs w:val="21"/>
          <w:highlight w:val="none"/>
        </w:rPr>
        <w:t>F</w:t>
      </w:r>
      <w:r>
        <w:rPr>
          <w:color w:val="auto"/>
          <w:szCs w:val="21"/>
          <w:highlight w:val="none"/>
          <w:vertAlign w:val="subscript"/>
        </w:rPr>
        <w:t>01</w:t>
      </w:r>
      <w:r>
        <w:rPr>
          <w:color w:val="auto"/>
          <w:szCs w:val="21"/>
          <w:highlight w:val="none"/>
        </w:rPr>
        <w:t>；F</w:t>
      </w:r>
      <w:r>
        <w:rPr>
          <w:color w:val="auto"/>
          <w:szCs w:val="21"/>
          <w:highlight w:val="none"/>
          <w:vertAlign w:val="subscript"/>
        </w:rPr>
        <w:t>02</w:t>
      </w:r>
      <w:r>
        <w:rPr>
          <w:color w:val="auto"/>
          <w:szCs w:val="21"/>
          <w:highlight w:val="none"/>
        </w:rPr>
        <w:t>；F</w:t>
      </w:r>
      <w:r>
        <w:rPr>
          <w:color w:val="auto"/>
          <w:szCs w:val="21"/>
          <w:highlight w:val="none"/>
          <w:vertAlign w:val="subscript"/>
        </w:rPr>
        <w:t>03</w:t>
      </w:r>
      <w:r>
        <w:rPr>
          <w:color w:val="auto"/>
          <w:szCs w:val="21"/>
          <w:highlight w:val="none"/>
        </w:rPr>
        <w:t>；……F</w:t>
      </w:r>
      <w:r>
        <w:rPr>
          <w:color w:val="auto"/>
          <w:szCs w:val="21"/>
          <w:highlight w:val="none"/>
          <w:vertAlign w:val="subscript"/>
        </w:rPr>
        <w:t>0n</w:t>
      </w:r>
      <w:r>
        <w:rPr>
          <w:color w:val="auto"/>
          <w:szCs w:val="21"/>
          <w:highlight w:val="none"/>
        </w:rPr>
        <w:t>---各可调因子的基本价格指数，指基准日期的各可调因子的价格指数。</w:t>
      </w:r>
    </w:p>
    <w:p>
      <w:pPr>
        <w:shd w:val="clear" w:color="auto" w:fill="auto"/>
        <w:ind w:firstLine="420"/>
        <w:outlineLvl w:val="9"/>
        <w:rPr>
          <w:color w:val="auto"/>
          <w:szCs w:val="21"/>
          <w:highlight w:val="none"/>
        </w:rPr>
      </w:pPr>
      <w:r>
        <w:rPr>
          <w:color w:val="auto"/>
          <w:szCs w:val="21"/>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pPr>
        <w:shd w:val="clear" w:color="auto" w:fill="auto"/>
        <w:ind w:firstLine="420"/>
        <w:outlineLvl w:val="9"/>
        <w:rPr>
          <w:color w:val="auto"/>
          <w:szCs w:val="21"/>
          <w:highlight w:val="none"/>
        </w:rPr>
      </w:pPr>
      <w:r>
        <w:rPr>
          <w:color w:val="auto"/>
          <w:szCs w:val="21"/>
          <w:highlight w:val="none"/>
        </w:rPr>
        <w:t>16.1.1.2 暂时确定调整差额</w:t>
      </w:r>
    </w:p>
    <w:p>
      <w:pPr>
        <w:shd w:val="clear" w:color="auto" w:fill="auto"/>
        <w:ind w:firstLine="420"/>
        <w:outlineLvl w:val="9"/>
        <w:rPr>
          <w:color w:val="auto"/>
          <w:szCs w:val="21"/>
          <w:highlight w:val="none"/>
        </w:rPr>
      </w:pPr>
      <w:r>
        <w:rPr>
          <w:color w:val="auto"/>
          <w:szCs w:val="21"/>
          <w:highlight w:val="none"/>
        </w:rPr>
        <w:t>在计算调整差额时得不到当期价格指数的，可暂用上一次价格指数计算，并在以后的付款中再按实际价格指数进行调整。</w:t>
      </w:r>
    </w:p>
    <w:p>
      <w:pPr>
        <w:shd w:val="clear" w:color="auto" w:fill="auto"/>
        <w:ind w:firstLine="420"/>
        <w:outlineLvl w:val="9"/>
        <w:rPr>
          <w:color w:val="auto"/>
          <w:szCs w:val="21"/>
          <w:highlight w:val="none"/>
        </w:rPr>
      </w:pPr>
      <w:r>
        <w:rPr>
          <w:color w:val="auto"/>
          <w:szCs w:val="21"/>
          <w:highlight w:val="none"/>
        </w:rPr>
        <w:t>16.1.1.3 权重的调整</w:t>
      </w:r>
    </w:p>
    <w:p>
      <w:pPr>
        <w:shd w:val="clear" w:color="auto" w:fill="auto"/>
        <w:ind w:firstLine="420"/>
        <w:outlineLvl w:val="9"/>
        <w:rPr>
          <w:color w:val="auto"/>
          <w:szCs w:val="21"/>
          <w:highlight w:val="none"/>
        </w:rPr>
      </w:pPr>
      <w:r>
        <w:rPr>
          <w:color w:val="auto"/>
          <w:szCs w:val="21"/>
          <w:highlight w:val="none"/>
        </w:rPr>
        <w:t>按第15.1 款约定的变更导致原定合同中的权重不合理的，由监理人与承包人和发包人协商后进行调整。</w:t>
      </w:r>
    </w:p>
    <w:p>
      <w:pPr>
        <w:shd w:val="clear" w:color="auto" w:fill="auto"/>
        <w:ind w:firstLine="420"/>
        <w:outlineLvl w:val="9"/>
        <w:rPr>
          <w:color w:val="auto"/>
          <w:szCs w:val="21"/>
          <w:highlight w:val="none"/>
        </w:rPr>
      </w:pPr>
      <w:r>
        <w:rPr>
          <w:color w:val="auto"/>
          <w:szCs w:val="21"/>
          <w:highlight w:val="none"/>
        </w:rPr>
        <w:t>16.1.1.4 承包人引起的工期延误后的价格调整</w:t>
      </w:r>
    </w:p>
    <w:p>
      <w:pPr>
        <w:shd w:val="clear" w:color="auto" w:fill="auto"/>
        <w:ind w:firstLine="420"/>
        <w:outlineLvl w:val="9"/>
        <w:rPr>
          <w:color w:val="auto"/>
          <w:szCs w:val="21"/>
          <w:highlight w:val="none"/>
        </w:rPr>
      </w:pPr>
      <w:r>
        <w:rPr>
          <w:color w:val="auto"/>
          <w:szCs w:val="21"/>
          <w:highlight w:val="none"/>
        </w:rPr>
        <w:t>由于承包人原因未在约定的工期内竣工的，则对原约定竣工日期后继续施工的工程，在使用第16.1.1. 1目价格调整公式时，应采用原约定竣工日期与实际竣工日期的两个价格指数中较低的一个作为当期价格指数。</w:t>
      </w:r>
    </w:p>
    <w:p>
      <w:pPr>
        <w:shd w:val="clear" w:color="auto" w:fill="auto"/>
        <w:ind w:firstLine="420"/>
        <w:outlineLvl w:val="9"/>
        <w:rPr>
          <w:color w:val="auto"/>
          <w:szCs w:val="21"/>
          <w:highlight w:val="none"/>
        </w:rPr>
      </w:pPr>
      <w:r>
        <w:rPr>
          <w:color w:val="auto"/>
          <w:szCs w:val="21"/>
          <w:highlight w:val="none"/>
        </w:rPr>
        <w:t>16.1.1.5 发包人引起的工期延误后的价格调整</w:t>
      </w:r>
    </w:p>
    <w:p>
      <w:pPr>
        <w:shd w:val="clear" w:color="auto" w:fill="auto"/>
        <w:ind w:firstLine="420"/>
        <w:outlineLvl w:val="9"/>
        <w:rPr>
          <w:color w:val="auto"/>
          <w:szCs w:val="21"/>
          <w:highlight w:val="none"/>
        </w:rPr>
      </w:pPr>
      <w:r>
        <w:rPr>
          <w:color w:val="auto"/>
          <w:szCs w:val="21"/>
          <w:highlight w:val="none"/>
        </w:rPr>
        <w:t>由于发包人原因未在约定的工期内竣工的，则对原约定竣工日期后继续施工的工程，在使用第16.1.1.1目价格调整公式时，应采用原约定竣工日期与实际竣工日期的两个价格指数中较高的一个作为当期价格指数。</w:t>
      </w:r>
    </w:p>
    <w:p>
      <w:pPr>
        <w:shd w:val="clear" w:color="auto" w:fill="auto"/>
        <w:ind w:firstLine="420"/>
        <w:outlineLvl w:val="9"/>
        <w:rPr>
          <w:color w:val="auto"/>
          <w:szCs w:val="21"/>
          <w:highlight w:val="none"/>
        </w:rPr>
      </w:pPr>
      <w:r>
        <w:rPr>
          <w:color w:val="auto"/>
          <w:szCs w:val="21"/>
          <w:highlight w:val="none"/>
        </w:rPr>
        <w:t>16.1.2 采用造价信息调整价格差额（适用于投标函附录没有约定价格指数和权重的）</w:t>
      </w:r>
    </w:p>
    <w:p>
      <w:pPr>
        <w:shd w:val="clear" w:color="auto" w:fill="auto"/>
        <w:ind w:firstLine="420"/>
        <w:outlineLvl w:val="9"/>
        <w:rPr>
          <w:color w:val="auto"/>
          <w:szCs w:val="21"/>
          <w:highlight w:val="none"/>
        </w:rPr>
      </w:pPr>
      <w:r>
        <w:rPr>
          <w:color w:val="auto"/>
          <w:szCs w:val="21"/>
          <w:highlight w:val="none"/>
        </w:rPr>
        <w:t>合同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合同价格差额的依据。</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16.1 物价波动引起的调整（B）</w:t>
      </w:r>
    </w:p>
    <w:p>
      <w:pPr>
        <w:shd w:val="clear" w:color="auto" w:fill="auto"/>
        <w:ind w:firstLine="420"/>
        <w:outlineLvl w:val="9"/>
        <w:rPr>
          <w:color w:val="auto"/>
          <w:szCs w:val="21"/>
          <w:highlight w:val="none"/>
        </w:rPr>
      </w:pPr>
      <w:r>
        <w:rPr>
          <w:color w:val="auto"/>
          <w:szCs w:val="21"/>
          <w:highlight w:val="none"/>
        </w:rPr>
        <w:t>除法律规定或专用合同条款另有约定外，合同价格不因物价波动进行调整。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16.2 法律变化引起的调整</w:t>
      </w:r>
    </w:p>
    <w:p>
      <w:pPr>
        <w:shd w:val="clear" w:color="auto" w:fill="auto"/>
        <w:ind w:firstLine="420"/>
        <w:outlineLvl w:val="9"/>
        <w:rPr>
          <w:color w:val="auto"/>
          <w:szCs w:val="21"/>
          <w:highlight w:val="none"/>
        </w:rPr>
      </w:pPr>
      <w:r>
        <w:rPr>
          <w:color w:val="auto"/>
          <w:szCs w:val="21"/>
          <w:highlight w:val="none"/>
        </w:rPr>
        <w:t>在基准日后，因法律变化导致承包人在合同履行中所需费用发生除第16.1 款约定以外的增减时，监理人应根据法律、国家或省、自治区、直辖市有关部门的规定，按第3.5 款商定或确定需调整的合同价格。</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19" w:name="_Toc13238"/>
      <w:bookmarkStart w:id="420" w:name="_Toc144327089"/>
      <w:bookmarkStart w:id="421" w:name="_Toc15714"/>
      <w:r>
        <w:rPr>
          <w:rFonts w:ascii="Times New Roman" w:hAnsi="Times New Roman" w:cs="Times New Roman"/>
          <w:color w:val="auto"/>
          <w:sz w:val="21"/>
          <w:szCs w:val="21"/>
          <w:highlight w:val="none"/>
        </w:rPr>
        <w:t>17．合同价格与支付</w:t>
      </w:r>
      <w:bookmarkEnd w:id="419"/>
      <w:bookmarkEnd w:id="420"/>
      <w:bookmarkEnd w:id="421"/>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17.1 合同价格</w:t>
      </w:r>
    </w:p>
    <w:p>
      <w:pPr>
        <w:shd w:val="clear" w:color="auto" w:fill="auto"/>
        <w:ind w:firstLine="420"/>
        <w:outlineLvl w:val="9"/>
        <w:rPr>
          <w:color w:val="auto"/>
          <w:szCs w:val="21"/>
          <w:highlight w:val="none"/>
        </w:rPr>
      </w:pPr>
      <w:r>
        <w:rPr>
          <w:color w:val="auto"/>
          <w:szCs w:val="21"/>
          <w:highlight w:val="none"/>
        </w:rPr>
        <w:t>除专用合同条款另有约定外，</w:t>
      </w:r>
    </w:p>
    <w:p>
      <w:pPr>
        <w:shd w:val="clear" w:color="auto" w:fill="auto"/>
        <w:ind w:firstLine="420"/>
        <w:outlineLvl w:val="9"/>
        <w:rPr>
          <w:color w:val="auto"/>
          <w:szCs w:val="21"/>
          <w:highlight w:val="none"/>
        </w:rPr>
      </w:pPr>
      <w:r>
        <w:rPr>
          <w:color w:val="auto"/>
          <w:szCs w:val="21"/>
          <w:highlight w:val="none"/>
        </w:rPr>
        <w:t>（1）合同价格包括签约合同价以及按照合同约定进行的调整；</w:t>
      </w:r>
    </w:p>
    <w:p>
      <w:pPr>
        <w:shd w:val="clear" w:color="auto" w:fill="auto"/>
        <w:ind w:firstLine="420"/>
        <w:outlineLvl w:val="9"/>
        <w:rPr>
          <w:color w:val="auto"/>
          <w:szCs w:val="21"/>
          <w:highlight w:val="none"/>
        </w:rPr>
      </w:pPr>
      <w:r>
        <w:rPr>
          <w:color w:val="auto"/>
          <w:szCs w:val="21"/>
          <w:highlight w:val="none"/>
        </w:rPr>
        <w:t>（2）合同价格包括承包人依据法律规定或合同约定应支付的规费和税金；</w:t>
      </w:r>
    </w:p>
    <w:p>
      <w:pPr>
        <w:shd w:val="clear" w:color="auto" w:fill="auto"/>
        <w:ind w:firstLine="420"/>
        <w:outlineLvl w:val="9"/>
        <w:rPr>
          <w:color w:val="auto"/>
          <w:szCs w:val="21"/>
          <w:highlight w:val="none"/>
        </w:rPr>
      </w:pPr>
      <w:r>
        <w:rPr>
          <w:color w:val="auto"/>
          <w:szCs w:val="21"/>
          <w:highlight w:val="none"/>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pPr>
        <w:shd w:val="clear" w:color="auto" w:fill="auto"/>
        <w:ind w:firstLine="420"/>
        <w:outlineLvl w:val="9"/>
        <w:rPr>
          <w:color w:val="auto"/>
          <w:szCs w:val="21"/>
          <w:highlight w:val="none"/>
        </w:rPr>
      </w:pPr>
      <w:r>
        <w:rPr>
          <w:color w:val="auto"/>
          <w:szCs w:val="21"/>
          <w:highlight w:val="none"/>
        </w:rPr>
        <w:t>合同约定工程的某部分按照实际完成的工程量进行支付的，应按照专用合同条款的约定进行计量和估价，并据此调整合同价格。</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17.2 预付款</w:t>
      </w:r>
    </w:p>
    <w:p>
      <w:pPr>
        <w:shd w:val="clear" w:color="auto" w:fill="auto"/>
        <w:ind w:firstLine="420"/>
        <w:outlineLvl w:val="9"/>
        <w:rPr>
          <w:color w:val="auto"/>
          <w:szCs w:val="21"/>
          <w:highlight w:val="none"/>
        </w:rPr>
      </w:pPr>
      <w:r>
        <w:rPr>
          <w:color w:val="auto"/>
          <w:szCs w:val="21"/>
          <w:highlight w:val="none"/>
        </w:rPr>
        <w:t>17.2.1 预付款</w:t>
      </w:r>
    </w:p>
    <w:p>
      <w:pPr>
        <w:shd w:val="clear" w:color="auto" w:fill="auto"/>
        <w:ind w:firstLine="420"/>
        <w:outlineLvl w:val="9"/>
        <w:rPr>
          <w:color w:val="auto"/>
          <w:szCs w:val="21"/>
          <w:highlight w:val="none"/>
        </w:rPr>
      </w:pPr>
      <w:r>
        <w:rPr>
          <w:color w:val="auto"/>
          <w:szCs w:val="21"/>
          <w:highlight w:val="none"/>
        </w:rPr>
        <w:t>预付款用于承包人为合同工程的设计和工程实施购置材料、工程设备、施工设备、修建临时设施以及组织施工队伍进场等。预付款的额度和支付在专用合同条款中约定。预付款必须专用于合同工作。</w:t>
      </w:r>
    </w:p>
    <w:p>
      <w:pPr>
        <w:shd w:val="clear" w:color="auto" w:fill="auto"/>
        <w:ind w:firstLine="420"/>
        <w:outlineLvl w:val="9"/>
        <w:rPr>
          <w:color w:val="auto"/>
          <w:szCs w:val="21"/>
          <w:highlight w:val="none"/>
        </w:rPr>
      </w:pPr>
      <w:r>
        <w:rPr>
          <w:color w:val="auto"/>
          <w:szCs w:val="21"/>
          <w:highlight w:val="none"/>
        </w:rPr>
        <w:t>17.2.2 预付款保函</w:t>
      </w:r>
    </w:p>
    <w:p>
      <w:pPr>
        <w:shd w:val="clear" w:color="auto" w:fill="auto"/>
        <w:ind w:firstLine="420"/>
        <w:outlineLvl w:val="9"/>
        <w:rPr>
          <w:color w:val="auto"/>
          <w:szCs w:val="21"/>
          <w:highlight w:val="none"/>
        </w:rPr>
      </w:pPr>
      <w:r>
        <w:rPr>
          <w:color w:val="auto"/>
          <w:szCs w:val="21"/>
          <w:highlight w:val="none"/>
        </w:rPr>
        <w:t>除专用合同条款另有约定外，承包人应在收到预付款的同时向发包人提交预付款保函，预付款保函的担保金额应与预付款金额相同。保函的担保金额可根据预付款扣回的金额相应递减。</w:t>
      </w:r>
    </w:p>
    <w:p>
      <w:pPr>
        <w:shd w:val="clear" w:color="auto" w:fill="auto"/>
        <w:ind w:firstLine="420"/>
        <w:outlineLvl w:val="9"/>
        <w:rPr>
          <w:color w:val="auto"/>
          <w:szCs w:val="21"/>
          <w:highlight w:val="none"/>
        </w:rPr>
      </w:pPr>
      <w:r>
        <w:rPr>
          <w:color w:val="auto"/>
          <w:szCs w:val="21"/>
          <w:highlight w:val="none"/>
        </w:rPr>
        <w:t>17.2.3 预付款的扣回与还清</w:t>
      </w:r>
    </w:p>
    <w:p>
      <w:pPr>
        <w:shd w:val="clear" w:color="auto" w:fill="auto"/>
        <w:ind w:firstLine="420"/>
        <w:outlineLvl w:val="9"/>
        <w:rPr>
          <w:color w:val="auto"/>
          <w:szCs w:val="21"/>
          <w:highlight w:val="none"/>
        </w:rPr>
      </w:pPr>
      <w:r>
        <w:rPr>
          <w:color w:val="auto"/>
          <w:szCs w:val="21"/>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17.3 工程进度付款</w:t>
      </w:r>
    </w:p>
    <w:p>
      <w:pPr>
        <w:shd w:val="clear" w:color="auto" w:fill="auto"/>
        <w:ind w:firstLine="420"/>
        <w:outlineLvl w:val="9"/>
        <w:rPr>
          <w:color w:val="auto"/>
          <w:szCs w:val="21"/>
          <w:highlight w:val="none"/>
        </w:rPr>
      </w:pPr>
      <w:r>
        <w:rPr>
          <w:color w:val="auto"/>
          <w:szCs w:val="21"/>
          <w:highlight w:val="none"/>
        </w:rPr>
        <w:t>17.3.1 付款时间</w:t>
      </w:r>
    </w:p>
    <w:p>
      <w:pPr>
        <w:shd w:val="clear" w:color="auto" w:fill="auto"/>
        <w:ind w:firstLine="420"/>
        <w:outlineLvl w:val="9"/>
        <w:rPr>
          <w:color w:val="auto"/>
          <w:szCs w:val="21"/>
          <w:highlight w:val="none"/>
        </w:rPr>
      </w:pPr>
      <w:r>
        <w:rPr>
          <w:color w:val="auto"/>
          <w:szCs w:val="21"/>
          <w:highlight w:val="none"/>
        </w:rPr>
        <w:t>除专用合同条款另有约定外，工程进度付款按月支付。</w:t>
      </w:r>
    </w:p>
    <w:p>
      <w:pPr>
        <w:shd w:val="clear" w:color="auto" w:fill="auto"/>
        <w:tabs>
          <w:tab w:val="left" w:pos="5670"/>
        </w:tabs>
        <w:ind w:firstLine="420"/>
        <w:outlineLvl w:val="9"/>
        <w:rPr>
          <w:color w:val="auto"/>
          <w:szCs w:val="21"/>
          <w:highlight w:val="none"/>
        </w:rPr>
      </w:pPr>
      <w:r>
        <w:rPr>
          <w:color w:val="auto"/>
          <w:szCs w:val="21"/>
          <w:highlight w:val="none"/>
        </w:rPr>
        <w:t>17.3.2 支付分解表</w:t>
      </w:r>
    </w:p>
    <w:p>
      <w:pPr>
        <w:shd w:val="clear" w:color="auto" w:fill="auto"/>
        <w:tabs>
          <w:tab w:val="left" w:pos="5670"/>
        </w:tabs>
        <w:ind w:firstLine="420"/>
        <w:outlineLvl w:val="9"/>
        <w:rPr>
          <w:color w:val="auto"/>
          <w:szCs w:val="21"/>
          <w:highlight w:val="none"/>
        </w:rPr>
      </w:pPr>
      <w:r>
        <w:rPr>
          <w:color w:val="auto"/>
          <w:szCs w:val="21"/>
          <w:highlight w:val="none"/>
        </w:rPr>
        <w:t>除专用合同条款另有约定外，承包人应根据价格清单的价格构成、费用性质、计划发生时间和相应工作量等因素，按照以下分类和分解原则，结合第4.12.1项约定的合同进度计划，汇总形成月度支付分解报告。</w:t>
      </w:r>
    </w:p>
    <w:p>
      <w:pPr>
        <w:shd w:val="clear" w:color="auto" w:fill="auto"/>
        <w:ind w:firstLine="420"/>
        <w:outlineLvl w:val="9"/>
        <w:rPr>
          <w:color w:val="auto"/>
          <w:szCs w:val="21"/>
          <w:highlight w:val="none"/>
        </w:rPr>
      </w:pPr>
      <w:r>
        <w:rPr>
          <w:color w:val="auto"/>
          <w:szCs w:val="21"/>
          <w:highlight w:val="none"/>
        </w:rPr>
        <w:t xml:space="preserve">（1）勘察设计费。按照提供勘察设计阶段性成果文件的时间、对应的工作量进行分解。 </w:t>
      </w:r>
    </w:p>
    <w:p>
      <w:pPr>
        <w:shd w:val="clear" w:color="auto" w:fill="auto"/>
        <w:ind w:firstLine="420"/>
        <w:outlineLvl w:val="9"/>
        <w:rPr>
          <w:color w:val="auto"/>
          <w:szCs w:val="21"/>
          <w:highlight w:val="none"/>
        </w:rPr>
      </w:pPr>
      <w:r>
        <w:rPr>
          <w:color w:val="auto"/>
          <w:szCs w:val="21"/>
          <w:highlight w:val="none"/>
        </w:rPr>
        <w:t>（2）材料和工程设备费。分别按订立采购合同、进场验收合格、安装就位、工程竣工等阶段和专用条款约定的比例进行分解。</w:t>
      </w:r>
    </w:p>
    <w:p>
      <w:pPr>
        <w:shd w:val="clear" w:color="auto" w:fill="auto"/>
        <w:ind w:firstLine="420"/>
        <w:outlineLvl w:val="9"/>
        <w:rPr>
          <w:color w:val="auto"/>
          <w:szCs w:val="21"/>
          <w:highlight w:val="none"/>
        </w:rPr>
      </w:pPr>
      <w:r>
        <w:rPr>
          <w:color w:val="auto"/>
          <w:szCs w:val="21"/>
          <w:highlight w:val="none"/>
        </w:rPr>
        <w:t>（3）技术服务培训费。按照价格清单中的单价，结合第4.12.1项约定的合同进度计划对应的工作量进行分解。</w:t>
      </w:r>
    </w:p>
    <w:p>
      <w:pPr>
        <w:shd w:val="clear" w:color="auto" w:fill="auto"/>
        <w:ind w:firstLine="420"/>
        <w:outlineLvl w:val="9"/>
        <w:rPr>
          <w:color w:val="auto"/>
          <w:szCs w:val="21"/>
          <w:highlight w:val="none"/>
        </w:rPr>
      </w:pPr>
      <w:r>
        <w:rPr>
          <w:color w:val="auto"/>
          <w:szCs w:val="21"/>
          <w:highlight w:val="none"/>
        </w:rPr>
        <w:t>（4）其他工程价款。除第17.1款约定按已完成工程量计量支付的工程价款外，按照价格清单中的价格，结合第4.12.1项约定的合同进度计划拟完成的工程量或者比例进行分解。</w:t>
      </w:r>
    </w:p>
    <w:p>
      <w:pPr>
        <w:shd w:val="clear" w:color="auto" w:fill="auto"/>
        <w:tabs>
          <w:tab w:val="left" w:pos="5670"/>
        </w:tabs>
        <w:ind w:firstLine="420"/>
        <w:outlineLvl w:val="9"/>
        <w:rPr>
          <w:color w:val="auto"/>
          <w:szCs w:val="21"/>
          <w:highlight w:val="none"/>
        </w:rPr>
      </w:pPr>
      <w:r>
        <w:rPr>
          <w:color w:val="auto"/>
          <w:szCs w:val="21"/>
          <w:highlight w:val="none"/>
        </w:rPr>
        <w:t>承包人应当在收到经监理人批复的合同进度计划后7天内，将支付分解报告以及形成支付分解报告的支持性资料报监理人审批，监理人应当在收到承包人报送的支付分解报告后7天内给予批复或提出修改意见，经监理人批准的支付分解报告为有合同约束力的支付分解表。合同进度计划进行了修订的，应相应修改支付分解表，并按本目规定报监理人批复。</w:t>
      </w:r>
    </w:p>
    <w:p>
      <w:pPr>
        <w:shd w:val="clear" w:color="auto" w:fill="auto"/>
        <w:tabs>
          <w:tab w:val="left" w:pos="5670"/>
        </w:tabs>
        <w:ind w:firstLine="420"/>
        <w:outlineLvl w:val="9"/>
        <w:rPr>
          <w:color w:val="auto"/>
          <w:szCs w:val="21"/>
          <w:highlight w:val="none"/>
        </w:rPr>
      </w:pPr>
      <w:r>
        <w:rPr>
          <w:color w:val="auto"/>
          <w:szCs w:val="21"/>
          <w:highlight w:val="none"/>
        </w:rPr>
        <w:t>17.3.3 进度付款申请单</w:t>
      </w:r>
    </w:p>
    <w:p>
      <w:pPr>
        <w:shd w:val="clear" w:color="auto" w:fill="auto"/>
        <w:ind w:firstLine="420"/>
        <w:outlineLvl w:val="9"/>
        <w:rPr>
          <w:color w:val="auto"/>
          <w:szCs w:val="21"/>
          <w:highlight w:val="none"/>
        </w:rPr>
      </w:pPr>
      <w:r>
        <w:rPr>
          <w:color w:val="auto"/>
          <w:szCs w:val="21"/>
          <w:highlight w:val="none"/>
        </w:rPr>
        <w:t>承包人应在每笔进度款支付前，按监理人批准的格式和专用合同条款约定的份数，向监理人提交进度付款申请单，并附相应的支持性证明文件。除合同另有约定外，进度付款申请单应包括下列内容：</w:t>
      </w:r>
    </w:p>
    <w:p>
      <w:pPr>
        <w:shd w:val="clear" w:color="auto" w:fill="auto"/>
        <w:ind w:firstLine="420"/>
        <w:outlineLvl w:val="9"/>
        <w:rPr>
          <w:color w:val="auto"/>
          <w:szCs w:val="21"/>
          <w:highlight w:val="none"/>
        </w:rPr>
      </w:pPr>
      <w:r>
        <w:rPr>
          <w:color w:val="auto"/>
          <w:szCs w:val="21"/>
          <w:highlight w:val="none"/>
        </w:rPr>
        <w:t>（1）当期应支付金额总额，以及截至当期期末累计应支付金额总额、已支付的进度付款金额总额；</w:t>
      </w:r>
    </w:p>
    <w:p>
      <w:pPr>
        <w:shd w:val="clear" w:color="auto" w:fill="auto"/>
        <w:ind w:firstLine="420"/>
        <w:outlineLvl w:val="9"/>
        <w:rPr>
          <w:color w:val="auto"/>
          <w:szCs w:val="21"/>
          <w:highlight w:val="none"/>
        </w:rPr>
      </w:pPr>
      <w:r>
        <w:rPr>
          <w:color w:val="auto"/>
          <w:szCs w:val="21"/>
          <w:highlight w:val="none"/>
        </w:rPr>
        <w:t>（2）当期根据支付分解表应支付金额，以及截至当期期末累计应支付金额；</w:t>
      </w:r>
    </w:p>
    <w:p>
      <w:pPr>
        <w:shd w:val="clear" w:color="auto" w:fill="auto"/>
        <w:ind w:firstLine="420"/>
        <w:outlineLvl w:val="9"/>
        <w:rPr>
          <w:color w:val="auto"/>
          <w:szCs w:val="21"/>
          <w:highlight w:val="none"/>
        </w:rPr>
      </w:pPr>
      <w:r>
        <w:rPr>
          <w:color w:val="auto"/>
          <w:szCs w:val="21"/>
          <w:highlight w:val="none"/>
        </w:rPr>
        <w:t>（3）当期根据第17.1款约定计量的已实施工程应支付金额，以及截至当期期末累计应支付金额；</w:t>
      </w:r>
    </w:p>
    <w:p>
      <w:pPr>
        <w:shd w:val="clear" w:color="auto" w:fill="auto"/>
        <w:ind w:firstLine="420"/>
        <w:outlineLvl w:val="9"/>
        <w:rPr>
          <w:color w:val="auto"/>
          <w:szCs w:val="21"/>
          <w:highlight w:val="none"/>
        </w:rPr>
      </w:pPr>
      <w:r>
        <w:rPr>
          <w:color w:val="auto"/>
          <w:szCs w:val="21"/>
          <w:highlight w:val="none"/>
        </w:rPr>
        <w:t>（4）当期根据第15条应增加和扣减的变更金额，以及截至当期期末累计变更金额；</w:t>
      </w:r>
    </w:p>
    <w:p>
      <w:pPr>
        <w:shd w:val="clear" w:color="auto" w:fill="auto"/>
        <w:ind w:firstLine="420"/>
        <w:outlineLvl w:val="9"/>
        <w:rPr>
          <w:color w:val="auto"/>
          <w:szCs w:val="21"/>
          <w:highlight w:val="none"/>
        </w:rPr>
      </w:pPr>
      <w:r>
        <w:rPr>
          <w:color w:val="auto"/>
          <w:szCs w:val="21"/>
          <w:highlight w:val="none"/>
        </w:rPr>
        <w:t>（5）当期根据第23 条应增加和扣减的索赔金额，以及截至当期期末累计索赔金额；</w:t>
      </w:r>
    </w:p>
    <w:p>
      <w:pPr>
        <w:shd w:val="clear" w:color="auto" w:fill="auto"/>
        <w:ind w:firstLine="420"/>
        <w:outlineLvl w:val="9"/>
        <w:rPr>
          <w:color w:val="auto"/>
          <w:szCs w:val="21"/>
          <w:highlight w:val="none"/>
        </w:rPr>
      </w:pPr>
      <w:r>
        <w:rPr>
          <w:color w:val="auto"/>
          <w:szCs w:val="21"/>
          <w:highlight w:val="none"/>
        </w:rPr>
        <w:t>（6）当期根据第17.2 款约定应支付的预付款和扣减的返还预付款金额，以及截至当期期末累计返还预付款金额；</w:t>
      </w:r>
    </w:p>
    <w:p>
      <w:pPr>
        <w:shd w:val="clear" w:color="auto" w:fill="auto"/>
        <w:ind w:firstLine="420"/>
        <w:outlineLvl w:val="9"/>
        <w:rPr>
          <w:color w:val="auto"/>
          <w:szCs w:val="21"/>
          <w:highlight w:val="none"/>
        </w:rPr>
      </w:pPr>
      <w:r>
        <w:rPr>
          <w:color w:val="auto"/>
          <w:szCs w:val="21"/>
          <w:highlight w:val="none"/>
        </w:rPr>
        <w:t>（7）当期根据第17.4.1 项约定应扣减的质量保证金金额，以及截至当期期末累计扣减的质量保证金金额；</w:t>
      </w:r>
    </w:p>
    <w:p>
      <w:pPr>
        <w:shd w:val="clear" w:color="auto" w:fill="auto"/>
        <w:ind w:firstLine="420"/>
        <w:outlineLvl w:val="9"/>
        <w:rPr>
          <w:color w:val="auto"/>
          <w:szCs w:val="21"/>
          <w:highlight w:val="none"/>
        </w:rPr>
      </w:pPr>
      <w:r>
        <w:rPr>
          <w:color w:val="auto"/>
          <w:szCs w:val="21"/>
          <w:highlight w:val="none"/>
        </w:rPr>
        <w:t>（8）当期根据合同应增加和扣减的其他金额，以及截至当期期末累计增加和扣减的金额。</w:t>
      </w:r>
    </w:p>
    <w:p>
      <w:pPr>
        <w:shd w:val="clear" w:color="auto" w:fill="auto"/>
        <w:ind w:firstLine="420"/>
        <w:outlineLvl w:val="9"/>
        <w:rPr>
          <w:color w:val="auto"/>
          <w:szCs w:val="21"/>
          <w:highlight w:val="none"/>
        </w:rPr>
      </w:pPr>
      <w:r>
        <w:rPr>
          <w:color w:val="auto"/>
          <w:szCs w:val="21"/>
          <w:highlight w:val="none"/>
        </w:rPr>
        <w:t>17.3.4 进度付款证书和支付时间</w:t>
      </w:r>
    </w:p>
    <w:p>
      <w:pPr>
        <w:shd w:val="clear" w:color="auto" w:fill="auto"/>
        <w:ind w:firstLine="420"/>
        <w:outlineLvl w:val="9"/>
        <w:rPr>
          <w:color w:val="auto"/>
          <w:szCs w:val="21"/>
          <w:highlight w:val="none"/>
        </w:rPr>
      </w:pPr>
      <w:r>
        <w:rPr>
          <w:color w:val="auto"/>
          <w:szCs w:val="21"/>
          <w:highlight w:val="none"/>
        </w:rPr>
        <w:t>（1）监理人在收到承包人进度付款申请单以及相应的支持性证明文件后的14天内完成审核，提出发包人到期应支付给承包人的金额以及相应的支持性材料，经发包人审批同意后，由监理人向承包人出具经发包人签认的进度付款证书。监理人未能在前述时间完成审核的，视为监理人同意承包人进度付款申请。监理人有权核减承包人未能按照合同要求履行任何工作或义务的相应金额。</w:t>
      </w:r>
    </w:p>
    <w:p>
      <w:pPr>
        <w:shd w:val="clear" w:color="auto" w:fill="auto"/>
        <w:ind w:firstLine="420"/>
        <w:outlineLvl w:val="9"/>
        <w:rPr>
          <w:color w:val="auto"/>
          <w:szCs w:val="21"/>
          <w:highlight w:val="none"/>
        </w:rPr>
      </w:pPr>
      <w:r>
        <w:rPr>
          <w:color w:val="auto"/>
          <w:szCs w:val="21"/>
          <w:highlight w:val="none"/>
        </w:rPr>
        <w:t>（2）发包人最迟应在监理人收到进度付款申请单后的28 天内，将进度应付款支付给承包人。发包人未能在前述时间内完成审批或不予答复的，视为发包人同意进度付款申请。发包人不按期支付的，按专用合同条款的约定支付逾期付款违约金。</w:t>
      </w:r>
    </w:p>
    <w:p>
      <w:pPr>
        <w:shd w:val="clear" w:color="auto" w:fill="auto"/>
        <w:ind w:firstLine="420"/>
        <w:outlineLvl w:val="9"/>
        <w:rPr>
          <w:color w:val="auto"/>
          <w:szCs w:val="21"/>
          <w:highlight w:val="none"/>
        </w:rPr>
      </w:pPr>
      <w:r>
        <w:rPr>
          <w:color w:val="auto"/>
          <w:szCs w:val="21"/>
          <w:highlight w:val="none"/>
        </w:rPr>
        <w:t>（3）监理人出具进度付款证书，不应视为监理人已同意、批准或接受了承包人完成的该部分工作。</w:t>
      </w:r>
    </w:p>
    <w:p>
      <w:pPr>
        <w:shd w:val="clear" w:color="auto" w:fill="auto"/>
        <w:ind w:firstLine="420"/>
        <w:outlineLvl w:val="9"/>
        <w:rPr>
          <w:color w:val="auto"/>
          <w:szCs w:val="21"/>
          <w:highlight w:val="none"/>
        </w:rPr>
      </w:pPr>
      <w:r>
        <w:rPr>
          <w:color w:val="auto"/>
          <w:szCs w:val="21"/>
          <w:highlight w:val="none"/>
        </w:rPr>
        <w:t>（4）进度付款涉及政府投资资金的，按照国库集中支付等国家相关规定和专用合同条款的约定执行。</w:t>
      </w:r>
    </w:p>
    <w:p>
      <w:pPr>
        <w:shd w:val="clear" w:color="auto" w:fill="auto"/>
        <w:ind w:firstLine="420"/>
        <w:outlineLvl w:val="9"/>
        <w:rPr>
          <w:color w:val="auto"/>
          <w:szCs w:val="21"/>
          <w:highlight w:val="none"/>
        </w:rPr>
      </w:pPr>
      <w:r>
        <w:rPr>
          <w:color w:val="auto"/>
          <w:szCs w:val="21"/>
          <w:highlight w:val="none"/>
        </w:rPr>
        <w:t>17.3.5 工程进度付款的修正</w:t>
      </w:r>
    </w:p>
    <w:p>
      <w:pPr>
        <w:shd w:val="clear" w:color="auto" w:fill="auto"/>
        <w:ind w:firstLine="420"/>
        <w:outlineLvl w:val="9"/>
        <w:rPr>
          <w:color w:val="auto"/>
          <w:szCs w:val="21"/>
          <w:highlight w:val="none"/>
        </w:rPr>
      </w:pPr>
      <w:r>
        <w:rPr>
          <w:color w:val="auto"/>
          <w:szCs w:val="21"/>
          <w:highlight w:val="none"/>
        </w:rPr>
        <w:t>在对以往历次已签发的进度付款证书进行汇总和复核中发现错、漏或重复的，监理人有权予以修正，承包人也有权提出修正申请。经监理人、承包人复核同意的修正，应在本次进度付款中支付或扣除。</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17.4 质量保证金</w:t>
      </w:r>
    </w:p>
    <w:p>
      <w:pPr>
        <w:shd w:val="clear" w:color="auto" w:fill="auto"/>
        <w:ind w:firstLine="420"/>
        <w:outlineLvl w:val="9"/>
        <w:rPr>
          <w:color w:val="auto"/>
          <w:szCs w:val="21"/>
          <w:highlight w:val="none"/>
        </w:rPr>
      </w:pPr>
      <w:r>
        <w:rPr>
          <w:color w:val="auto"/>
          <w:szCs w:val="21"/>
          <w:highlight w:val="none"/>
        </w:rPr>
        <w:t>17.4.1 监理人应从发包人的每笔进度付款中，按专用合同条款的约定扣留质量保证金，直至扣留的质量保证金总额达到专用合同条款约定的金额或比例为止。质量保证金的计算额度不包括预付款的支付、扣回以及价格调整的金额。</w:t>
      </w:r>
    </w:p>
    <w:p>
      <w:pPr>
        <w:shd w:val="clear" w:color="auto" w:fill="auto"/>
        <w:ind w:firstLine="420"/>
        <w:outlineLvl w:val="9"/>
        <w:rPr>
          <w:color w:val="auto"/>
          <w:szCs w:val="21"/>
          <w:highlight w:val="none"/>
        </w:rPr>
      </w:pPr>
      <w:r>
        <w:rPr>
          <w:color w:val="auto"/>
          <w:szCs w:val="21"/>
          <w:highlight w:val="none"/>
        </w:rPr>
        <w:t>17.4.2 在第1.1.4.5 目约定的缺陷责任期满时，承包人向发包人申请到期应返还承包人剩余的质量保证金，发包人应在14天内会同承包人按照合同约定的内容核实承包人是否完成缺陷责任。如无异议，发包人应当在核实后将剩余质量保证金返还承包人。</w:t>
      </w:r>
    </w:p>
    <w:p>
      <w:pPr>
        <w:shd w:val="clear" w:color="auto" w:fill="auto"/>
        <w:ind w:firstLine="420"/>
        <w:outlineLvl w:val="9"/>
        <w:rPr>
          <w:color w:val="auto"/>
          <w:szCs w:val="21"/>
          <w:highlight w:val="none"/>
        </w:rPr>
      </w:pPr>
      <w:r>
        <w:rPr>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17.5 竣工结算</w:t>
      </w:r>
    </w:p>
    <w:p>
      <w:pPr>
        <w:shd w:val="clear" w:color="auto" w:fill="auto"/>
        <w:ind w:firstLine="420"/>
        <w:outlineLvl w:val="9"/>
        <w:rPr>
          <w:color w:val="auto"/>
          <w:szCs w:val="21"/>
          <w:highlight w:val="none"/>
        </w:rPr>
      </w:pPr>
      <w:r>
        <w:rPr>
          <w:color w:val="auto"/>
          <w:szCs w:val="21"/>
          <w:highlight w:val="none"/>
        </w:rPr>
        <w:t>17.5.1 竣工付款申请单</w:t>
      </w:r>
    </w:p>
    <w:p>
      <w:pPr>
        <w:shd w:val="clear" w:color="auto" w:fill="auto"/>
        <w:ind w:firstLine="420"/>
        <w:outlineLvl w:val="9"/>
        <w:rPr>
          <w:color w:val="auto"/>
          <w:szCs w:val="21"/>
          <w:highlight w:val="none"/>
        </w:rPr>
      </w:pPr>
      <w:r>
        <w:rPr>
          <w:color w:val="auto"/>
          <w:szCs w:val="21"/>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shd w:val="clear" w:color="auto" w:fill="auto"/>
        <w:ind w:firstLine="420"/>
        <w:outlineLvl w:val="9"/>
        <w:rPr>
          <w:color w:val="auto"/>
          <w:szCs w:val="21"/>
          <w:highlight w:val="none"/>
        </w:rPr>
      </w:pPr>
      <w:r>
        <w:rPr>
          <w:color w:val="auto"/>
          <w:szCs w:val="21"/>
          <w:highlight w:val="none"/>
        </w:rPr>
        <w:t>（2）监理人对竣工付款申请单有异议的，有权要求承包人进行修正和提供补充资料。经监理人和承包人协商后，由承包人向监理人提交修正后的竣工付款申请单。</w:t>
      </w:r>
    </w:p>
    <w:p>
      <w:pPr>
        <w:shd w:val="clear" w:color="auto" w:fill="auto"/>
        <w:ind w:firstLine="420"/>
        <w:outlineLvl w:val="9"/>
        <w:rPr>
          <w:color w:val="auto"/>
          <w:szCs w:val="21"/>
          <w:highlight w:val="none"/>
        </w:rPr>
      </w:pPr>
      <w:r>
        <w:rPr>
          <w:color w:val="auto"/>
          <w:szCs w:val="21"/>
          <w:highlight w:val="none"/>
        </w:rPr>
        <w:t>17.5.2 竣工付款证书及支付时间</w:t>
      </w:r>
    </w:p>
    <w:p>
      <w:pPr>
        <w:shd w:val="clear" w:color="auto" w:fill="auto"/>
        <w:ind w:firstLine="420"/>
        <w:outlineLvl w:val="9"/>
        <w:rPr>
          <w:color w:val="auto"/>
          <w:szCs w:val="21"/>
          <w:highlight w:val="none"/>
        </w:rPr>
      </w:pPr>
      <w:r>
        <w:rPr>
          <w:color w:val="auto"/>
          <w:szCs w:val="21"/>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shd w:val="clear" w:color="auto" w:fill="auto"/>
        <w:ind w:firstLine="420"/>
        <w:outlineLvl w:val="9"/>
        <w:rPr>
          <w:color w:val="auto"/>
          <w:szCs w:val="21"/>
          <w:highlight w:val="none"/>
        </w:rPr>
      </w:pPr>
      <w:r>
        <w:rPr>
          <w:color w:val="auto"/>
          <w:szCs w:val="21"/>
          <w:highlight w:val="none"/>
        </w:rPr>
        <w:t>（2）发包人应在监理人出具竣工付款证书后的14 天内，将应支付款支付给承包人。发包人不按期支付的，按第17.3.4（2）目的约定，将逾期付款违约金支付给承包人。</w:t>
      </w:r>
    </w:p>
    <w:p>
      <w:pPr>
        <w:shd w:val="clear" w:color="auto" w:fill="auto"/>
        <w:ind w:firstLine="420"/>
        <w:outlineLvl w:val="9"/>
        <w:rPr>
          <w:color w:val="auto"/>
          <w:szCs w:val="21"/>
          <w:highlight w:val="none"/>
        </w:rPr>
      </w:pPr>
      <w:r>
        <w:rPr>
          <w:color w:val="auto"/>
          <w:szCs w:val="21"/>
          <w:highlight w:val="none"/>
        </w:rPr>
        <w:t>（3）承包人对发包人签认的竣工付款证书有异议的，发包人可出具竣工付款申请单中承包人已同意部分的临时付款证书。存在争议的部分，按第24条的约定执行。</w:t>
      </w:r>
    </w:p>
    <w:p>
      <w:pPr>
        <w:shd w:val="clear" w:color="auto" w:fill="auto"/>
        <w:ind w:firstLine="420"/>
        <w:outlineLvl w:val="9"/>
        <w:rPr>
          <w:color w:val="auto"/>
          <w:szCs w:val="21"/>
          <w:highlight w:val="none"/>
        </w:rPr>
      </w:pPr>
      <w:r>
        <w:rPr>
          <w:color w:val="auto"/>
          <w:szCs w:val="21"/>
          <w:highlight w:val="none"/>
        </w:rPr>
        <w:t>（4）竣工付款涉及政府投资资金的，按第17.3.4（4）目的约定执行。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17.6 最终结清</w:t>
      </w:r>
    </w:p>
    <w:p>
      <w:pPr>
        <w:shd w:val="clear" w:color="auto" w:fill="auto"/>
        <w:ind w:firstLine="420"/>
        <w:outlineLvl w:val="9"/>
        <w:rPr>
          <w:color w:val="auto"/>
          <w:szCs w:val="21"/>
          <w:highlight w:val="none"/>
        </w:rPr>
      </w:pPr>
      <w:r>
        <w:rPr>
          <w:color w:val="auto"/>
          <w:szCs w:val="21"/>
          <w:highlight w:val="none"/>
        </w:rPr>
        <w:t>17.6.1 最终结清申请单</w:t>
      </w:r>
    </w:p>
    <w:p>
      <w:pPr>
        <w:shd w:val="clear" w:color="auto" w:fill="auto"/>
        <w:ind w:firstLine="420"/>
        <w:outlineLvl w:val="9"/>
        <w:rPr>
          <w:color w:val="auto"/>
          <w:szCs w:val="21"/>
          <w:highlight w:val="none"/>
        </w:rPr>
      </w:pPr>
      <w:r>
        <w:rPr>
          <w:color w:val="auto"/>
          <w:szCs w:val="21"/>
          <w:highlight w:val="none"/>
        </w:rPr>
        <w:t>（1）缺陷责任期终止证书签发后，承包人可按专用合同条款约定的份数和期限向监理人提交最终结清申请单，并提供相关证明材料。</w:t>
      </w:r>
    </w:p>
    <w:p>
      <w:pPr>
        <w:shd w:val="clear" w:color="auto" w:fill="auto"/>
        <w:ind w:firstLine="420"/>
        <w:outlineLvl w:val="9"/>
        <w:rPr>
          <w:color w:val="auto"/>
          <w:szCs w:val="21"/>
          <w:highlight w:val="none"/>
        </w:rPr>
      </w:pPr>
      <w:r>
        <w:rPr>
          <w:color w:val="auto"/>
          <w:szCs w:val="21"/>
          <w:highlight w:val="none"/>
        </w:rPr>
        <w:t>（2）发包人对最终结清申请单内容有异议的，有权要求承包人进行修正和提供补充资料，由承包人向监理人提交修正后的最终结清申请单。</w:t>
      </w:r>
    </w:p>
    <w:p>
      <w:pPr>
        <w:shd w:val="clear" w:color="auto" w:fill="auto"/>
        <w:ind w:firstLine="420"/>
        <w:outlineLvl w:val="9"/>
        <w:rPr>
          <w:color w:val="auto"/>
          <w:szCs w:val="21"/>
          <w:highlight w:val="none"/>
        </w:rPr>
      </w:pPr>
      <w:r>
        <w:rPr>
          <w:color w:val="auto"/>
          <w:szCs w:val="21"/>
          <w:highlight w:val="none"/>
        </w:rPr>
        <w:t>17.6.2 最终结清证书和支付时间</w:t>
      </w:r>
    </w:p>
    <w:p>
      <w:pPr>
        <w:shd w:val="clear" w:color="auto" w:fill="auto"/>
        <w:ind w:firstLine="420"/>
        <w:outlineLvl w:val="9"/>
        <w:rPr>
          <w:color w:val="auto"/>
          <w:szCs w:val="21"/>
          <w:highlight w:val="none"/>
        </w:rPr>
      </w:pPr>
      <w:r>
        <w:rPr>
          <w:color w:val="auto"/>
          <w:szCs w:val="21"/>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hd w:val="clear" w:color="auto" w:fill="auto"/>
        <w:ind w:firstLine="420"/>
        <w:outlineLvl w:val="9"/>
        <w:rPr>
          <w:color w:val="auto"/>
          <w:szCs w:val="21"/>
          <w:highlight w:val="none"/>
        </w:rPr>
      </w:pPr>
      <w:r>
        <w:rPr>
          <w:color w:val="auto"/>
          <w:szCs w:val="21"/>
          <w:highlight w:val="none"/>
        </w:rPr>
        <w:t>（2）发包人应在监理人出具最终结清证书后的14 天内，将应支付款支付给承包人。</w:t>
      </w:r>
    </w:p>
    <w:p>
      <w:pPr>
        <w:shd w:val="clear" w:color="auto" w:fill="auto"/>
        <w:ind w:firstLine="420"/>
        <w:outlineLvl w:val="9"/>
        <w:rPr>
          <w:color w:val="auto"/>
          <w:szCs w:val="21"/>
          <w:highlight w:val="none"/>
        </w:rPr>
      </w:pPr>
      <w:r>
        <w:rPr>
          <w:color w:val="auto"/>
          <w:szCs w:val="21"/>
          <w:highlight w:val="none"/>
        </w:rPr>
        <w:t>发包人不按期支付的，按第17.3.4（2）目的约定，将逾期付款违约金支付给承包人。</w:t>
      </w:r>
    </w:p>
    <w:p>
      <w:pPr>
        <w:shd w:val="clear" w:color="auto" w:fill="auto"/>
        <w:ind w:firstLine="420"/>
        <w:outlineLvl w:val="9"/>
        <w:rPr>
          <w:color w:val="auto"/>
          <w:szCs w:val="21"/>
          <w:highlight w:val="none"/>
        </w:rPr>
      </w:pPr>
      <w:r>
        <w:rPr>
          <w:color w:val="auto"/>
          <w:szCs w:val="21"/>
          <w:highlight w:val="none"/>
        </w:rPr>
        <w:t>（3）承包人对发包人签认的最终结清证书有异议的，按第24条的约定执行。</w:t>
      </w:r>
    </w:p>
    <w:p>
      <w:pPr>
        <w:shd w:val="clear" w:color="auto" w:fill="auto"/>
        <w:ind w:firstLine="420"/>
        <w:outlineLvl w:val="9"/>
        <w:rPr>
          <w:color w:val="auto"/>
          <w:szCs w:val="21"/>
          <w:highlight w:val="none"/>
        </w:rPr>
      </w:pPr>
      <w:r>
        <w:rPr>
          <w:color w:val="auto"/>
          <w:szCs w:val="21"/>
          <w:highlight w:val="none"/>
        </w:rPr>
        <w:t>（4）最终结清付款涉及政府投资资金的，按第17.3.4（4）目的约定执行。</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22" w:name="_Toc144327090"/>
      <w:bookmarkStart w:id="423" w:name="_Toc15046"/>
      <w:bookmarkStart w:id="424" w:name="_Toc6586"/>
      <w:r>
        <w:rPr>
          <w:rFonts w:ascii="Times New Roman" w:hAnsi="Times New Roman" w:cs="Times New Roman"/>
          <w:color w:val="auto"/>
          <w:sz w:val="21"/>
          <w:szCs w:val="21"/>
          <w:highlight w:val="none"/>
        </w:rPr>
        <w:t>18．竣工试验和竣工验收</w:t>
      </w:r>
      <w:bookmarkEnd w:id="422"/>
      <w:bookmarkEnd w:id="423"/>
      <w:bookmarkEnd w:id="424"/>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18.1 竣工试验 </w:t>
      </w:r>
    </w:p>
    <w:p>
      <w:pPr>
        <w:shd w:val="clear" w:color="auto" w:fill="auto"/>
        <w:ind w:firstLine="420"/>
        <w:outlineLvl w:val="9"/>
        <w:rPr>
          <w:color w:val="auto"/>
          <w:szCs w:val="21"/>
          <w:highlight w:val="none"/>
        </w:rPr>
      </w:pPr>
      <w:r>
        <w:rPr>
          <w:color w:val="auto"/>
          <w:szCs w:val="21"/>
          <w:highlight w:val="none"/>
        </w:rPr>
        <w:t>18.1.1承包人按照第5.5款和第5.6款提交文件后，进行竣工试验。</w:t>
      </w:r>
    </w:p>
    <w:p>
      <w:pPr>
        <w:shd w:val="clear" w:color="auto" w:fill="auto"/>
        <w:ind w:firstLine="420"/>
        <w:outlineLvl w:val="9"/>
        <w:rPr>
          <w:color w:val="auto"/>
          <w:szCs w:val="21"/>
          <w:highlight w:val="none"/>
        </w:rPr>
      </w:pPr>
      <w:r>
        <w:rPr>
          <w:color w:val="auto"/>
          <w:szCs w:val="21"/>
          <w:highlight w:val="none"/>
        </w:rPr>
        <w:t>18.1.2承包人应提前21天将可以开始进行竣工试验的日期通知监理人，监理人应在该日期后14天内，确定竣工试验具体时间。除专用合同条款中另有约定外，竣工试验应按下述顺序进行：</w:t>
      </w:r>
    </w:p>
    <w:p>
      <w:pPr>
        <w:shd w:val="clear" w:color="auto" w:fill="auto"/>
        <w:ind w:firstLine="420"/>
        <w:outlineLvl w:val="9"/>
        <w:rPr>
          <w:color w:val="auto"/>
          <w:szCs w:val="21"/>
          <w:highlight w:val="none"/>
        </w:rPr>
      </w:pPr>
      <w:r>
        <w:rPr>
          <w:color w:val="auto"/>
          <w:szCs w:val="21"/>
          <w:highlight w:val="none"/>
        </w:rPr>
        <w:t>（1）第一阶段，承包人进行适当的检查和功能性试验，保证每一项工程设备都满足合同要求，并能安全地进入下一阶段试验;</w:t>
      </w:r>
    </w:p>
    <w:p>
      <w:pPr>
        <w:shd w:val="clear" w:color="auto" w:fill="auto"/>
        <w:ind w:firstLine="420"/>
        <w:outlineLvl w:val="9"/>
        <w:rPr>
          <w:color w:val="auto"/>
          <w:szCs w:val="21"/>
          <w:highlight w:val="none"/>
        </w:rPr>
      </w:pPr>
      <w:r>
        <w:rPr>
          <w:color w:val="auto"/>
          <w:szCs w:val="21"/>
          <w:highlight w:val="none"/>
        </w:rPr>
        <w:t>（2）第二阶段，承包人进行试验，保证工程或区段工程满足合同要求，在所有可利用的操作条件下安全运行；</w:t>
      </w:r>
    </w:p>
    <w:p>
      <w:pPr>
        <w:shd w:val="clear" w:color="auto" w:fill="auto"/>
        <w:ind w:firstLine="420"/>
        <w:outlineLvl w:val="9"/>
        <w:rPr>
          <w:color w:val="auto"/>
          <w:szCs w:val="21"/>
          <w:highlight w:val="none"/>
        </w:rPr>
      </w:pPr>
      <w:r>
        <w:rPr>
          <w:color w:val="auto"/>
          <w:szCs w:val="21"/>
          <w:highlight w:val="none"/>
        </w:rPr>
        <w:t>（3）第三阶段，当工程能安全运行时，承包人应通知监理人，可以进行其他竣工试验，包括各种性能测试，以证明工程符合发包人要求中列明的性能保证指标。</w:t>
      </w:r>
    </w:p>
    <w:p>
      <w:pPr>
        <w:shd w:val="clear" w:color="auto" w:fill="auto"/>
        <w:ind w:firstLine="420"/>
        <w:outlineLvl w:val="9"/>
        <w:rPr>
          <w:color w:val="auto"/>
          <w:szCs w:val="21"/>
          <w:highlight w:val="none"/>
        </w:rPr>
      </w:pPr>
      <w:r>
        <w:rPr>
          <w:color w:val="auto"/>
          <w:szCs w:val="21"/>
          <w:highlight w:val="none"/>
        </w:rPr>
        <w:t>18.1.3 承包人应按合同约定进行工程及工程设备试运行。试运行所需人员、设备、材料、燃料、电力、消耗品、工具等必要的条件以及试运行费用等由专用合同条款规定。</w:t>
      </w:r>
    </w:p>
    <w:p>
      <w:pPr>
        <w:shd w:val="clear" w:color="auto" w:fill="auto"/>
        <w:ind w:firstLine="420"/>
        <w:outlineLvl w:val="9"/>
        <w:rPr>
          <w:color w:val="auto"/>
          <w:szCs w:val="21"/>
          <w:highlight w:val="none"/>
        </w:rPr>
      </w:pPr>
      <w:r>
        <w:rPr>
          <w:color w:val="auto"/>
          <w:szCs w:val="21"/>
          <w:highlight w:val="none"/>
        </w:rPr>
        <w:t>18.1.4 某项竣工试验未能通过的，承包人应按照监理人的指示限期改正，并承担合同约定的相应责任。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18.2 竣工验收申请报告</w:t>
      </w:r>
    </w:p>
    <w:p>
      <w:pPr>
        <w:shd w:val="clear" w:color="auto" w:fill="auto"/>
        <w:ind w:firstLine="420"/>
        <w:outlineLvl w:val="9"/>
        <w:rPr>
          <w:color w:val="auto"/>
          <w:szCs w:val="21"/>
          <w:highlight w:val="none"/>
        </w:rPr>
      </w:pPr>
      <w:r>
        <w:rPr>
          <w:color w:val="auto"/>
          <w:szCs w:val="21"/>
          <w:highlight w:val="none"/>
        </w:rPr>
        <w:t>当工程具备以下条件时，承包人即可向监理人报送竣工验收申请报告：</w:t>
      </w:r>
    </w:p>
    <w:p>
      <w:pPr>
        <w:shd w:val="clear" w:color="auto" w:fill="auto"/>
        <w:ind w:firstLine="420"/>
        <w:outlineLvl w:val="9"/>
        <w:rPr>
          <w:color w:val="auto"/>
          <w:szCs w:val="21"/>
          <w:highlight w:val="none"/>
        </w:rPr>
      </w:pPr>
      <w:r>
        <w:rPr>
          <w:color w:val="auto"/>
          <w:szCs w:val="21"/>
          <w:highlight w:val="none"/>
        </w:rPr>
        <w:t>（1）除监理人同意列入缺陷责任期内完成的尾工（甩项）工程和缺陷修补工作外，合同范围内的全部区段工程以及有关工作，包括合同要求的试验和竣工试验均已完成，并符合合同要求；</w:t>
      </w:r>
    </w:p>
    <w:p>
      <w:pPr>
        <w:shd w:val="clear" w:color="auto" w:fill="auto"/>
        <w:ind w:firstLine="420"/>
        <w:outlineLvl w:val="9"/>
        <w:rPr>
          <w:color w:val="auto"/>
          <w:szCs w:val="21"/>
          <w:highlight w:val="none"/>
        </w:rPr>
      </w:pPr>
      <w:r>
        <w:rPr>
          <w:color w:val="auto"/>
          <w:szCs w:val="21"/>
          <w:highlight w:val="none"/>
        </w:rPr>
        <w:t>（2）已按合同约定的内容和份数备齐了符合要求的竣工文件；</w:t>
      </w:r>
    </w:p>
    <w:p>
      <w:pPr>
        <w:shd w:val="clear" w:color="auto" w:fill="auto"/>
        <w:ind w:firstLine="420"/>
        <w:outlineLvl w:val="9"/>
        <w:rPr>
          <w:color w:val="auto"/>
          <w:szCs w:val="21"/>
          <w:highlight w:val="none"/>
        </w:rPr>
      </w:pPr>
      <w:r>
        <w:rPr>
          <w:color w:val="auto"/>
          <w:szCs w:val="21"/>
          <w:highlight w:val="none"/>
        </w:rPr>
        <w:t>（3）已按监理人的要求编制了在缺陷责任期内完成的尾工（甩项）工程和缺陷修补工作清单以及相应施工计划；</w:t>
      </w:r>
    </w:p>
    <w:p>
      <w:pPr>
        <w:shd w:val="clear" w:color="auto" w:fill="auto"/>
        <w:ind w:firstLine="420"/>
        <w:outlineLvl w:val="9"/>
        <w:rPr>
          <w:color w:val="auto"/>
          <w:szCs w:val="21"/>
          <w:highlight w:val="none"/>
        </w:rPr>
      </w:pPr>
      <w:r>
        <w:rPr>
          <w:color w:val="auto"/>
          <w:szCs w:val="21"/>
          <w:highlight w:val="none"/>
        </w:rPr>
        <w:t>（4）监理人要求在竣工验收前应完成的其他工作；</w:t>
      </w:r>
    </w:p>
    <w:p>
      <w:pPr>
        <w:shd w:val="clear" w:color="auto" w:fill="auto"/>
        <w:ind w:firstLine="420"/>
        <w:outlineLvl w:val="9"/>
        <w:rPr>
          <w:color w:val="auto"/>
          <w:szCs w:val="21"/>
          <w:highlight w:val="none"/>
        </w:rPr>
      </w:pPr>
      <w:r>
        <w:rPr>
          <w:color w:val="auto"/>
          <w:szCs w:val="21"/>
          <w:highlight w:val="none"/>
        </w:rPr>
        <w:t>（5）监理人要求提交的竣工验收资料清单。</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18.3 竣工验收</w:t>
      </w:r>
    </w:p>
    <w:p>
      <w:pPr>
        <w:shd w:val="clear" w:color="auto" w:fill="auto"/>
        <w:ind w:firstLine="420"/>
        <w:outlineLvl w:val="9"/>
        <w:rPr>
          <w:color w:val="auto"/>
          <w:szCs w:val="21"/>
          <w:highlight w:val="none"/>
        </w:rPr>
      </w:pPr>
      <w:r>
        <w:rPr>
          <w:color w:val="auto"/>
          <w:szCs w:val="21"/>
          <w:highlight w:val="none"/>
        </w:rPr>
        <w:t>监理人收到承包人按第18.2款约定提交的竣工验收申请报告后，应审查申请报告的各项内容，并按以下不同情况进行处理。</w:t>
      </w:r>
    </w:p>
    <w:p>
      <w:pPr>
        <w:shd w:val="clear" w:color="auto" w:fill="auto"/>
        <w:ind w:firstLine="420"/>
        <w:outlineLvl w:val="9"/>
        <w:rPr>
          <w:color w:val="auto"/>
          <w:szCs w:val="21"/>
          <w:highlight w:val="none"/>
        </w:rPr>
      </w:pPr>
      <w:r>
        <w:rPr>
          <w:color w:val="auto"/>
          <w:szCs w:val="21"/>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监理人收到竣工验收申请报告后28天内不予答复的，视为同意承包人的竣工验收申请，并应在收到该竣工验收申请报告后28天内提请发包人进行竣工验收。</w:t>
      </w:r>
    </w:p>
    <w:p>
      <w:pPr>
        <w:shd w:val="clear" w:color="auto" w:fill="auto"/>
        <w:ind w:firstLine="420"/>
        <w:outlineLvl w:val="9"/>
        <w:rPr>
          <w:color w:val="auto"/>
          <w:szCs w:val="21"/>
          <w:highlight w:val="none"/>
        </w:rPr>
      </w:pPr>
      <w:r>
        <w:rPr>
          <w:color w:val="auto"/>
          <w:szCs w:val="21"/>
          <w:highlight w:val="none"/>
        </w:rPr>
        <w:t>18.3.2 监理人同意承包人提交的竣工验收申请报告的，应在收到该竣工验收申请报告后的28天内提请发包人进行工程验收。</w:t>
      </w:r>
    </w:p>
    <w:p>
      <w:pPr>
        <w:shd w:val="clear" w:color="auto" w:fill="auto"/>
        <w:ind w:firstLine="420"/>
        <w:outlineLvl w:val="9"/>
        <w:rPr>
          <w:color w:val="auto"/>
          <w:szCs w:val="21"/>
          <w:highlight w:val="none"/>
        </w:rPr>
      </w:pPr>
      <w:r>
        <w:rPr>
          <w:color w:val="auto"/>
          <w:szCs w:val="21"/>
          <w:highlight w:val="none"/>
        </w:rPr>
        <w:t>18.3.3 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shd w:val="clear" w:color="auto" w:fill="auto"/>
        <w:ind w:firstLine="420"/>
        <w:outlineLvl w:val="9"/>
        <w:rPr>
          <w:color w:val="auto"/>
          <w:szCs w:val="21"/>
          <w:highlight w:val="none"/>
        </w:rPr>
      </w:pPr>
      <w:r>
        <w:rPr>
          <w:color w:val="auto"/>
          <w:szCs w:val="21"/>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pPr>
        <w:shd w:val="clear" w:color="auto" w:fill="auto"/>
        <w:ind w:firstLine="420"/>
        <w:outlineLvl w:val="9"/>
        <w:rPr>
          <w:color w:val="auto"/>
          <w:szCs w:val="21"/>
          <w:highlight w:val="none"/>
        </w:rPr>
      </w:pPr>
      <w:r>
        <w:rPr>
          <w:color w:val="auto"/>
          <w:szCs w:val="21"/>
          <w:highlight w:val="none"/>
        </w:rPr>
        <w:t>18.3.5 除专用合同条款另有约定外，经验收合格工程的实际竣工日期，以提交竣工验收申请报告的日期为准，并在工程接收证书中写明。</w:t>
      </w:r>
    </w:p>
    <w:p>
      <w:pPr>
        <w:shd w:val="clear" w:color="auto" w:fill="auto"/>
        <w:ind w:firstLine="420"/>
        <w:outlineLvl w:val="9"/>
        <w:rPr>
          <w:color w:val="auto"/>
          <w:szCs w:val="21"/>
          <w:highlight w:val="none"/>
        </w:rPr>
      </w:pPr>
      <w:r>
        <w:rPr>
          <w:color w:val="auto"/>
          <w:szCs w:val="21"/>
          <w:highlight w:val="none"/>
        </w:rPr>
        <w:t>18.3.6 发包人在收到承包人竣工验收申请报告56天后未进行验收的，视为验收合格，实际竣工日期以提交竣工验收申请报告的日期为准，但发包人由于不可抗力不能进行验收的除外。</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18.4 国家验收</w:t>
      </w:r>
    </w:p>
    <w:p>
      <w:pPr>
        <w:shd w:val="clear" w:color="auto" w:fill="auto"/>
        <w:ind w:firstLine="420"/>
        <w:outlineLvl w:val="9"/>
        <w:rPr>
          <w:color w:val="auto"/>
          <w:szCs w:val="21"/>
          <w:highlight w:val="none"/>
        </w:rPr>
      </w:pPr>
      <w:r>
        <w:rPr>
          <w:color w:val="auto"/>
          <w:szCs w:val="21"/>
          <w:highlight w:val="none"/>
        </w:rPr>
        <w:t>需要进行国家验收的，竣工验收是国家验收的一部分。竣工验收所采用的各项验收和评定标准应符合国家验收标准。发包人和承包人为竣工验收提供的各项竣工验收资料应符合国家验收的要求。</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18.5 区段工程验收</w:t>
      </w:r>
    </w:p>
    <w:p>
      <w:pPr>
        <w:shd w:val="clear" w:color="auto" w:fill="auto"/>
        <w:ind w:firstLine="420"/>
        <w:outlineLvl w:val="9"/>
        <w:rPr>
          <w:color w:val="auto"/>
          <w:szCs w:val="21"/>
          <w:highlight w:val="none"/>
        </w:rPr>
      </w:pPr>
      <w:r>
        <w:rPr>
          <w:color w:val="auto"/>
          <w:szCs w:val="21"/>
          <w:highlight w:val="none"/>
        </w:rPr>
        <w:t>18.5.1 发包人根据合同进度计划安排，在全部工程竣工前需要使用已经竣工的区段工程时，或承包人提出经发包人同意时，可进行区段工程验收。验收的程序可参照第18.2款与第18.3款的约定进行。验收合格后，由监理人向承包人出具经发包人签认的区段工程验收证书。已签发区段工程接收证书的区段工程由发包人负责照管。区段工程的验收成果和结论作为全部工程竣工验收申请报告的附件。</w:t>
      </w:r>
    </w:p>
    <w:p>
      <w:pPr>
        <w:shd w:val="clear" w:color="auto" w:fill="auto"/>
        <w:ind w:firstLine="420"/>
        <w:outlineLvl w:val="9"/>
        <w:rPr>
          <w:color w:val="auto"/>
          <w:szCs w:val="21"/>
          <w:highlight w:val="none"/>
        </w:rPr>
      </w:pPr>
      <w:r>
        <w:rPr>
          <w:color w:val="auto"/>
          <w:szCs w:val="21"/>
          <w:highlight w:val="none"/>
        </w:rPr>
        <w:t>18.5.2 发包人在全部工程竣工前，使用已接收的区段工程导致承包人费用增加的，发包人应承担由此增加的费用和（或）工期延误，并支付承包人合理利润。</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18.6 施工期运行</w:t>
      </w:r>
    </w:p>
    <w:p>
      <w:pPr>
        <w:shd w:val="clear" w:color="auto" w:fill="auto"/>
        <w:ind w:firstLine="420"/>
        <w:outlineLvl w:val="9"/>
        <w:rPr>
          <w:color w:val="auto"/>
          <w:szCs w:val="21"/>
          <w:highlight w:val="none"/>
        </w:rPr>
      </w:pPr>
      <w:r>
        <w:rPr>
          <w:color w:val="auto"/>
          <w:szCs w:val="21"/>
          <w:highlight w:val="none"/>
        </w:rPr>
        <w:t>18.6.1 施工期运行是指合同工程尚未全部竣工，其中某项或某几项区段工程或工程设备安装已竣工，根据专用合同条款约定，需要投入施工期运行的，经发包人按第18.5款的约定验收合格，证明能确保安全后，才能在施工期投入运行。</w:t>
      </w:r>
    </w:p>
    <w:p>
      <w:pPr>
        <w:shd w:val="clear" w:color="auto" w:fill="auto"/>
        <w:ind w:firstLine="420"/>
        <w:outlineLvl w:val="9"/>
        <w:rPr>
          <w:color w:val="auto"/>
          <w:szCs w:val="21"/>
          <w:highlight w:val="none"/>
        </w:rPr>
      </w:pPr>
      <w:r>
        <w:rPr>
          <w:color w:val="auto"/>
          <w:szCs w:val="21"/>
          <w:highlight w:val="none"/>
        </w:rPr>
        <w:t>18.6.2 在施工期运行中发现工程或工程设备损坏或存在缺陷的，由承包人按第19.2款约定进行修复。</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18.7 竣工清场</w:t>
      </w:r>
    </w:p>
    <w:p>
      <w:pPr>
        <w:shd w:val="clear" w:color="auto" w:fill="auto"/>
        <w:ind w:firstLine="420"/>
        <w:outlineLvl w:val="9"/>
        <w:rPr>
          <w:color w:val="auto"/>
          <w:szCs w:val="21"/>
          <w:highlight w:val="none"/>
        </w:rPr>
      </w:pPr>
      <w:r>
        <w:rPr>
          <w:color w:val="auto"/>
          <w:szCs w:val="21"/>
          <w:highlight w:val="none"/>
        </w:rPr>
        <w:t>18.7.1 除合同另有约定外，工程接收证书颁发后，承包人应按以下要求对施工场地进行清理，直至监理人检验合格为止。竣工清场费用由承包人承担。</w:t>
      </w:r>
    </w:p>
    <w:p>
      <w:pPr>
        <w:shd w:val="clear" w:color="auto" w:fill="auto"/>
        <w:ind w:firstLine="420"/>
        <w:outlineLvl w:val="9"/>
        <w:rPr>
          <w:color w:val="auto"/>
          <w:szCs w:val="21"/>
          <w:highlight w:val="none"/>
        </w:rPr>
      </w:pPr>
      <w:r>
        <w:rPr>
          <w:color w:val="auto"/>
          <w:szCs w:val="21"/>
          <w:highlight w:val="none"/>
        </w:rPr>
        <w:t>（1）施工场地内残留的垃圾已全部清除出场；</w:t>
      </w:r>
    </w:p>
    <w:p>
      <w:pPr>
        <w:shd w:val="clear" w:color="auto" w:fill="auto"/>
        <w:ind w:firstLine="420"/>
        <w:outlineLvl w:val="9"/>
        <w:rPr>
          <w:color w:val="auto"/>
          <w:szCs w:val="21"/>
          <w:highlight w:val="none"/>
        </w:rPr>
      </w:pPr>
      <w:r>
        <w:rPr>
          <w:color w:val="auto"/>
          <w:szCs w:val="21"/>
          <w:highlight w:val="none"/>
        </w:rPr>
        <w:t>（2）临时工程已拆除，场地已按合同要求进行清理、平整或复原；</w:t>
      </w:r>
    </w:p>
    <w:p>
      <w:pPr>
        <w:shd w:val="clear" w:color="auto" w:fill="auto"/>
        <w:ind w:firstLine="420"/>
        <w:outlineLvl w:val="9"/>
        <w:rPr>
          <w:color w:val="auto"/>
          <w:szCs w:val="21"/>
          <w:highlight w:val="none"/>
        </w:rPr>
      </w:pPr>
      <w:r>
        <w:rPr>
          <w:color w:val="auto"/>
          <w:szCs w:val="21"/>
          <w:highlight w:val="none"/>
        </w:rPr>
        <w:t>（3）按合同约定应撤离的承包人设备和剩余的材料，包括废弃的施工设备和材料，已按计划撤离施工场地；</w:t>
      </w:r>
    </w:p>
    <w:p>
      <w:pPr>
        <w:shd w:val="clear" w:color="auto" w:fill="auto"/>
        <w:ind w:firstLine="420"/>
        <w:outlineLvl w:val="9"/>
        <w:rPr>
          <w:color w:val="auto"/>
          <w:szCs w:val="21"/>
          <w:highlight w:val="none"/>
        </w:rPr>
      </w:pPr>
      <w:r>
        <w:rPr>
          <w:color w:val="auto"/>
          <w:szCs w:val="21"/>
          <w:highlight w:val="none"/>
        </w:rPr>
        <w:t>（4）工程建筑物周边及其附近道路、河道的施工堆积物，已按监理人指示全部清理；</w:t>
      </w:r>
    </w:p>
    <w:p>
      <w:pPr>
        <w:shd w:val="clear" w:color="auto" w:fill="auto"/>
        <w:ind w:firstLine="420"/>
        <w:outlineLvl w:val="9"/>
        <w:rPr>
          <w:color w:val="auto"/>
          <w:szCs w:val="21"/>
          <w:highlight w:val="none"/>
        </w:rPr>
      </w:pPr>
      <w:r>
        <w:rPr>
          <w:color w:val="auto"/>
          <w:szCs w:val="21"/>
          <w:highlight w:val="none"/>
        </w:rPr>
        <w:t>（5）监理人指示的其他场地清理工作已全部完成。</w:t>
      </w:r>
    </w:p>
    <w:p>
      <w:pPr>
        <w:shd w:val="clear" w:color="auto" w:fill="auto"/>
        <w:ind w:firstLine="420"/>
        <w:outlineLvl w:val="9"/>
        <w:rPr>
          <w:color w:val="auto"/>
          <w:szCs w:val="21"/>
          <w:highlight w:val="none"/>
        </w:rPr>
      </w:pPr>
      <w:r>
        <w:rPr>
          <w:color w:val="auto"/>
          <w:szCs w:val="21"/>
          <w:highlight w:val="none"/>
        </w:rPr>
        <w:t>18.7.2 承包人未按监理人的要求恢复临时占地，或者场地清理未达到合同约定的，发包人有权委托其他人恢复或清理，所发生的金额从拟支付给承包人的款项中扣除。</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18.8 施工队伍的撤离</w:t>
      </w:r>
    </w:p>
    <w:p>
      <w:pPr>
        <w:shd w:val="clear" w:color="auto" w:fill="auto"/>
        <w:ind w:firstLine="420"/>
        <w:outlineLvl w:val="9"/>
        <w:rPr>
          <w:color w:val="auto"/>
          <w:szCs w:val="21"/>
          <w:highlight w:val="none"/>
        </w:rPr>
      </w:pPr>
      <w:r>
        <w:rPr>
          <w:color w:val="auto"/>
          <w:szCs w:val="21"/>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18.9 竣工后试验（A）</w:t>
      </w:r>
    </w:p>
    <w:p>
      <w:pPr>
        <w:shd w:val="clear" w:color="auto" w:fill="auto"/>
        <w:ind w:firstLine="420"/>
        <w:outlineLvl w:val="9"/>
        <w:rPr>
          <w:color w:val="auto"/>
          <w:szCs w:val="21"/>
          <w:highlight w:val="none"/>
        </w:rPr>
      </w:pPr>
      <w:r>
        <w:rPr>
          <w:color w:val="auto"/>
          <w:szCs w:val="21"/>
          <w:highlight w:val="none"/>
        </w:rPr>
        <w:t>除专用合同条款另有约定外，发包人应：</w:t>
      </w:r>
    </w:p>
    <w:p>
      <w:pPr>
        <w:shd w:val="clear" w:color="auto" w:fill="auto"/>
        <w:ind w:firstLine="420"/>
        <w:outlineLvl w:val="9"/>
        <w:rPr>
          <w:color w:val="auto"/>
          <w:szCs w:val="21"/>
          <w:highlight w:val="none"/>
        </w:rPr>
      </w:pPr>
      <w:r>
        <w:rPr>
          <w:color w:val="auto"/>
          <w:szCs w:val="21"/>
          <w:highlight w:val="none"/>
        </w:rPr>
        <w:t>（1）为竣工后试验提供必要的电力、设备、燃料、仪器、劳力、材料，以及具有适当资质和经验的工作人员；</w:t>
      </w:r>
    </w:p>
    <w:p>
      <w:pPr>
        <w:shd w:val="clear" w:color="auto" w:fill="auto"/>
        <w:ind w:firstLine="420"/>
        <w:outlineLvl w:val="9"/>
        <w:rPr>
          <w:color w:val="auto"/>
          <w:szCs w:val="21"/>
          <w:highlight w:val="none"/>
        </w:rPr>
      </w:pPr>
      <w:r>
        <w:rPr>
          <w:color w:val="auto"/>
          <w:szCs w:val="21"/>
          <w:highlight w:val="none"/>
        </w:rPr>
        <w:t>（2）根据承包商按照第5.6款提供的手册，以及承包人给予的指导进行竣工后试验。</w:t>
      </w:r>
    </w:p>
    <w:p>
      <w:pPr>
        <w:shd w:val="clear" w:color="auto" w:fill="auto"/>
        <w:ind w:firstLine="420"/>
        <w:outlineLvl w:val="9"/>
        <w:rPr>
          <w:color w:val="auto"/>
          <w:szCs w:val="21"/>
          <w:highlight w:val="none"/>
        </w:rPr>
      </w:pPr>
      <w:r>
        <w:rPr>
          <w:color w:val="auto"/>
          <w:szCs w:val="21"/>
          <w:highlight w:val="none"/>
        </w:rPr>
        <w:t>发包人应提前21天将竣工后试验的日期通知承包人。如果承包人未能在该日期出席竣工后试验，发包人可自行进行，承包人应对检验数据予以认可。</w:t>
      </w:r>
    </w:p>
    <w:p>
      <w:pPr>
        <w:shd w:val="clear" w:color="auto" w:fill="auto"/>
        <w:ind w:firstLine="420"/>
        <w:outlineLvl w:val="9"/>
        <w:rPr>
          <w:color w:val="auto"/>
          <w:szCs w:val="21"/>
          <w:highlight w:val="none"/>
        </w:rPr>
      </w:pPr>
      <w:r>
        <w:rPr>
          <w:color w:val="auto"/>
          <w:szCs w:val="21"/>
          <w:highlight w:val="none"/>
        </w:rPr>
        <w:t>因承包人原因造成某项竣工后试验未能通过的，承包人应按照合同的约定进行赔偿，或者承包人提出修复建议，按照发包人指示的合理期限内改正，并承担合同约定的相应责任。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18.9 竣工后试验（B）</w:t>
      </w:r>
    </w:p>
    <w:p>
      <w:pPr>
        <w:shd w:val="clear" w:color="auto" w:fill="auto"/>
        <w:ind w:firstLine="420"/>
        <w:outlineLvl w:val="9"/>
        <w:rPr>
          <w:color w:val="auto"/>
          <w:szCs w:val="21"/>
          <w:highlight w:val="none"/>
        </w:rPr>
      </w:pPr>
      <w:r>
        <w:rPr>
          <w:color w:val="auto"/>
          <w:szCs w:val="21"/>
          <w:highlight w:val="none"/>
        </w:rPr>
        <w:t>除专用合同条款另有约定外：</w:t>
      </w:r>
    </w:p>
    <w:p>
      <w:pPr>
        <w:shd w:val="clear" w:color="auto" w:fill="auto"/>
        <w:ind w:firstLine="420"/>
        <w:outlineLvl w:val="9"/>
        <w:rPr>
          <w:color w:val="auto"/>
          <w:szCs w:val="21"/>
          <w:highlight w:val="none"/>
        </w:rPr>
      </w:pPr>
      <w:r>
        <w:rPr>
          <w:color w:val="auto"/>
          <w:szCs w:val="21"/>
          <w:highlight w:val="none"/>
        </w:rPr>
        <w:t>（1）发包人为竣工后试验提供必要的电力、材料、燃料、发包人人员和工程设备；</w:t>
      </w:r>
    </w:p>
    <w:p>
      <w:pPr>
        <w:shd w:val="clear" w:color="auto" w:fill="auto"/>
        <w:ind w:firstLine="420"/>
        <w:outlineLvl w:val="9"/>
        <w:rPr>
          <w:color w:val="auto"/>
          <w:szCs w:val="21"/>
          <w:highlight w:val="none"/>
        </w:rPr>
      </w:pPr>
      <w:r>
        <w:rPr>
          <w:color w:val="auto"/>
          <w:szCs w:val="21"/>
          <w:highlight w:val="none"/>
        </w:rPr>
        <w:t>（2）承包人应提供竣工后试验所需要的所有其他设备、仪器，以及有资格和经验的工作人员；</w:t>
      </w:r>
    </w:p>
    <w:p>
      <w:pPr>
        <w:shd w:val="clear" w:color="auto" w:fill="auto"/>
        <w:ind w:firstLine="420"/>
        <w:outlineLvl w:val="9"/>
        <w:rPr>
          <w:color w:val="auto"/>
          <w:szCs w:val="21"/>
          <w:highlight w:val="none"/>
        </w:rPr>
      </w:pPr>
      <w:r>
        <w:rPr>
          <w:color w:val="auto"/>
          <w:szCs w:val="21"/>
          <w:highlight w:val="none"/>
        </w:rPr>
        <w:t>（3）承包人应在发包人在场的情况下，进行竣工后试验。发包人应提前21天将竣工后试验的日期通知承包人。因承包人原因造成某项竣工后试验未能通过的，承包人应按照合同的约定进行赔偿，或者承包人提出修复建议，按照发包人指示的合理期限内改正，并承担合同约定的相应责任。</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25" w:name="_Toc27856"/>
      <w:bookmarkStart w:id="426" w:name="_Toc244"/>
      <w:bookmarkStart w:id="427" w:name="_Toc144327091"/>
      <w:r>
        <w:rPr>
          <w:rFonts w:ascii="Times New Roman" w:hAnsi="Times New Roman" w:cs="Times New Roman"/>
          <w:color w:val="auto"/>
          <w:sz w:val="21"/>
          <w:szCs w:val="21"/>
          <w:highlight w:val="none"/>
        </w:rPr>
        <w:t>19．缺陷责任与保修责任</w:t>
      </w:r>
      <w:bookmarkEnd w:id="425"/>
      <w:bookmarkEnd w:id="426"/>
      <w:bookmarkEnd w:id="427"/>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19.1 缺陷责任期的起算时间</w:t>
      </w:r>
    </w:p>
    <w:p>
      <w:pPr>
        <w:shd w:val="clear" w:color="auto" w:fill="auto"/>
        <w:ind w:firstLine="420"/>
        <w:outlineLvl w:val="9"/>
        <w:rPr>
          <w:color w:val="auto"/>
          <w:szCs w:val="21"/>
          <w:highlight w:val="none"/>
        </w:rPr>
      </w:pPr>
      <w:r>
        <w:rPr>
          <w:color w:val="auto"/>
          <w:szCs w:val="21"/>
          <w:highlight w:val="none"/>
        </w:rPr>
        <w:t>缺陷责任期自实际竣工日期起计算。在全部工程竣工验收前，已经发包人提前验收的区段工程或进入施工期运行的工程，其缺陷责任期的起算日期相应提前到相应工程竣工日。</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19.2 缺陷责任</w:t>
      </w:r>
    </w:p>
    <w:p>
      <w:pPr>
        <w:shd w:val="clear" w:color="auto" w:fill="auto"/>
        <w:ind w:firstLine="420"/>
        <w:outlineLvl w:val="9"/>
        <w:rPr>
          <w:color w:val="auto"/>
          <w:szCs w:val="21"/>
          <w:highlight w:val="none"/>
        </w:rPr>
      </w:pPr>
      <w:r>
        <w:rPr>
          <w:color w:val="auto"/>
          <w:szCs w:val="21"/>
          <w:highlight w:val="none"/>
        </w:rPr>
        <w:t>19.2.1 承包人应在缺陷责任期内对已交付使用的工程承担缺陷责任。</w:t>
      </w:r>
    </w:p>
    <w:p>
      <w:pPr>
        <w:shd w:val="clear" w:color="auto" w:fill="auto"/>
        <w:ind w:firstLine="420"/>
        <w:outlineLvl w:val="9"/>
        <w:rPr>
          <w:color w:val="auto"/>
          <w:szCs w:val="21"/>
          <w:highlight w:val="none"/>
        </w:rPr>
      </w:pPr>
      <w:r>
        <w:rPr>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pPr>
        <w:shd w:val="clear" w:color="auto" w:fill="auto"/>
        <w:ind w:firstLine="420"/>
        <w:outlineLvl w:val="9"/>
        <w:rPr>
          <w:color w:val="auto"/>
          <w:szCs w:val="21"/>
          <w:highlight w:val="none"/>
        </w:rPr>
      </w:pPr>
      <w:r>
        <w:rPr>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hd w:val="clear" w:color="auto" w:fill="auto"/>
        <w:ind w:firstLine="420"/>
        <w:outlineLvl w:val="9"/>
        <w:rPr>
          <w:color w:val="auto"/>
          <w:szCs w:val="21"/>
          <w:highlight w:val="none"/>
        </w:rPr>
      </w:pPr>
      <w:r>
        <w:rPr>
          <w:color w:val="auto"/>
          <w:szCs w:val="21"/>
          <w:highlight w:val="none"/>
        </w:rPr>
        <w:t>19.2.4 承包人不能在合理时间内修复缺陷的，发包人可自行修复或委托其他人修复，所需费用和利润的承担，按第19.2.3项约定执行。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 缺陷责任期的延长</w:t>
      </w:r>
    </w:p>
    <w:p>
      <w:pPr>
        <w:shd w:val="clear" w:color="auto" w:fill="auto"/>
        <w:ind w:firstLine="420"/>
        <w:outlineLvl w:val="9"/>
        <w:rPr>
          <w:color w:val="auto"/>
          <w:szCs w:val="21"/>
          <w:highlight w:val="none"/>
        </w:rPr>
      </w:pPr>
      <w:r>
        <w:rPr>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19.4 进一步试验和试运行</w:t>
      </w:r>
    </w:p>
    <w:p>
      <w:pPr>
        <w:shd w:val="clear" w:color="auto" w:fill="auto"/>
        <w:ind w:firstLine="420"/>
        <w:outlineLvl w:val="9"/>
        <w:rPr>
          <w:color w:val="auto"/>
          <w:szCs w:val="21"/>
          <w:highlight w:val="none"/>
        </w:rPr>
      </w:pPr>
      <w:r>
        <w:rPr>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19.5 承包人的进入权</w:t>
      </w:r>
    </w:p>
    <w:p>
      <w:pPr>
        <w:shd w:val="clear" w:color="auto" w:fill="auto"/>
        <w:ind w:firstLine="420"/>
        <w:outlineLvl w:val="9"/>
        <w:rPr>
          <w:color w:val="auto"/>
          <w:szCs w:val="21"/>
          <w:highlight w:val="none"/>
        </w:rPr>
      </w:pPr>
      <w:r>
        <w:rPr>
          <w:color w:val="auto"/>
          <w:szCs w:val="21"/>
          <w:highlight w:val="none"/>
        </w:rPr>
        <w:t>缺陷责任期内承包人为缺陷修复工作需要，有权进入工程现场，但应遵守发包人的</w:t>
      </w:r>
      <w:r>
        <w:rPr>
          <w:rFonts w:hint="eastAsia"/>
          <w:color w:val="auto"/>
          <w:szCs w:val="21"/>
          <w:highlight w:val="none"/>
        </w:rPr>
        <w:t>安保</w:t>
      </w:r>
      <w:r>
        <w:rPr>
          <w:color w:val="auto"/>
          <w:szCs w:val="21"/>
          <w:highlight w:val="none"/>
        </w:rPr>
        <w:t>和保密规定。</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19.6 缺陷责任期终止证书</w:t>
      </w:r>
    </w:p>
    <w:p>
      <w:pPr>
        <w:shd w:val="clear" w:color="auto" w:fill="auto"/>
        <w:ind w:firstLine="420"/>
        <w:outlineLvl w:val="9"/>
        <w:rPr>
          <w:color w:val="auto"/>
          <w:szCs w:val="21"/>
          <w:highlight w:val="none"/>
        </w:rPr>
      </w:pPr>
      <w:r>
        <w:rPr>
          <w:color w:val="auto"/>
          <w:szCs w:val="21"/>
          <w:highlight w:val="none"/>
        </w:rPr>
        <w:t>在第1.1.4.5目约定的缺陷责任期，包括根据第19.3款延长的期限终止后14天内，由监理人向承包人出具经发包人签认的缺陷责任期终止证书，并退还剩余的质量保证金。</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19.7 保修责任</w:t>
      </w:r>
    </w:p>
    <w:p>
      <w:pPr>
        <w:shd w:val="clear" w:color="auto" w:fill="auto"/>
        <w:ind w:firstLine="420"/>
        <w:outlineLvl w:val="9"/>
        <w:rPr>
          <w:color w:val="auto"/>
          <w:szCs w:val="21"/>
          <w:highlight w:val="none"/>
        </w:rPr>
      </w:pPr>
      <w:r>
        <w:rPr>
          <w:color w:val="auto"/>
          <w:szCs w:val="21"/>
          <w:highlight w:val="none"/>
        </w:rPr>
        <w:t>合同当事人根据有关法律规定，在专用合同条款中约定工程质量保修范围、期限和责任。保修期自实际竣工日期起计算。在全部工程竣工验收前，已经发包人提前验收的区段工程，其保修期的起算日期相应提前。</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28" w:name="_Toc26310"/>
      <w:bookmarkStart w:id="429" w:name="_Toc144327092"/>
      <w:bookmarkStart w:id="430" w:name="_Toc29412"/>
      <w:r>
        <w:rPr>
          <w:rFonts w:ascii="Times New Roman" w:hAnsi="Times New Roman" w:cs="Times New Roman"/>
          <w:color w:val="auto"/>
          <w:sz w:val="21"/>
          <w:szCs w:val="21"/>
          <w:highlight w:val="none"/>
        </w:rPr>
        <w:t>20．保险</w:t>
      </w:r>
      <w:bookmarkEnd w:id="428"/>
      <w:bookmarkEnd w:id="429"/>
      <w:bookmarkEnd w:id="430"/>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20.1 设计和工程保险</w:t>
      </w:r>
    </w:p>
    <w:p>
      <w:pPr>
        <w:shd w:val="clear" w:color="auto" w:fill="auto"/>
        <w:ind w:firstLine="420"/>
        <w:outlineLvl w:val="9"/>
        <w:rPr>
          <w:color w:val="auto"/>
          <w:szCs w:val="21"/>
          <w:highlight w:val="none"/>
        </w:rPr>
      </w:pPr>
      <w:r>
        <w:rPr>
          <w:color w:val="auto"/>
          <w:szCs w:val="21"/>
          <w:highlight w:val="none"/>
        </w:rPr>
        <w:t>20.1.1 承包人按照专用合同条款的约定向双方同意的保险人投保建设工程设计责任险、建筑工程一切险或安装工程一切险等保险。具体的投保险种、保险范围、保险金额、保险费率、保险期限等有关内容应当在专用合同条款中明确约定。</w:t>
      </w:r>
    </w:p>
    <w:p>
      <w:pPr>
        <w:shd w:val="clear" w:color="auto" w:fill="auto"/>
        <w:ind w:firstLine="420"/>
        <w:outlineLvl w:val="9"/>
        <w:rPr>
          <w:color w:val="auto"/>
          <w:szCs w:val="21"/>
          <w:highlight w:val="none"/>
        </w:rPr>
      </w:pPr>
      <w:r>
        <w:rPr>
          <w:color w:val="auto"/>
          <w:szCs w:val="21"/>
          <w:highlight w:val="none"/>
        </w:rPr>
        <w:t>20.1.2 在缺陷责任期终止证书颁发前，承包人应按照专用合同条款的约定投保第三者责任险。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 工伤保险</w:t>
      </w:r>
    </w:p>
    <w:p>
      <w:pPr>
        <w:shd w:val="clear" w:color="auto" w:fill="auto"/>
        <w:ind w:firstLine="420"/>
        <w:outlineLvl w:val="9"/>
        <w:rPr>
          <w:color w:val="auto"/>
          <w:szCs w:val="21"/>
          <w:highlight w:val="none"/>
        </w:rPr>
      </w:pPr>
      <w:r>
        <w:rPr>
          <w:color w:val="auto"/>
          <w:szCs w:val="21"/>
          <w:highlight w:val="none"/>
        </w:rPr>
        <w:t>20.2.1 承包人员工伤保险</w:t>
      </w:r>
    </w:p>
    <w:p>
      <w:pPr>
        <w:shd w:val="clear" w:color="auto" w:fill="auto"/>
        <w:ind w:firstLine="420"/>
        <w:outlineLvl w:val="9"/>
        <w:rPr>
          <w:color w:val="auto"/>
          <w:szCs w:val="21"/>
          <w:highlight w:val="none"/>
        </w:rPr>
      </w:pPr>
      <w:r>
        <w:rPr>
          <w:color w:val="auto"/>
          <w:szCs w:val="21"/>
          <w:highlight w:val="none"/>
        </w:rPr>
        <w:t>承包人应依照有关法律规定，为其履行合同所雇佣的全部人员投保工伤保险，缴纳工伤保险费，并要求其分包人也投保此项保险。</w:t>
      </w:r>
    </w:p>
    <w:p>
      <w:pPr>
        <w:shd w:val="clear" w:color="auto" w:fill="auto"/>
        <w:ind w:firstLine="420"/>
        <w:outlineLvl w:val="9"/>
        <w:rPr>
          <w:color w:val="auto"/>
          <w:szCs w:val="21"/>
          <w:highlight w:val="none"/>
        </w:rPr>
      </w:pPr>
      <w:r>
        <w:rPr>
          <w:color w:val="auto"/>
          <w:szCs w:val="21"/>
          <w:highlight w:val="none"/>
        </w:rPr>
        <w:t>20.2.2 发包人员工伤保险</w:t>
      </w:r>
    </w:p>
    <w:p>
      <w:pPr>
        <w:shd w:val="clear" w:color="auto" w:fill="auto"/>
        <w:ind w:firstLine="420"/>
        <w:outlineLvl w:val="9"/>
        <w:rPr>
          <w:color w:val="auto"/>
          <w:szCs w:val="21"/>
          <w:highlight w:val="none"/>
        </w:rPr>
      </w:pPr>
      <w:r>
        <w:rPr>
          <w:color w:val="auto"/>
          <w:szCs w:val="21"/>
          <w:highlight w:val="none"/>
        </w:rPr>
        <w:t>发包人应依照有关法律规定，为其现场机构雇佣的全部人员投保工伤保险，缴纳工伤保险费，并要求其监理人也进行此项保险。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20.3 人身意外伤害险</w:t>
      </w:r>
    </w:p>
    <w:p>
      <w:pPr>
        <w:shd w:val="clear" w:color="auto" w:fill="auto"/>
        <w:ind w:firstLine="420"/>
        <w:outlineLvl w:val="9"/>
        <w:rPr>
          <w:color w:val="auto"/>
          <w:szCs w:val="21"/>
          <w:highlight w:val="none"/>
        </w:rPr>
      </w:pPr>
      <w:r>
        <w:rPr>
          <w:color w:val="auto"/>
          <w:szCs w:val="21"/>
          <w:highlight w:val="none"/>
        </w:rPr>
        <w:t>20.3.1 发包人应在整个施工期间为其现场机构雇用的全部人员，投保人身意外伤害险，缴纳保险费，并要求其监理人也进行此项保险。</w:t>
      </w:r>
    </w:p>
    <w:p>
      <w:pPr>
        <w:shd w:val="clear" w:color="auto" w:fill="auto"/>
        <w:ind w:firstLine="420"/>
        <w:outlineLvl w:val="9"/>
        <w:rPr>
          <w:color w:val="auto"/>
          <w:szCs w:val="21"/>
          <w:highlight w:val="none"/>
        </w:rPr>
      </w:pPr>
      <w:r>
        <w:rPr>
          <w:color w:val="auto"/>
          <w:szCs w:val="21"/>
          <w:highlight w:val="none"/>
        </w:rPr>
        <w:t xml:space="preserve">20.3.2 承包人应在整个施工期间为其现场机构雇用的全部人员，投保人身意外伤害险，缴纳保险费，并要求其分包人也进行此项保险。 </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20.4 其他保险</w:t>
      </w:r>
    </w:p>
    <w:p>
      <w:pPr>
        <w:shd w:val="clear" w:color="auto" w:fill="auto"/>
        <w:ind w:firstLine="420"/>
        <w:outlineLvl w:val="9"/>
        <w:rPr>
          <w:color w:val="auto"/>
          <w:szCs w:val="21"/>
          <w:highlight w:val="none"/>
        </w:rPr>
      </w:pPr>
      <w:r>
        <w:rPr>
          <w:color w:val="auto"/>
          <w:szCs w:val="21"/>
          <w:highlight w:val="none"/>
        </w:rPr>
        <w:t>除专用合同条款另有约定外，承包人应为其施工设备、进场的材料和工程设备等办理保险。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20.5 对各项保险的一般要求</w:t>
      </w:r>
    </w:p>
    <w:p>
      <w:pPr>
        <w:shd w:val="clear" w:color="auto" w:fill="auto"/>
        <w:ind w:firstLine="420"/>
        <w:outlineLvl w:val="9"/>
        <w:rPr>
          <w:color w:val="auto"/>
          <w:szCs w:val="21"/>
          <w:highlight w:val="none"/>
        </w:rPr>
      </w:pPr>
      <w:r>
        <w:rPr>
          <w:color w:val="auto"/>
          <w:szCs w:val="21"/>
          <w:highlight w:val="none"/>
        </w:rPr>
        <w:t>20.5.1 保险凭证</w:t>
      </w:r>
    </w:p>
    <w:p>
      <w:pPr>
        <w:shd w:val="clear" w:color="auto" w:fill="auto"/>
        <w:ind w:firstLine="420"/>
        <w:outlineLvl w:val="9"/>
        <w:rPr>
          <w:color w:val="auto"/>
          <w:szCs w:val="21"/>
          <w:highlight w:val="none"/>
        </w:rPr>
      </w:pPr>
      <w:r>
        <w:rPr>
          <w:color w:val="auto"/>
          <w:szCs w:val="21"/>
          <w:highlight w:val="none"/>
        </w:rPr>
        <w:t>承包人应在专用合同条款约定的期限内向发包人提交各项保险生效的证据和保险单副本，保险单必须与专用合同条款约定的条件保持一致。</w:t>
      </w:r>
    </w:p>
    <w:p>
      <w:pPr>
        <w:shd w:val="clear" w:color="auto" w:fill="auto"/>
        <w:ind w:firstLine="420"/>
        <w:outlineLvl w:val="9"/>
        <w:rPr>
          <w:color w:val="auto"/>
          <w:szCs w:val="21"/>
          <w:highlight w:val="none"/>
        </w:rPr>
      </w:pPr>
      <w:r>
        <w:rPr>
          <w:color w:val="auto"/>
          <w:szCs w:val="21"/>
          <w:highlight w:val="none"/>
        </w:rPr>
        <w:t>20.5.2 保险合同条款的变动</w:t>
      </w:r>
    </w:p>
    <w:p>
      <w:pPr>
        <w:shd w:val="clear" w:color="auto" w:fill="auto"/>
        <w:ind w:firstLine="420"/>
        <w:outlineLvl w:val="9"/>
        <w:rPr>
          <w:color w:val="auto"/>
          <w:szCs w:val="21"/>
          <w:highlight w:val="none"/>
        </w:rPr>
      </w:pPr>
      <w:r>
        <w:rPr>
          <w:color w:val="auto"/>
          <w:szCs w:val="21"/>
          <w:highlight w:val="none"/>
        </w:rPr>
        <w:t>承包人需要变动保险合同条款时，应事先征得发包人同意，并通知监理人。保险人作出变动的，承包人应在收到保险人通知后立即通知发包人和监理人。</w:t>
      </w:r>
    </w:p>
    <w:p>
      <w:pPr>
        <w:shd w:val="clear" w:color="auto" w:fill="auto"/>
        <w:ind w:firstLine="420"/>
        <w:outlineLvl w:val="9"/>
        <w:rPr>
          <w:color w:val="auto"/>
          <w:szCs w:val="21"/>
          <w:highlight w:val="none"/>
        </w:rPr>
      </w:pPr>
      <w:r>
        <w:rPr>
          <w:color w:val="auto"/>
          <w:szCs w:val="21"/>
          <w:highlight w:val="none"/>
        </w:rPr>
        <w:t>20.5.3 持续保险</w:t>
      </w:r>
    </w:p>
    <w:p>
      <w:pPr>
        <w:shd w:val="clear" w:color="auto" w:fill="auto"/>
        <w:ind w:firstLine="420"/>
        <w:outlineLvl w:val="9"/>
        <w:rPr>
          <w:color w:val="auto"/>
          <w:szCs w:val="21"/>
          <w:highlight w:val="none"/>
        </w:rPr>
      </w:pPr>
      <w:r>
        <w:rPr>
          <w:color w:val="auto"/>
          <w:szCs w:val="21"/>
          <w:highlight w:val="none"/>
        </w:rPr>
        <w:t>承包人应与保险人保持联系，使保险人能够随时了解工程实施中的变动，并确保按保险合同条款要求持续保险。</w:t>
      </w:r>
    </w:p>
    <w:p>
      <w:pPr>
        <w:shd w:val="clear" w:color="auto" w:fill="auto"/>
        <w:ind w:firstLine="420"/>
        <w:outlineLvl w:val="9"/>
        <w:rPr>
          <w:color w:val="auto"/>
          <w:szCs w:val="21"/>
          <w:highlight w:val="none"/>
        </w:rPr>
      </w:pPr>
      <w:r>
        <w:rPr>
          <w:color w:val="auto"/>
          <w:szCs w:val="21"/>
          <w:highlight w:val="none"/>
        </w:rPr>
        <w:t>20.5.4 保险金不足的补偿</w:t>
      </w:r>
    </w:p>
    <w:p>
      <w:pPr>
        <w:shd w:val="clear" w:color="auto" w:fill="auto"/>
        <w:ind w:firstLine="420"/>
        <w:outlineLvl w:val="9"/>
        <w:rPr>
          <w:color w:val="auto"/>
          <w:szCs w:val="21"/>
          <w:highlight w:val="none"/>
        </w:rPr>
      </w:pPr>
      <w:r>
        <w:rPr>
          <w:color w:val="auto"/>
          <w:szCs w:val="21"/>
          <w:highlight w:val="none"/>
        </w:rPr>
        <w:t>保险金不足以补偿损失的，应由承包人和（或）发包人按合同约定负责补偿。</w:t>
      </w:r>
    </w:p>
    <w:p>
      <w:pPr>
        <w:shd w:val="clear" w:color="auto" w:fill="auto"/>
        <w:ind w:firstLine="420"/>
        <w:outlineLvl w:val="9"/>
        <w:rPr>
          <w:color w:val="auto"/>
          <w:szCs w:val="21"/>
          <w:highlight w:val="none"/>
        </w:rPr>
      </w:pPr>
      <w:r>
        <w:rPr>
          <w:color w:val="auto"/>
          <w:szCs w:val="21"/>
          <w:highlight w:val="none"/>
        </w:rPr>
        <w:t>20.5.5 未按约定投保的补救</w:t>
      </w:r>
    </w:p>
    <w:p>
      <w:pPr>
        <w:shd w:val="clear" w:color="auto" w:fill="auto"/>
        <w:ind w:firstLine="420"/>
        <w:outlineLvl w:val="9"/>
        <w:rPr>
          <w:color w:val="auto"/>
          <w:szCs w:val="21"/>
          <w:highlight w:val="none"/>
        </w:rPr>
      </w:pPr>
      <w:r>
        <w:rPr>
          <w:color w:val="auto"/>
          <w:szCs w:val="21"/>
          <w:highlight w:val="none"/>
        </w:rPr>
        <w:t>（1）由于负有投保义务的一方当事人未按合同约定办理保险，或未能使保险持续有效的，另一方当事人可代为办理，所需费用由对方当事人承担。</w:t>
      </w:r>
    </w:p>
    <w:p>
      <w:pPr>
        <w:shd w:val="clear" w:color="auto" w:fill="auto"/>
        <w:ind w:firstLine="420"/>
        <w:outlineLvl w:val="9"/>
        <w:rPr>
          <w:color w:val="auto"/>
          <w:szCs w:val="21"/>
          <w:highlight w:val="none"/>
        </w:rPr>
      </w:pPr>
      <w:r>
        <w:rPr>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pPr>
        <w:shd w:val="clear" w:color="auto" w:fill="auto"/>
        <w:ind w:firstLine="420"/>
        <w:outlineLvl w:val="9"/>
        <w:rPr>
          <w:color w:val="auto"/>
          <w:szCs w:val="21"/>
          <w:highlight w:val="none"/>
        </w:rPr>
      </w:pPr>
      <w:r>
        <w:rPr>
          <w:color w:val="auto"/>
          <w:szCs w:val="21"/>
          <w:highlight w:val="none"/>
        </w:rPr>
        <w:t>20.5.6 报告义务</w:t>
      </w:r>
    </w:p>
    <w:p>
      <w:pPr>
        <w:shd w:val="clear" w:color="auto" w:fill="auto"/>
        <w:ind w:firstLine="420"/>
        <w:outlineLvl w:val="9"/>
        <w:rPr>
          <w:color w:val="auto"/>
          <w:szCs w:val="21"/>
          <w:highlight w:val="none"/>
        </w:rPr>
      </w:pPr>
      <w:r>
        <w:rPr>
          <w:color w:val="auto"/>
          <w:szCs w:val="21"/>
          <w:highlight w:val="none"/>
        </w:rPr>
        <w:t>当保险事故发生时，投保人应按照保险单规定的条件和期限及时向保险人报告。</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31" w:name="_Toc3052"/>
      <w:bookmarkStart w:id="432" w:name="_Toc144327093"/>
      <w:bookmarkStart w:id="433" w:name="_Toc23703"/>
      <w:r>
        <w:rPr>
          <w:rFonts w:ascii="Times New Roman" w:hAnsi="Times New Roman" w:cs="Times New Roman"/>
          <w:color w:val="auto"/>
          <w:sz w:val="21"/>
          <w:szCs w:val="21"/>
          <w:highlight w:val="none"/>
        </w:rPr>
        <w:t>21．不可抗力</w:t>
      </w:r>
      <w:bookmarkEnd w:id="431"/>
      <w:bookmarkEnd w:id="432"/>
      <w:bookmarkEnd w:id="433"/>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21.1 不可抗力的确认</w:t>
      </w:r>
    </w:p>
    <w:p>
      <w:pPr>
        <w:shd w:val="clear" w:color="auto" w:fill="auto"/>
        <w:ind w:firstLine="420"/>
        <w:outlineLvl w:val="9"/>
        <w:rPr>
          <w:color w:val="auto"/>
          <w:szCs w:val="21"/>
          <w:highlight w:val="none"/>
        </w:rPr>
      </w:pPr>
      <w:r>
        <w:rPr>
          <w:color w:val="auto"/>
          <w:szCs w:val="21"/>
          <w:highlight w:val="none"/>
        </w:rPr>
        <w:t>21.1.1 不可抗力是指承包人和发包人在订立合同时不可预见，在履行合同过程中不可避免发生并不能克服的自然灾害和社会性突发事件，如地震、海啸、瘟疫、水灾、骚乱、暴动、战争和专用合同条款约定的其他情形。</w:t>
      </w:r>
    </w:p>
    <w:p>
      <w:pPr>
        <w:shd w:val="clear" w:color="auto" w:fill="auto"/>
        <w:ind w:firstLine="420"/>
        <w:outlineLvl w:val="9"/>
        <w:rPr>
          <w:color w:val="auto"/>
          <w:szCs w:val="21"/>
          <w:highlight w:val="none"/>
        </w:rPr>
      </w:pPr>
      <w:r>
        <w:rPr>
          <w:color w:val="auto"/>
          <w:szCs w:val="21"/>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21.2 不可抗力的通知</w:t>
      </w:r>
    </w:p>
    <w:p>
      <w:pPr>
        <w:shd w:val="clear" w:color="auto" w:fill="auto"/>
        <w:ind w:firstLine="420"/>
        <w:outlineLvl w:val="9"/>
        <w:rPr>
          <w:color w:val="auto"/>
          <w:szCs w:val="21"/>
          <w:highlight w:val="none"/>
        </w:rPr>
      </w:pPr>
      <w:r>
        <w:rPr>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pPr>
        <w:shd w:val="clear" w:color="auto" w:fill="auto"/>
        <w:ind w:firstLine="420"/>
        <w:outlineLvl w:val="9"/>
        <w:rPr>
          <w:color w:val="auto"/>
          <w:szCs w:val="21"/>
          <w:highlight w:val="none"/>
        </w:rPr>
      </w:pPr>
      <w:r>
        <w:rPr>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21.3 不可抗力后果及其处理</w:t>
      </w:r>
    </w:p>
    <w:p>
      <w:pPr>
        <w:shd w:val="clear" w:color="auto" w:fill="auto"/>
        <w:ind w:firstLine="420"/>
        <w:outlineLvl w:val="9"/>
        <w:rPr>
          <w:color w:val="auto"/>
          <w:szCs w:val="21"/>
          <w:highlight w:val="none"/>
        </w:rPr>
      </w:pPr>
      <w:r>
        <w:rPr>
          <w:color w:val="auto"/>
          <w:szCs w:val="21"/>
          <w:highlight w:val="none"/>
        </w:rPr>
        <w:t>21.3.1 不可抗力造成损害的责任</w:t>
      </w:r>
    </w:p>
    <w:p>
      <w:pPr>
        <w:shd w:val="clear" w:color="auto" w:fill="auto"/>
        <w:ind w:firstLine="420"/>
        <w:outlineLvl w:val="9"/>
        <w:rPr>
          <w:color w:val="auto"/>
          <w:szCs w:val="21"/>
          <w:highlight w:val="none"/>
        </w:rPr>
      </w:pPr>
      <w:r>
        <w:rPr>
          <w:color w:val="auto"/>
          <w:szCs w:val="21"/>
          <w:highlight w:val="none"/>
        </w:rPr>
        <w:t>除专用合同条款另有约定外，不可抗力导致的人员伤亡、财产损失、费用增加和（或）工期延误等后果，由合同双方按以下原则承担：</w:t>
      </w:r>
    </w:p>
    <w:p>
      <w:pPr>
        <w:shd w:val="clear" w:color="auto" w:fill="auto"/>
        <w:ind w:firstLine="420"/>
        <w:outlineLvl w:val="9"/>
        <w:rPr>
          <w:color w:val="auto"/>
          <w:szCs w:val="21"/>
          <w:highlight w:val="none"/>
        </w:rPr>
      </w:pPr>
      <w:r>
        <w:rPr>
          <w:color w:val="auto"/>
          <w:szCs w:val="21"/>
          <w:highlight w:val="none"/>
        </w:rPr>
        <w:t>（1）永久工程，包括已运至施工场地的材料和工程设备的损害，以及因工程损害造成的第三者人员伤亡和财产损失由发包人承担；</w:t>
      </w:r>
    </w:p>
    <w:p>
      <w:pPr>
        <w:shd w:val="clear" w:color="auto" w:fill="auto"/>
        <w:ind w:firstLine="420"/>
        <w:outlineLvl w:val="9"/>
        <w:rPr>
          <w:color w:val="auto"/>
          <w:szCs w:val="21"/>
          <w:highlight w:val="none"/>
        </w:rPr>
      </w:pPr>
      <w:r>
        <w:rPr>
          <w:color w:val="auto"/>
          <w:szCs w:val="21"/>
          <w:highlight w:val="none"/>
        </w:rPr>
        <w:t>（2）承包人设备的损坏由承包人承担；</w:t>
      </w:r>
    </w:p>
    <w:p>
      <w:pPr>
        <w:shd w:val="clear" w:color="auto" w:fill="auto"/>
        <w:ind w:firstLine="420"/>
        <w:outlineLvl w:val="9"/>
        <w:rPr>
          <w:color w:val="auto"/>
          <w:szCs w:val="21"/>
          <w:highlight w:val="none"/>
        </w:rPr>
      </w:pPr>
      <w:r>
        <w:rPr>
          <w:color w:val="auto"/>
          <w:szCs w:val="21"/>
          <w:highlight w:val="none"/>
        </w:rPr>
        <w:t>（3）发包人和承包人各自承担其人员伤亡和其他财产损失及其相关费用；</w:t>
      </w:r>
    </w:p>
    <w:p>
      <w:pPr>
        <w:shd w:val="clear" w:color="auto" w:fill="auto"/>
        <w:ind w:firstLine="420"/>
        <w:outlineLvl w:val="9"/>
        <w:rPr>
          <w:color w:val="auto"/>
          <w:szCs w:val="21"/>
          <w:highlight w:val="none"/>
        </w:rPr>
      </w:pPr>
      <w:r>
        <w:rPr>
          <w:color w:val="auto"/>
          <w:szCs w:val="21"/>
          <w:highlight w:val="none"/>
        </w:rPr>
        <w:t>（4）承包人的停工损失由承包人承担，但停工期间应监理人要求照管工程和清理、修复工程的金额由发包人承担；</w:t>
      </w:r>
    </w:p>
    <w:p>
      <w:pPr>
        <w:shd w:val="clear" w:color="auto" w:fill="auto"/>
        <w:ind w:firstLine="420"/>
        <w:outlineLvl w:val="9"/>
        <w:rPr>
          <w:color w:val="auto"/>
          <w:szCs w:val="21"/>
          <w:highlight w:val="none"/>
        </w:rPr>
      </w:pPr>
      <w:r>
        <w:rPr>
          <w:color w:val="auto"/>
          <w:szCs w:val="21"/>
          <w:highlight w:val="none"/>
        </w:rPr>
        <w:t>（5）不能按期竣工的，应合理延长工期，承包人不需支付逾期竣工违约金。发包人要求赶工的，承包人应采取赶工措施，赶工费用由发包人承担。</w:t>
      </w:r>
    </w:p>
    <w:p>
      <w:pPr>
        <w:shd w:val="clear" w:color="auto" w:fill="auto"/>
        <w:ind w:firstLine="420"/>
        <w:outlineLvl w:val="9"/>
        <w:rPr>
          <w:color w:val="auto"/>
          <w:szCs w:val="21"/>
          <w:highlight w:val="none"/>
        </w:rPr>
      </w:pPr>
      <w:r>
        <w:rPr>
          <w:color w:val="auto"/>
          <w:szCs w:val="21"/>
          <w:highlight w:val="none"/>
        </w:rPr>
        <w:t>21.3.2 延迟履行期间发生的不可抗力</w:t>
      </w:r>
    </w:p>
    <w:p>
      <w:pPr>
        <w:shd w:val="clear" w:color="auto" w:fill="auto"/>
        <w:ind w:firstLine="420"/>
        <w:outlineLvl w:val="9"/>
        <w:rPr>
          <w:color w:val="auto"/>
          <w:szCs w:val="21"/>
          <w:highlight w:val="none"/>
        </w:rPr>
      </w:pPr>
      <w:r>
        <w:rPr>
          <w:color w:val="auto"/>
          <w:szCs w:val="21"/>
          <w:highlight w:val="none"/>
        </w:rPr>
        <w:t>合同一方当事人延迟履行，在延迟履行期间发生不可抗力的，不免除其责任。</w:t>
      </w:r>
    </w:p>
    <w:p>
      <w:pPr>
        <w:shd w:val="clear" w:color="auto" w:fill="auto"/>
        <w:ind w:firstLine="420"/>
        <w:outlineLvl w:val="9"/>
        <w:rPr>
          <w:color w:val="auto"/>
          <w:szCs w:val="21"/>
          <w:highlight w:val="none"/>
        </w:rPr>
      </w:pPr>
      <w:r>
        <w:rPr>
          <w:color w:val="auto"/>
          <w:szCs w:val="21"/>
          <w:highlight w:val="none"/>
        </w:rPr>
        <w:t>21.3.3 避免和减少不可抗力损失</w:t>
      </w:r>
    </w:p>
    <w:p>
      <w:pPr>
        <w:shd w:val="clear" w:color="auto" w:fill="auto"/>
        <w:ind w:firstLine="420"/>
        <w:outlineLvl w:val="9"/>
        <w:rPr>
          <w:color w:val="auto"/>
          <w:szCs w:val="21"/>
          <w:highlight w:val="none"/>
        </w:rPr>
      </w:pPr>
      <w:r>
        <w:rPr>
          <w:color w:val="auto"/>
          <w:szCs w:val="21"/>
          <w:highlight w:val="none"/>
        </w:rPr>
        <w:t>不可抗力发生后，发包人和承包人均应采取措施尽量避免和减少损失的扩大，任何一方没有采取有效措施导致损失扩大的，应对扩大的损失承担责任。</w:t>
      </w:r>
    </w:p>
    <w:p>
      <w:pPr>
        <w:shd w:val="clear" w:color="auto" w:fill="auto"/>
        <w:ind w:firstLine="420"/>
        <w:outlineLvl w:val="9"/>
        <w:rPr>
          <w:color w:val="auto"/>
          <w:szCs w:val="21"/>
          <w:highlight w:val="none"/>
        </w:rPr>
      </w:pPr>
      <w:r>
        <w:rPr>
          <w:color w:val="auto"/>
          <w:szCs w:val="21"/>
          <w:highlight w:val="none"/>
        </w:rPr>
        <w:t>21.3.4 因不可抗力解除合同</w:t>
      </w:r>
    </w:p>
    <w:p>
      <w:pPr>
        <w:shd w:val="clear" w:color="auto" w:fill="auto"/>
        <w:ind w:firstLine="420"/>
        <w:outlineLvl w:val="9"/>
        <w:rPr>
          <w:color w:val="auto"/>
          <w:szCs w:val="21"/>
          <w:highlight w:val="none"/>
        </w:rPr>
      </w:pPr>
      <w:r>
        <w:rPr>
          <w:color w:val="auto"/>
          <w:szCs w:val="21"/>
          <w:highlight w:val="none"/>
        </w:rPr>
        <w:t>合同一方当事人因不可抗力不能履行合同的，应当及时通知对方解除合同。合同解除后，承包人应按照第22.2.4项约定撤离施工场地。已经订货的材料、设备由订货方负责退货或解除订货合同，不能退还的货款和因退货、解除订货合同发生的费用，由发包人承担，因未及时退货造成的损失由责任方承担。合同解除后的付款，参照第22.2.3项约定，由监理人按第3.5款商定或确定。</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34" w:name="_Toc829"/>
      <w:bookmarkStart w:id="435" w:name="_Toc144327094"/>
      <w:bookmarkStart w:id="436" w:name="_Toc21560"/>
      <w:r>
        <w:rPr>
          <w:rFonts w:ascii="Times New Roman" w:hAnsi="Times New Roman" w:cs="Times New Roman"/>
          <w:color w:val="auto"/>
          <w:sz w:val="21"/>
          <w:szCs w:val="21"/>
          <w:highlight w:val="none"/>
        </w:rPr>
        <w:t>22．违约</w:t>
      </w:r>
      <w:bookmarkEnd w:id="434"/>
      <w:bookmarkEnd w:id="435"/>
      <w:bookmarkEnd w:id="43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22.1 承包人违约</w:t>
      </w:r>
    </w:p>
    <w:p>
      <w:pPr>
        <w:shd w:val="clear" w:color="auto" w:fill="auto"/>
        <w:ind w:firstLine="420"/>
        <w:outlineLvl w:val="9"/>
        <w:rPr>
          <w:color w:val="auto"/>
          <w:szCs w:val="21"/>
          <w:highlight w:val="none"/>
        </w:rPr>
      </w:pPr>
      <w:r>
        <w:rPr>
          <w:color w:val="auto"/>
          <w:szCs w:val="21"/>
          <w:highlight w:val="none"/>
        </w:rPr>
        <w:t>22.1.1 承包人违约的情形</w:t>
      </w:r>
    </w:p>
    <w:p>
      <w:pPr>
        <w:shd w:val="clear" w:color="auto" w:fill="auto"/>
        <w:ind w:firstLine="420"/>
        <w:outlineLvl w:val="9"/>
        <w:rPr>
          <w:color w:val="auto"/>
          <w:szCs w:val="21"/>
          <w:highlight w:val="none"/>
        </w:rPr>
      </w:pPr>
      <w:r>
        <w:rPr>
          <w:color w:val="auto"/>
          <w:szCs w:val="21"/>
          <w:highlight w:val="none"/>
        </w:rPr>
        <w:t>在履行合同过程中发生的下列情况之一的，属承包人违约：</w:t>
      </w:r>
    </w:p>
    <w:p>
      <w:pPr>
        <w:shd w:val="clear" w:color="auto" w:fill="auto"/>
        <w:ind w:firstLine="420"/>
        <w:outlineLvl w:val="9"/>
        <w:rPr>
          <w:color w:val="auto"/>
          <w:szCs w:val="21"/>
          <w:highlight w:val="none"/>
        </w:rPr>
      </w:pPr>
      <w:r>
        <w:rPr>
          <w:color w:val="auto"/>
          <w:szCs w:val="21"/>
          <w:highlight w:val="none"/>
        </w:rPr>
        <w:t>（1）承包人的设计、承包人文件、实施和竣工的工程不符合法律以及合同约定；</w:t>
      </w:r>
    </w:p>
    <w:p>
      <w:pPr>
        <w:shd w:val="clear" w:color="auto" w:fill="auto"/>
        <w:ind w:firstLine="420"/>
        <w:outlineLvl w:val="9"/>
        <w:rPr>
          <w:color w:val="auto"/>
          <w:szCs w:val="21"/>
          <w:highlight w:val="none"/>
        </w:rPr>
      </w:pPr>
      <w:r>
        <w:rPr>
          <w:color w:val="auto"/>
          <w:szCs w:val="21"/>
          <w:highlight w:val="none"/>
        </w:rPr>
        <w:t>（2）承包人违反第1.8款或第4.3款的约定，私自将合同的全部或部分权利转让给其他人，或私自将合同的全部或部分义务转移给其他人；</w:t>
      </w:r>
    </w:p>
    <w:p>
      <w:pPr>
        <w:shd w:val="clear" w:color="auto" w:fill="auto"/>
        <w:ind w:firstLine="420"/>
        <w:outlineLvl w:val="9"/>
        <w:rPr>
          <w:color w:val="auto"/>
          <w:szCs w:val="21"/>
          <w:highlight w:val="none"/>
        </w:rPr>
      </w:pPr>
      <w:r>
        <w:rPr>
          <w:color w:val="auto"/>
          <w:szCs w:val="21"/>
          <w:highlight w:val="none"/>
        </w:rPr>
        <w:t>（3）承包人违反第6.3款或第7.4款的约定，未经监理人批准，私自将已按合同约定进入施工场地的施工设备、临时设施或材料撤离施工场地；</w:t>
      </w:r>
    </w:p>
    <w:p>
      <w:pPr>
        <w:shd w:val="clear" w:color="auto" w:fill="auto"/>
        <w:ind w:firstLine="420"/>
        <w:outlineLvl w:val="9"/>
        <w:rPr>
          <w:color w:val="auto"/>
          <w:szCs w:val="21"/>
          <w:highlight w:val="none"/>
        </w:rPr>
      </w:pPr>
      <w:r>
        <w:rPr>
          <w:color w:val="auto"/>
          <w:szCs w:val="21"/>
          <w:highlight w:val="none"/>
        </w:rPr>
        <w:t>（4）承包人违反第6.5款的约定使用了不合格材料或工程设备，工程质量达不到标准要求，又拒绝清除不合格工程；</w:t>
      </w:r>
    </w:p>
    <w:p>
      <w:pPr>
        <w:shd w:val="clear" w:color="auto" w:fill="auto"/>
        <w:ind w:firstLine="420"/>
        <w:outlineLvl w:val="9"/>
        <w:rPr>
          <w:color w:val="auto"/>
          <w:szCs w:val="21"/>
          <w:highlight w:val="none"/>
        </w:rPr>
      </w:pPr>
      <w:r>
        <w:rPr>
          <w:color w:val="auto"/>
          <w:szCs w:val="21"/>
          <w:highlight w:val="none"/>
        </w:rPr>
        <w:t>（5）承包人未能按合同进度计划及时完成合同约定的工作，造成工期延误；</w:t>
      </w:r>
    </w:p>
    <w:p>
      <w:pPr>
        <w:shd w:val="clear" w:color="auto" w:fill="auto"/>
        <w:ind w:firstLine="420"/>
        <w:outlineLvl w:val="9"/>
        <w:rPr>
          <w:color w:val="auto"/>
          <w:szCs w:val="21"/>
          <w:highlight w:val="none"/>
        </w:rPr>
      </w:pPr>
      <w:r>
        <w:rPr>
          <w:color w:val="auto"/>
          <w:szCs w:val="21"/>
          <w:highlight w:val="none"/>
        </w:rPr>
        <w:t>（6）由于承包人原因未能通过竣工试验或竣工后试验的；</w:t>
      </w:r>
    </w:p>
    <w:p>
      <w:pPr>
        <w:shd w:val="clear" w:color="auto" w:fill="auto"/>
        <w:ind w:firstLine="420"/>
        <w:outlineLvl w:val="9"/>
        <w:rPr>
          <w:color w:val="auto"/>
          <w:szCs w:val="21"/>
          <w:highlight w:val="none"/>
        </w:rPr>
      </w:pPr>
      <w:r>
        <w:rPr>
          <w:color w:val="auto"/>
          <w:szCs w:val="21"/>
          <w:highlight w:val="none"/>
        </w:rPr>
        <w:t>（7）承包人在缺陷责任期内，未能对工程接收证书所列的缺陷清单的内容或缺陷责任期内发生的缺陷进行修复，而又拒绝按监理人指示再进行修补；</w:t>
      </w:r>
    </w:p>
    <w:p>
      <w:pPr>
        <w:shd w:val="clear" w:color="auto" w:fill="auto"/>
        <w:ind w:firstLine="420"/>
        <w:outlineLvl w:val="9"/>
        <w:rPr>
          <w:color w:val="auto"/>
          <w:szCs w:val="21"/>
          <w:highlight w:val="none"/>
        </w:rPr>
      </w:pPr>
      <w:r>
        <w:rPr>
          <w:color w:val="auto"/>
          <w:szCs w:val="21"/>
          <w:highlight w:val="none"/>
        </w:rPr>
        <w:t>（8）承包人无法继续履行或明确表示不履行或实质上已停止履行合同；</w:t>
      </w:r>
    </w:p>
    <w:p>
      <w:pPr>
        <w:shd w:val="clear" w:color="auto" w:fill="auto"/>
        <w:ind w:firstLine="420"/>
        <w:outlineLvl w:val="9"/>
        <w:rPr>
          <w:color w:val="auto"/>
          <w:szCs w:val="21"/>
          <w:highlight w:val="none"/>
        </w:rPr>
      </w:pPr>
      <w:r>
        <w:rPr>
          <w:color w:val="auto"/>
          <w:szCs w:val="21"/>
          <w:highlight w:val="none"/>
        </w:rPr>
        <w:t>（9）承包人不按合同约定履行义务的其他情况。</w:t>
      </w:r>
    </w:p>
    <w:p>
      <w:pPr>
        <w:shd w:val="clear" w:color="auto" w:fill="auto"/>
        <w:ind w:firstLine="420"/>
        <w:outlineLvl w:val="9"/>
        <w:rPr>
          <w:color w:val="auto"/>
          <w:szCs w:val="21"/>
          <w:highlight w:val="none"/>
        </w:rPr>
      </w:pPr>
      <w:r>
        <w:rPr>
          <w:color w:val="auto"/>
          <w:szCs w:val="21"/>
          <w:highlight w:val="none"/>
        </w:rPr>
        <w:t>22.1.2 对承包人违约的处理</w:t>
      </w:r>
    </w:p>
    <w:p>
      <w:pPr>
        <w:shd w:val="clear" w:color="auto" w:fill="auto"/>
        <w:ind w:firstLine="420"/>
        <w:outlineLvl w:val="9"/>
        <w:rPr>
          <w:color w:val="auto"/>
          <w:szCs w:val="21"/>
          <w:highlight w:val="none"/>
        </w:rPr>
      </w:pPr>
      <w:r>
        <w:rPr>
          <w:color w:val="auto"/>
          <w:szCs w:val="21"/>
          <w:highlight w:val="none"/>
        </w:rPr>
        <w:t>（1）承包人发生第22.1.1（6）目约定的违约情况时，按照发包人要求中的未能通过竣工/竣工后试验的损害进行赔偿。发生延期的，承包人应承担延期责任。</w:t>
      </w:r>
    </w:p>
    <w:p>
      <w:pPr>
        <w:shd w:val="clear" w:color="auto" w:fill="auto"/>
        <w:ind w:firstLine="420"/>
        <w:outlineLvl w:val="9"/>
        <w:rPr>
          <w:color w:val="auto"/>
          <w:szCs w:val="21"/>
          <w:highlight w:val="none"/>
        </w:rPr>
      </w:pPr>
      <w:r>
        <w:rPr>
          <w:color w:val="auto"/>
          <w:szCs w:val="21"/>
          <w:highlight w:val="none"/>
        </w:rPr>
        <w:t>（2）承包人发生第22.1.1（8）目约定的违约情况时，发包人可通知承包人立即解除合同，并按第22.1.3项、第22.1.4项、第22.1.5项约定处理。</w:t>
      </w:r>
    </w:p>
    <w:p>
      <w:pPr>
        <w:shd w:val="clear" w:color="auto" w:fill="auto"/>
        <w:ind w:firstLine="420"/>
        <w:outlineLvl w:val="9"/>
        <w:rPr>
          <w:color w:val="auto"/>
          <w:szCs w:val="21"/>
          <w:highlight w:val="none"/>
        </w:rPr>
      </w:pPr>
      <w:r>
        <w:rPr>
          <w:color w:val="auto"/>
          <w:szCs w:val="21"/>
          <w:highlight w:val="none"/>
        </w:rPr>
        <w:t>（3）承包人发生除第22.1.1（6）目和第22.1.1（8）目约定以外的其他违约情况时，监理人可向承包人发出整改通知，要求其在指定的期限内纠正。除合同条款另有约定外，承包人应承担其违约所引起的费用增加和（或）工期延误。</w:t>
      </w:r>
    </w:p>
    <w:p>
      <w:pPr>
        <w:shd w:val="clear" w:color="auto" w:fill="auto"/>
        <w:ind w:firstLine="420"/>
        <w:outlineLvl w:val="9"/>
        <w:rPr>
          <w:color w:val="auto"/>
          <w:szCs w:val="21"/>
          <w:highlight w:val="none"/>
        </w:rPr>
      </w:pPr>
      <w:r>
        <w:rPr>
          <w:color w:val="auto"/>
          <w:szCs w:val="21"/>
          <w:highlight w:val="none"/>
        </w:rPr>
        <w:t>22.1.3 因承包人违约解除合同</w:t>
      </w:r>
    </w:p>
    <w:p>
      <w:pPr>
        <w:shd w:val="clear" w:color="auto" w:fill="auto"/>
        <w:ind w:firstLine="420"/>
        <w:outlineLvl w:val="9"/>
        <w:rPr>
          <w:color w:val="auto"/>
          <w:szCs w:val="21"/>
          <w:highlight w:val="none"/>
        </w:rPr>
      </w:pPr>
      <w:r>
        <w:rPr>
          <w:color w:val="auto"/>
          <w:szCs w:val="21"/>
          <w:highlight w:val="none"/>
        </w:rPr>
        <w:t>监理人发出整改通知28天后，承包人仍不纠正违约行为的，发包人有权解除合同并向承包人发出解除合同通知。承包人收到发包人解除合同通知后14天内，承包人应撤离现场，发包人派员进驻施工场地完成现场交接手续，发包人有权另行组织人员或委托其他承包人。发包人因继续完成该工程的需要，有权扣留使用承包人在现场的材料、设备和临时设施。但发包人的这一行动不免除承包人应承担的违约责任，也不影响发包人根据合同约定享有的索赔权利。</w:t>
      </w:r>
    </w:p>
    <w:p>
      <w:pPr>
        <w:shd w:val="clear" w:color="auto" w:fill="auto"/>
        <w:ind w:firstLine="420"/>
        <w:outlineLvl w:val="9"/>
        <w:rPr>
          <w:color w:val="auto"/>
          <w:szCs w:val="21"/>
          <w:highlight w:val="none"/>
        </w:rPr>
      </w:pPr>
      <w:r>
        <w:rPr>
          <w:color w:val="auto"/>
          <w:szCs w:val="21"/>
          <w:highlight w:val="none"/>
        </w:rPr>
        <w:t>22.1.4 发包人发出合同解除通知后的估价、付款和结清</w:t>
      </w:r>
    </w:p>
    <w:p>
      <w:pPr>
        <w:shd w:val="clear" w:color="auto" w:fill="auto"/>
        <w:ind w:firstLine="420"/>
        <w:outlineLvl w:val="9"/>
        <w:rPr>
          <w:color w:val="auto"/>
          <w:szCs w:val="21"/>
          <w:highlight w:val="none"/>
        </w:rPr>
      </w:pPr>
      <w:r>
        <w:rPr>
          <w:color w:val="auto"/>
          <w:szCs w:val="21"/>
          <w:highlight w:val="none"/>
        </w:rPr>
        <w:t>（1）承包人收到发包人解除合同通知后28天内，监理人按第3.5款商定或确定承包人实际完成工作的价值，包括发包人扣留承包人的材料、设备及临时设施和承包人已提供的设计、材料、施工设备、工程设备、临时工程等的价值。</w:t>
      </w:r>
    </w:p>
    <w:p>
      <w:pPr>
        <w:shd w:val="clear" w:color="auto" w:fill="auto"/>
        <w:ind w:firstLine="420"/>
        <w:outlineLvl w:val="9"/>
        <w:rPr>
          <w:color w:val="auto"/>
          <w:szCs w:val="21"/>
          <w:highlight w:val="none"/>
        </w:rPr>
      </w:pPr>
      <w:r>
        <w:rPr>
          <w:color w:val="auto"/>
          <w:szCs w:val="21"/>
          <w:highlight w:val="none"/>
        </w:rPr>
        <w:t>（2）发包人发出解除合同通知后，发包人有权暂停对承包人的一切付款，查清各项付款和已扣款金额，包括承包人应支付的违约金。</w:t>
      </w:r>
    </w:p>
    <w:p>
      <w:pPr>
        <w:shd w:val="clear" w:color="auto" w:fill="auto"/>
        <w:ind w:firstLine="420"/>
        <w:outlineLvl w:val="9"/>
        <w:rPr>
          <w:color w:val="auto"/>
          <w:szCs w:val="21"/>
          <w:highlight w:val="none"/>
        </w:rPr>
      </w:pPr>
      <w:r>
        <w:rPr>
          <w:color w:val="auto"/>
          <w:szCs w:val="21"/>
          <w:highlight w:val="none"/>
        </w:rPr>
        <w:t>（3）发包人发出解除合同通知后，发包人有权按第23.4款的约定向承包人索赔由于解除合同给发包人造成的损失。</w:t>
      </w:r>
    </w:p>
    <w:p>
      <w:pPr>
        <w:shd w:val="clear" w:color="auto" w:fill="auto"/>
        <w:ind w:firstLine="420"/>
        <w:outlineLvl w:val="9"/>
        <w:rPr>
          <w:color w:val="auto"/>
          <w:szCs w:val="21"/>
          <w:highlight w:val="none"/>
        </w:rPr>
      </w:pPr>
      <w:r>
        <w:rPr>
          <w:color w:val="auto"/>
          <w:szCs w:val="21"/>
          <w:highlight w:val="none"/>
        </w:rPr>
        <w:t>（4）合同双方确认合同价款后，发包人颁发最终结清付款证书，并结清全部合同款项。</w:t>
      </w:r>
    </w:p>
    <w:p>
      <w:pPr>
        <w:shd w:val="clear" w:color="auto" w:fill="auto"/>
        <w:ind w:firstLine="420"/>
        <w:outlineLvl w:val="9"/>
        <w:rPr>
          <w:color w:val="auto"/>
          <w:szCs w:val="21"/>
          <w:highlight w:val="none"/>
        </w:rPr>
      </w:pPr>
      <w:r>
        <w:rPr>
          <w:color w:val="auto"/>
          <w:szCs w:val="21"/>
          <w:highlight w:val="none"/>
        </w:rPr>
        <w:t>（5）发包人和承包人未能就解除合同后的结清达成一致而形成争议的，按第24条的约定执行。</w:t>
      </w:r>
    </w:p>
    <w:p>
      <w:pPr>
        <w:shd w:val="clear" w:color="auto" w:fill="auto"/>
        <w:ind w:firstLine="420"/>
        <w:outlineLvl w:val="9"/>
        <w:rPr>
          <w:color w:val="auto"/>
          <w:szCs w:val="21"/>
          <w:highlight w:val="none"/>
        </w:rPr>
      </w:pPr>
      <w:r>
        <w:rPr>
          <w:color w:val="auto"/>
          <w:szCs w:val="21"/>
          <w:highlight w:val="none"/>
        </w:rPr>
        <w:t>22.1.5 协议利益的转让</w:t>
      </w:r>
    </w:p>
    <w:p>
      <w:pPr>
        <w:shd w:val="clear" w:color="auto" w:fill="auto"/>
        <w:ind w:firstLine="420"/>
        <w:outlineLvl w:val="9"/>
        <w:rPr>
          <w:color w:val="auto"/>
          <w:szCs w:val="21"/>
          <w:highlight w:val="none"/>
        </w:rPr>
      </w:pPr>
      <w:r>
        <w:rPr>
          <w:color w:val="auto"/>
          <w:szCs w:val="21"/>
          <w:highlight w:val="none"/>
        </w:rPr>
        <w:t>因承包人违约解除合同的，发包人有权要求承包人将其为实施合同而签订的材料和设备的订货协议或任何服务协议利益转让给发包人，并在承包人收到解除合同通知后的14天内，依法办理转让手续。发包人有权使用承包人文件和由承包人或以其名义编制的其他设计文件。</w:t>
      </w:r>
    </w:p>
    <w:p>
      <w:pPr>
        <w:shd w:val="clear" w:color="auto" w:fill="auto"/>
        <w:ind w:firstLine="420"/>
        <w:outlineLvl w:val="9"/>
        <w:rPr>
          <w:color w:val="auto"/>
          <w:szCs w:val="21"/>
          <w:highlight w:val="none"/>
        </w:rPr>
      </w:pPr>
      <w:r>
        <w:rPr>
          <w:color w:val="auto"/>
          <w:szCs w:val="21"/>
          <w:highlight w:val="none"/>
        </w:rPr>
        <w:t>22.1.6 紧急情况下无能力或不愿进行抢救</w:t>
      </w:r>
    </w:p>
    <w:p>
      <w:pPr>
        <w:shd w:val="clear" w:color="auto" w:fill="auto"/>
        <w:ind w:firstLine="420"/>
        <w:outlineLvl w:val="9"/>
        <w:rPr>
          <w:color w:val="auto"/>
          <w:szCs w:val="21"/>
          <w:highlight w:val="none"/>
        </w:rPr>
      </w:pPr>
      <w:r>
        <w:rPr>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22.2 发包人违约</w:t>
      </w:r>
    </w:p>
    <w:p>
      <w:pPr>
        <w:shd w:val="clear" w:color="auto" w:fill="auto"/>
        <w:ind w:firstLine="420"/>
        <w:outlineLvl w:val="9"/>
        <w:rPr>
          <w:color w:val="auto"/>
          <w:szCs w:val="21"/>
          <w:highlight w:val="none"/>
        </w:rPr>
      </w:pPr>
      <w:r>
        <w:rPr>
          <w:color w:val="auto"/>
          <w:szCs w:val="21"/>
          <w:highlight w:val="none"/>
        </w:rPr>
        <w:t>22.2.1 发包人违约的情形</w:t>
      </w:r>
    </w:p>
    <w:p>
      <w:pPr>
        <w:shd w:val="clear" w:color="auto" w:fill="auto"/>
        <w:ind w:firstLine="420"/>
        <w:outlineLvl w:val="9"/>
        <w:rPr>
          <w:color w:val="auto"/>
          <w:szCs w:val="21"/>
          <w:highlight w:val="none"/>
        </w:rPr>
      </w:pPr>
      <w:r>
        <w:rPr>
          <w:color w:val="auto"/>
          <w:szCs w:val="21"/>
          <w:highlight w:val="none"/>
        </w:rPr>
        <w:t>在履行合同过程中发生下列情形之一的，属发包人违约：</w:t>
      </w:r>
    </w:p>
    <w:p>
      <w:pPr>
        <w:shd w:val="clear" w:color="auto" w:fill="auto"/>
        <w:ind w:firstLine="420"/>
        <w:outlineLvl w:val="9"/>
        <w:rPr>
          <w:color w:val="auto"/>
          <w:szCs w:val="21"/>
          <w:highlight w:val="none"/>
        </w:rPr>
      </w:pPr>
      <w:r>
        <w:rPr>
          <w:color w:val="auto"/>
          <w:szCs w:val="21"/>
          <w:highlight w:val="none"/>
        </w:rPr>
        <w:t>（1）发包人未能按合同约定支付价款，或拖延、拒绝批准付款申请和支付凭证，导致付款延误；</w:t>
      </w:r>
    </w:p>
    <w:p>
      <w:pPr>
        <w:shd w:val="clear" w:color="auto" w:fill="auto"/>
        <w:ind w:firstLine="420"/>
        <w:outlineLvl w:val="9"/>
        <w:rPr>
          <w:color w:val="auto"/>
          <w:szCs w:val="21"/>
          <w:highlight w:val="none"/>
        </w:rPr>
      </w:pPr>
      <w:r>
        <w:rPr>
          <w:color w:val="auto"/>
          <w:szCs w:val="21"/>
          <w:highlight w:val="none"/>
        </w:rPr>
        <w:t>（2）发包人原因造成停工；</w:t>
      </w:r>
    </w:p>
    <w:p>
      <w:pPr>
        <w:shd w:val="clear" w:color="auto" w:fill="auto"/>
        <w:ind w:firstLine="420"/>
        <w:outlineLvl w:val="9"/>
        <w:rPr>
          <w:color w:val="auto"/>
          <w:szCs w:val="21"/>
          <w:highlight w:val="none"/>
        </w:rPr>
      </w:pPr>
      <w:r>
        <w:rPr>
          <w:color w:val="auto"/>
          <w:szCs w:val="21"/>
          <w:highlight w:val="none"/>
        </w:rPr>
        <w:t>（3）监理人无正当理由没有在约定期限内发出复工指示，导致承包人无法复工；</w:t>
      </w:r>
    </w:p>
    <w:p>
      <w:pPr>
        <w:shd w:val="clear" w:color="auto" w:fill="auto"/>
        <w:ind w:firstLine="420"/>
        <w:outlineLvl w:val="9"/>
        <w:rPr>
          <w:color w:val="auto"/>
          <w:szCs w:val="21"/>
          <w:highlight w:val="none"/>
        </w:rPr>
      </w:pPr>
      <w:r>
        <w:rPr>
          <w:color w:val="auto"/>
          <w:szCs w:val="21"/>
          <w:highlight w:val="none"/>
        </w:rPr>
        <w:t>（4）发包人无法继续履行或明确表示不履行或实质上已停止履行合同；</w:t>
      </w:r>
    </w:p>
    <w:p>
      <w:pPr>
        <w:shd w:val="clear" w:color="auto" w:fill="auto"/>
        <w:ind w:firstLine="420"/>
        <w:outlineLvl w:val="9"/>
        <w:rPr>
          <w:color w:val="auto"/>
          <w:szCs w:val="21"/>
          <w:highlight w:val="none"/>
        </w:rPr>
      </w:pPr>
      <w:r>
        <w:rPr>
          <w:color w:val="auto"/>
          <w:szCs w:val="21"/>
          <w:highlight w:val="none"/>
        </w:rPr>
        <w:t>（5）发包人不履行合同约定其他义务。</w:t>
      </w:r>
    </w:p>
    <w:p>
      <w:pPr>
        <w:shd w:val="clear" w:color="auto" w:fill="auto"/>
        <w:ind w:firstLine="420"/>
        <w:outlineLvl w:val="9"/>
        <w:rPr>
          <w:color w:val="auto"/>
          <w:szCs w:val="21"/>
          <w:highlight w:val="none"/>
        </w:rPr>
      </w:pPr>
      <w:r>
        <w:rPr>
          <w:color w:val="auto"/>
          <w:szCs w:val="21"/>
          <w:highlight w:val="none"/>
        </w:rPr>
        <w:t>22.2.2 因发包人违约解除合同</w:t>
      </w:r>
    </w:p>
    <w:p>
      <w:pPr>
        <w:shd w:val="clear" w:color="auto" w:fill="auto"/>
        <w:ind w:firstLine="420"/>
        <w:outlineLvl w:val="9"/>
        <w:rPr>
          <w:color w:val="auto"/>
          <w:szCs w:val="21"/>
          <w:highlight w:val="none"/>
        </w:rPr>
      </w:pPr>
      <w:r>
        <w:rPr>
          <w:color w:val="auto"/>
          <w:szCs w:val="21"/>
          <w:highlight w:val="none"/>
        </w:rPr>
        <w:t>（1）发生第22.2.1（4）目的违约情况时，承包人可书面通知发包人解除合同。</w:t>
      </w:r>
    </w:p>
    <w:p>
      <w:pPr>
        <w:shd w:val="clear" w:color="auto" w:fill="auto"/>
        <w:ind w:firstLine="420"/>
        <w:outlineLvl w:val="9"/>
        <w:rPr>
          <w:color w:val="auto"/>
          <w:szCs w:val="21"/>
          <w:highlight w:val="none"/>
        </w:rPr>
      </w:pPr>
      <w:r>
        <w:rPr>
          <w:color w:val="auto"/>
          <w:szCs w:val="21"/>
          <w:highlight w:val="none"/>
        </w:rPr>
        <w:t>（2）承包人按12.2.1项约定暂停施工28天后，发包人仍不纠正违约行为的，承包人可向发包人发出解除合同通知。但承包人的这一行为不免除发包人承担的违约责任，也不影响承包人根据合同约定享有的索赔权利。</w:t>
      </w:r>
    </w:p>
    <w:p>
      <w:pPr>
        <w:shd w:val="clear" w:color="auto" w:fill="auto"/>
        <w:ind w:firstLine="420"/>
        <w:outlineLvl w:val="9"/>
        <w:rPr>
          <w:color w:val="auto"/>
          <w:szCs w:val="21"/>
          <w:highlight w:val="none"/>
        </w:rPr>
      </w:pPr>
      <w:r>
        <w:rPr>
          <w:color w:val="auto"/>
          <w:szCs w:val="21"/>
          <w:highlight w:val="none"/>
        </w:rPr>
        <w:t>22.2.3 解除合同后的付款</w:t>
      </w:r>
    </w:p>
    <w:p>
      <w:pPr>
        <w:shd w:val="clear" w:color="auto" w:fill="auto"/>
        <w:ind w:firstLine="420"/>
        <w:outlineLvl w:val="9"/>
        <w:rPr>
          <w:color w:val="auto"/>
          <w:szCs w:val="21"/>
          <w:highlight w:val="none"/>
        </w:rPr>
      </w:pPr>
      <w:r>
        <w:rPr>
          <w:color w:val="auto"/>
          <w:szCs w:val="21"/>
          <w:highlight w:val="none"/>
        </w:rPr>
        <w:t>因发包人违约解除合同的，发包人应在解除合同后28天内向承包人支付下列款项，承包人应在此期限内及时向发包人提交要求支付下列金额的有关资料和凭证：</w:t>
      </w:r>
    </w:p>
    <w:p>
      <w:pPr>
        <w:shd w:val="clear" w:color="auto" w:fill="auto"/>
        <w:ind w:firstLine="420"/>
        <w:outlineLvl w:val="9"/>
        <w:rPr>
          <w:color w:val="auto"/>
          <w:szCs w:val="21"/>
          <w:highlight w:val="none"/>
        </w:rPr>
      </w:pPr>
      <w:r>
        <w:rPr>
          <w:color w:val="auto"/>
          <w:szCs w:val="21"/>
          <w:highlight w:val="none"/>
        </w:rPr>
        <w:t>（1）承包人发出解除合同通知前所完成工作的价款；</w:t>
      </w:r>
    </w:p>
    <w:p>
      <w:pPr>
        <w:shd w:val="clear" w:color="auto" w:fill="auto"/>
        <w:ind w:firstLine="420"/>
        <w:outlineLvl w:val="9"/>
        <w:rPr>
          <w:color w:val="auto"/>
          <w:szCs w:val="21"/>
          <w:highlight w:val="none"/>
        </w:rPr>
      </w:pPr>
      <w:r>
        <w:rPr>
          <w:color w:val="auto"/>
          <w:szCs w:val="21"/>
          <w:highlight w:val="none"/>
        </w:rPr>
        <w:t>（2）承包人为该工程施工订购并已付款的材料、工程设备和其他物品的金额。发包人付款后，该材料、工程设备和其他物品归发包人所有；</w:t>
      </w:r>
    </w:p>
    <w:p>
      <w:pPr>
        <w:shd w:val="clear" w:color="auto" w:fill="auto"/>
        <w:ind w:firstLine="420"/>
        <w:outlineLvl w:val="9"/>
        <w:rPr>
          <w:color w:val="auto"/>
          <w:szCs w:val="21"/>
          <w:highlight w:val="none"/>
        </w:rPr>
      </w:pPr>
      <w:r>
        <w:rPr>
          <w:color w:val="auto"/>
          <w:szCs w:val="21"/>
          <w:highlight w:val="none"/>
        </w:rPr>
        <w:t>（3）承包人为完成工程所发生的，而发包人未支付的金额；</w:t>
      </w:r>
    </w:p>
    <w:p>
      <w:pPr>
        <w:shd w:val="clear" w:color="auto" w:fill="auto"/>
        <w:ind w:firstLine="420"/>
        <w:outlineLvl w:val="9"/>
        <w:rPr>
          <w:color w:val="auto"/>
          <w:szCs w:val="21"/>
          <w:highlight w:val="none"/>
        </w:rPr>
      </w:pPr>
      <w:r>
        <w:rPr>
          <w:color w:val="auto"/>
          <w:szCs w:val="21"/>
          <w:highlight w:val="none"/>
        </w:rPr>
        <w:t>（4）承包人撤离施工场地以及遣散承包人人员的金额；</w:t>
      </w:r>
    </w:p>
    <w:p>
      <w:pPr>
        <w:shd w:val="clear" w:color="auto" w:fill="auto"/>
        <w:ind w:firstLine="420"/>
        <w:outlineLvl w:val="9"/>
        <w:rPr>
          <w:color w:val="auto"/>
          <w:szCs w:val="21"/>
          <w:highlight w:val="none"/>
        </w:rPr>
      </w:pPr>
      <w:r>
        <w:rPr>
          <w:color w:val="auto"/>
          <w:szCs w:val="21"/>
          <w:highlight w:val="none"/>
        </w:rPr>
        <w:t>（5）因解除合同造成的承包人损失；</w:t>
      </w:r>
    </w:p>
    <w:p>
      <w:pPr>
        <w:shd w:val="clear" w:color="auto" w:fill="auto"/>
        <w:ind w:firstLine="420"/>
        <w:outlineLvl w:val="9"/>
        <w:rPr>
          <w:color w:val="auto"/>
          <w:szCs w:val="21"/>
          <w:highlight w:val="none"/>
        </w:rPr>
      </w:pPr>
      <w:r>
        <w:rPr>
          <w:color w:val="auto"/>
          <w:szCs w:val="21"/>
          <w:highlight w:val="none"/>
        </w:rPr>
        <w:t>（6）按合同约定在承包人发出解除合同通知前应支付给承包人的其他金额。</w:t>
      </w:r>
    </w:p>
    <w:p>
      <w:pPr>
        <w:shd w:val="clear" w:color="auto" w:fill="auto"/>
        <w:ind w:firstLine="420"/>
        <w:outlineLvl w:val="9"/>
        <w:rPr>
          <w:color w:val="auto"/>
          <w:szCs w:val="21"/>
          <w:highlight w:val="none"/>
        </w:rPr>
      </w:pPr>
      <w:r>
        <w:rPr>
          <w:color w:val="auto"/>
          <w:szCs w:val="21"/>
          <w:highlight w:val="none"/>
        </w:rPr>
        <w:t>发包人应按本项约定支付上述金额并退还质量保证金和履约担保，但有权要求承包人支付应偿还给发包人的各项金额。</w:t>
      </w:r>
    </w:p>
    <w:p>
      <w:pPr>
        <w:shd w:val="clear" w:color="auto" w:fill="auto"/>
        <w:ind w:firstLine="420"/>
        <w:outlineLvl w:val="9"/>
        <w:rPr>
          <w:color w:val="auto"/>
          <w:szCs w:val="21"/>
          <w:highlight w:val="none"/>
        </w:rPr>
      </w:pPr>
      <w:r>
        <w:rPr>
          <w:color w:val="auto"/>
          <w:szCs w:val="21"/>
          <w:highlight w:val="none"/>
        </w:rPr>
        <w:t>22.2.4 解除合同后的承包人撤离</w:t>
      </w:r>
    </w:p>
    <w:p>
      <w:pPr>
        <w:shd w:val="clear" w:color="auto" w:fill="auto"/>
        <w:ind w:firstLine="420"/>
        <w:outlineLvl w:val="9"/>
        <w:rPr>
          <w:color w:val="auto"/>
          <w:szCs w:val="21"/>
          <w:highlight w:val="none"/>
        </w:rPr>
      </w:pPr>
      <w:r>
        <w:rPr>
          <w:color w:val="auto"/>
          <w:szCs w:val="21"/>
          <w:highlight w:val="none"/>
        </w:rPr>
        <w:t>因发包人违约而解除合同后，承包人应妥善处理正在施工的工程和已购材料、设备的保护和移交工作，并按发包人的要求将承包人设备和人员撤出施工场地。承包人撤出施工场地应遵守第18.7.1项的约定，发包人应为承包人撤出提供必要条件并办理移交手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22.3 第三人造成的违约</w:t>
      </w:r>
    </w:p>
    <w:p>
      <w:pPr>
        <w:shd w:val="clear" w:color="auto" w:fill="auto"/>
        <w:ind w:firstLine="420"/>
        <w:outlineLvl w:val="9"/>
        <w:rPr>
          <w:color w:val="auto"/>
          <w:szCs w:val="21"/>
          <w:highlight w:val="none"/>
        </w:rPr>
      </w:pPr>
      <w:r>
        <w:rPr>
          <w:color w:val="auto"/>
          <w:szCs w:val="21"/>
          <w:highlight w:val="none"/>
        </w:rPr>
        <w:t>在履行合同过程中，一方当事人因第三人的原因造成违约的，应当向对方当事人承担违约责任。一方当事人和第三人之间的纠纷，依照法律规定或者按照约定解决。</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37" w:name="_Toc144327095"/>
      <w:bookmarkStart w:id="438" w:name="_Toc26937"/>
      <w:bookmarkStart w:id="439" w:name="_Toc5507"/>
      <w:r>
        <w:rPr>
          <w:rFonts w:ascii="Times New Roman" w:hAnsi="Times New Roman" w:cs="Times New Roman"/>
          <w:color w:val="auto"/>
          <w:sz w:val="21"/>
          <w:szCs w:val="21"/>
          <w:highlight w:val="none"/>
        </w:rPr>
        <w:t>23．索赔</w:t>
      </w:r>
      <w:bookmarkEnd w:id="437"/>
      <w:bookmarkEnd w:id="438"/>
      <w:bookmarkEnd w:id="439"/>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23.1 承包人索赔的提出</w:t>
      </w:r>
    </w:p>
    <w:p>
      <w:pPr>
        <w:shd w:val="clear" w:color="auto" w:fill="auto"/>
        <w:ind w:firstLine="420"/>
        <w:outlineLvl w:val="9"/>
        <w:rPr>
          <w:color w:val="auto"/>
          <w:szCs w:val="21"/>
          <w:highlight w:val="none"/>
        </w:rPr>
      </w:pPr>
      <w:r>
        <w:rPr>
          <w:color w:val="auto"/>
          <w:szCs w:val="21"/>
          <w:highlight w:val="none"/>
        </w:rPr>
        <w:t>根据合同约定，承包人认为有权得到追加付款和（或）延长工期的，应按以下程序向发包人提出索赔：</w:t>
      </w:r>
    </w:p>
    <w:p>
      <w:pPr>
        <w:shd w:val="clear" w:color="auto" w:fill="auto"/>
        <w:ind w:firstLine="420"/>
        <w:outlineLvl w:val="9"/>
        <w:rPr>
          <w:color w:val="auto"/>
          <w:szCs w:val="21"/>
          <w:highlight w:val="none"/>
        </w:rPr>
      </w:pPr>
      <w:r>
        <w:rPr>
          <w:color w:val="auto"/>
          <w:szCs w:val="21"/>
          <w:highlight w:val="none"/>
        </w:rPr>
        <w:t>（1）承包人应在知道或应当知道索赔事件发生后28天内，向监理人递交索赔意向通知书，并说明发生索赔事件的事由。承包人未在前述28天内发出索赔意向通知书的，工期不予顺延，且承包人无权获得追加付款；</w:t>
      </w:r>
    </w:p>
    <w:p>
      <w:pPr>
        <w:shd w:val="clear" w:color="auto" w:fill="auto"/>
        <w:ind w:firstLine="420"/>
        <w:outlineLvl w:val="9"/>
        <w:rPr>
          <w:color w:val="auto"/>
          <w:szCs w:val="21"/>
          <w:highlight w:val="none"/>
        </w:rPr>
      </w:pPr>
      <w:r>
        <w:rPr>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shd w:val="clear" w:color="auto" w:fill="auto"/>
        <w:ind w:firstLine="420"/>
        <w:outlineLvl w:val="9"/>
        <w:rPr>
          <w:color w:val="auto"/>
          <w:szCs w:val="21"/>
          <w:highlight w:val="none"/>
        </w:rPr>
      </w:pPr>
      <w:r>
        <w:rPr>
          <w:color w:val="auto"/>
          <w:szCs w:val="21"/>
          <w:highlight w:val="none"/>
        </w:rPr>
        <w:t>（3）索赔事件具有连续影响的，承包人应按合理时间间隔继续递交延续索赔通知，说明连续影响的实际情况和记录，列出累计的追加付款金额和（或）工期延长天数；</w:t>
      </w:r>
    </w:p>
    <w:p>
      <w:pPr>
        <w:shd w:val="clear" w:color="auto" w:fill="auto"/>
        <w:ind w:firstLine="420"/>
        <w:outlineLvl w:val="9"/>
        <w:rPr>
          <w:color w:val="auto"/>
          <w:szCs w:val="21"/>
          <w:highlight w:val="none"/>
        </w:rPr>
      </w:pPr>
      <w:r>
        <w:rPr>
          <w:color w:val="auto"/>
          <w:szCs w:val="21"/>
          <w:highlight w:val="none"/>
        </w:rPr>
        <w:t>（4）在索赔事件影响结束后的28天内，承包人应向监理人递交最终索赔通知书，说明最终要求索赔的追加付款金额和延长的工期，并附必要的记录和证明材料。</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23.2 承包人索赔处理程序</w:t>
      </w:r>
    </w:p>
    <w:p>
      <w:pPr>
        <w:shd w:val="clear" w:color="auto" w:fill="auto"/>
        <w:ind w:firstLine="420"/>
        <w:outlineLvl w:val="9"/>
        <w:rPr>
          <w:color w:val="auto"/>
          <w:szCs w:val="21"/>
          <w:highlight w:val="none"/>
        </w:rPr>
      </w:pPr>
      <w:r>
        <w:rPr>
          <w:color w:val="auto"/>
          <w:szCs w:val="21"/>
          <w:highlight w:val="none"/>
        </w:rPr>
        <w:t>（1）监理人收到承包人提交的索赔通知书后，应及时审查索赔通知书的内容、查验承包人的记录和证明材料，必要时监理人可要求承包人提交全部原始记录副本。</w:t>
      </w:r>
    </w:p>
    <w:p>
      <w:pPr>
        <w:shd w:val="clear" w:color="auto" w:fill="auto"/>
        <w:ind w:firstLine="420"/>
        <w:outlineLvl w:val="9"/>
        <w:rPr>
          <w:color w:val="auto"/>
          <w:szCs w:val="21"/>
          <w:highlight w:val="none"/>
        </w:rPr>
      </w:pPr>
      <w:r>
        <w:rPr>
          <w:color w:val="auto"/>
          <w:szCs w:val="21"/>
          <w:highlight w:val="none"/>
        </w:rPr>
        <w:t>（2）监理人应按第3.5款商定或确定追加的付款和（或）延长的工期，并在收到上述索赔通知书或有关索赔的进一步证明材料后的42天内，将索赔处理结果答复承包人。监理人应当在收到索赔通知书或有关索赔的进一步证明材料后的42天内不予答复的，视为认可索赔。</w:t>
      </w:r>
    </w:p>
    <w:p>
      <w:pPr>
        <w:shd w:val="clear" w:color="auto" w:fill="auto"/>
        <w:ind w:firstLine="420"/>
        <w:outlineLvl w:val="9"/>
        <w:rPr>
          <w:color w:val="auto"/>
          <w:szCs w:val="21"/>
          <w:highlight w:val="none"/>
        </w:rPr>
      </w:pPr>
      <w:r>
        <w:rPr>
          <w:color w:val="auto"/>
          <w:szCs w:val="21"/>
          <w:highlight w:val="none"/>
        </w:rPr>
        <w:t>（3）承包人接受索赔处理结果的，发包人应在作出索赔处理结果答复后28天内完成赔付。承包人不接受索赔处理结果的，按第24条的约定执行。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23.3 承包人提出索赔的期限</w:t>
      </w:r>
    </w:p>
    <w:p>
      <w:pPr>
        <w:shd w:val="clear" w:color="auto" w:fill="auto"/>
        <w:ind w:firstLine="420"/>
        <w:outlineLvl w:val="9"/>
        <w:rPr>
          <w:color w:val="auto"/>
          <w:szCs w:val="21"/>
          <w:highlight w:val="none"/>
        </w:rPr>
      </w:pPr>
      <w:r>
        <w:rPr>
          <w:color w:val="auto"/>
          <w:szCs w:val="21"/>
          <w:highlight w:val="none"/>
        </w:rPr>
        <w:t>23.3.1 承包人按第17.5款的约定接受了竣工付款证书后，应被认为已无权再提出在合同工程接收证书颁发前所发生的任何索赔。</w:t>
      </w:r>
    </w:p>
    <w:p>
      <w:pPr>
        <w:shd w:val="clear" w:color="auto" w:fill="auto"/>
        <w:ind w:firstLine="420"/>
        <w:outlineLvl w:val="9"/>
        <w:rPr>
          <w:color w:val="auto"/>
          <w:szCs w:val="21"/>
          <w:highlight w:val="none"/>
        </w:rPr>
      </w:pPr>
      <w:r>
        <w:rPr>
          <w:color w:val="auto"/>
          <w:szCs w:val="21"/>
          <w:highlight w:val="none"/>
        </w:rPr>
        <w:t>23.3.2 承包人按第17.6款的约定提交的最终结清申请单中，只限于提出工程接收证书颁发后发生的索赔。提出索赔的期限自接受最终结清证书时终止。</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23.4 发包人的索赔</w:t>
      </w:r>
    </w:p>
    <w:p>
      <w:pPr>
        <w:shd w:val="clear" w:color="auto" w:fill="auto"/>
        <w:ind w:firstLine="420"/>
        <w:outlineLvl w:val="9"/>
        <w:rPr>
          <w:color w:val="auto"/>
          <w:szCs w:val="21"/>
          <w:highlight w:val="none"/>
        </w:rPr>
      </w:pPr>
      <w:r>
        <w:rPr>
          <w:color w:val="auto"/>
          <w:szCs w:val="21"/>
          <w:highlight w:val="none"/>
        </w:rPr>
        <w:t>23.4.1 发包人应在知道或应当知道索赔事件发生后28天内，向承包人发出索赔通知，并说明发包人有权扣减的付款和（或）延长缺陷责任期的细节和依据。发包人未在前述28天内发出索赔通知的，丧失要求扣减付款和（或）延长缺陷责任期的权利。发包人提出索赔的期限和要求与第23.3款的约定相同，要求延长缺陷责任期的通知应在缺陷责任期届满前发出。</w:t>
      </w:r>
    </w:p>
    <w:p>
      <w:pPr>
        <w:shd w:val="clear" w:color="auto" w:fill="auto"/>
        <w:ind w:firstLine="420"/>
        <w:outlineLvl w:val="9"/>
        <w:rPr>
          <w:color w:val="auto"/>
          <w:szCs w:val="21"/>
          <w:highlight w:val="none"/>
        </w:rPr>
      </w:pPr>
      <w:r>
        <w:rPr>
          <w:color w:val="auto"/>
          <w:szCs w:val="21"/>
          <w:highlight w:val="none"/>
        </w:rPr>
        <w:t>23.4.2 发包人按第3.5款商定或确定发包人从承包人处得到赔付的金额和（或）缺陷责任期的延长期。承包人应付给发包人的金额可从拟支付给承包人的合同价款中扣除，或由承包人以其他方式支付给发包人。</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40" w:name="_Toc144327096"/>
      <w:bookmarkStart w:id="441" w:name="_Toc32458"/>
      <w:bookmarkStart w:id="442" w:name="_Toc23018"/>
      <w:r>
        <w:rPr>
          <w:rFonts w:ascii="Times New Roman" w:hAnsi="Times New Roman" w:cs="Times New Roman"/>
          <w:color w:val="auto"/>
          <w:sz w:val="21"/>
          <w:szCs w:val="21"/>
          <w:highlight w:val="none"/>
        </w:rPr>
        <w:t>24．争议的解决</w:t>
      </w:r>
      <w:bookmarkEnd w:id="440"/>
      <w:bookmarkEnd w:id="441"/>
      <w:bookmarkEnd w:id="442"/>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24.1 争议的解决方式</w:t>
      </w:r>
    </w:p>
    <w:p>
      <w:pPr>
        <w:shd w:val="clear" w:color="auto" w:fill="auto"/>
        <w:ind w:firstLine="420"/>
        <w:outlineLvl w:val="9"/>
        <w:rPr>
          <w:color w:val="auto"/>
          <w:szCs w:val="21"/>
          <w:highlight w:val="none"/>
        </w:rPr>
      </w:pPr>
      <w:r>
        <w:rPr>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hd w:val="clear" w:color="auto" w:fill="auto"/>
        <w:ind w:firstLine="420"/>
        <w:outlineLvl w:val="9"/>
        <w:rPr>
          <w:color w:val="auto"/>
          <w:szCs w:val="21"/>
          <w:highlight w:val="none"/>
        </w:rPr>
      </w:pPr>
      <w:r>
        <w:rPr>
          <w:color w:val="auto"/>
          <w:szCs w:val="21"/>
          <w:highlight w:val="none"/>
        </w:rPr>
        <w:t>（1）向约定的仲裁委员会申请仲裁；</w:t>
      </w:r>
    </w:p>
    <w:p>
      <w:pPr>
        <w:shd w:val="clear" w:color="auto" w:fill="auto"/>
        <w:ind w:firstLine="420"/>
        <w:outlineLvl w:val="9"/>
        <w:rPr>
          <w:color w:val="auto"/>
          <w:szCs w:val="21"/>
          <w:highlight w:val="none"/>
        </w:rPr>
      </w:pPr>
      <w:r>
        <w:rPr>
          <w:color w:val="auto"/>
          <w:szCs w:val="21"/>
          <w:highlight w:val="none"/>
        </w:rPr>
        <w:t>（2）向有管辖权的人民法院提起诉讼。</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24.2 友好解决</w:t>
      </w:r>
    </w:p>
    <w:p>
      <w:pPr>
        <w:shd w:val="clear" w:color="auto" w:fill="auto"/>
        <w:ind w:firstLine="420"/>
        <w:outlineLvl w:val="9"/>
        <w:rPr>
          <w:color w:val="auto"/>
          <w:szCs w:val="21"/>
          <w:highlight w:val="none"/>
        </w:rPr>
      </w:pPr>
      <w:r>
        <w:rPr>
          <w:color w:val="auto"/>
          <w:szCs w:val="21"/>
          <w:highlight w:val="none"/>
        </w:rPr>
        <w:t>在提请争议评审、仲裁或者诉讼前，以及在争议评审、仲裁或诉讼过程中，发包人和承包人均可共同努力友好协商解决争议。</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24.3 争议评审</w:t>
      </w:r>
    </w:p>
    <w:p>
      <w:pPr>
        <w:shd w:val="clear" w:color="auto" w:fill="auto"/>
        <w:ind w:firstLine="420"/>
        <w:outlineLvl w:val="9"/>
        <w:rPr>
          <w:color w:val="auto"/>
          <w:szCs w:val="21"/>
          <w:highlight w:val="none"/>
        </w:rPr>
      </w:pPr>
      <w:r>
        <w:rPr>
          <w:color w:val="auto"/>
          <w:szCs w:val="21"/>
          <w:highlight w:val="none"/>
        </w:rPr>
        <w:t>24.3.1 采用争议评审的，发包人和承包人应在开工日后的28天内或在争议发生后，协商成立争议评审组。争议评审组由有合同管理和工程实践经验的专家组成。</w:t>
      </w:r>
    </w:p>
    <w:p>
      <w:pPr>
        <w:shd w:val="clear" w:color="auto" w:fill="auto"/>
        <w:ind w:firstLine="420"/>
        <w:outlineLvl w:val="9"/>
        <w:rPr>
          <w:color w:val="auto"/>
          <w:szCs w:val="21"/>
          <w:highlight w:val="none"/>
        </w:rPr>
      </w:pPr>
      <w:r>
        <w:rPr>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pPr>
        <w:shd w:val="clear" w:color="auto" w:fill="auto"/>
        <w:ind w:firstLine="420"/>
        <w:outlineLvl w:val="9"/>
        <w:rPr>
          <w:color w:val="auto"/>
          <w:szCs w:val="21"/>
          <w:highlight w:val="none"/>
        </w:rPr>
      </w:pPr>
      <w:r>
        <w:rPr>
          <w:color w:val="auto"/>
          <w:szCs w:val="21"/>
          <w:highlight w:val="none"/>
        </w:rPr>
        <w:t>24.3.3 被申请人在收到申请人评审申请报告副本后的28天内，向争议评审组提交一份答辩报告，并附证明材料。被申请人应将答辩报告的副本同时提交给申请人和监理人。</w:t>
      </w:r>
    </w:p>
    <w:p>
      <w:pPr>
        <w:shd w:val="clear" w:color="auto" w:fill="auto"/>
        <w:ind w:firstLine="420"/>
        <w:outlineLvl w:val="9"/>
        <w:rPr>
          <w:color w:val="auto"/>
          <w:szCs w:val="21"/>
          <w:highlight w:val="none"/>
        </w:rPr>
      </w:pPr>
      <w:r>
        <w:rPr>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pPr>
        <w:shd w:val="clear" w:color="auto" w:fill="auto"/>
        <w:ind w:firstLine="420"/>
        <w:outlineLvl w:val="9"/>
        <w:rPr>
          <w:color w:val="auto"/>
          <w:szCs w:val="21"/>
          <w:highlight w:val="none"/>
        </w:rPr>
      </w:pPr>
      <w:r>
        <w:rPr>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hd w:val="clear" w:color="auto" w:fill="auto"/>
        <w:ind w:firstLine="420"/>
        <w:outlineLvl w:val="9"/>
        <w:rPr>
          <w:color w:val="auto"/>
          <w:szCs w:val="21"/>
          <w:highlight w:val="none"/>
        </w:rPr>
      </w:pPr>
      <w:r>
        <w:rPr>
          <w:color w:val="auto"/>
          <w:szCs w:val="21"/>
          <w:highlight w:val="none"/>
        </w:rPr>
        <w:t>24.3.6 发包人和承包人接受评审意见的，由监理人根据评审意见拟定执行协议，经争议双方签字后作为合同的补充文件，并遵照执行。</w:t>
      </w:r>
    </w:p>
    <w:p>
      <w:pPr>
        <w:shd w:val="clear" w:color="auto" w:fill="auto"/>
        <w:ind w:firstLine="420"/>
        <w:outlineLvl w:val="9"/>
        <w:rPr>
          <w:color w:val="auto"/>
          <w:szCs w:val="21"/>
          <w:highlight w:val="none"/>
        </w:rPr>
      </w:pPr>
      <w:r>
        <w:rPr>
          <w:color w:val="auto"/>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pStyle w:val="483"/>
        <w:shd w:val="clear" w:color="auto" w:fill="auto"/>
        <w:spacing w:before="60" w:after="60"/>
        <w:ind w:firstLine="420"/>
        <w:outlineLvl w:val="9"/>
        <w:rPr>
          <w:rFonts w:ascii="Times New Roman" w:hAnsi="Times New Roman" w:cs="Times New Roman"/>
          <w:b w:val="0"/>
          <w:color w:val="auto"/>
          <w:highlight w:val="none"/>
        </w:rPr>
      </w:pPr>
      <w:r>
        <w:rPr>
          <w:rFonts w:ascii="Times New Roman" w:hAnsi="Times New Roman" w:cs="Times New Roman"/>
          <w:b w:val="0"/>
          <w:color w:val="auto"/>
          <w:sz w:val="21"/>
          <w:highlight w:val="none"/>
        </w:rPr>
        <w:br w:type="page"/>
      </w:r>
      <w:bookmarkStart w:id="443" w:name="_Toc10064"/>
      <w:bookmarkStart w:id="444" w:name="_Toc2673"/>
      <w:r>
        <w:rPr>
          <w:rFonts w:ascii="Times New Roman" w:hAnsi="Times New Roman" w:cs="Times New Roman"/>
          <w:b w:val="0"/>
          <w:color w:val="auto"/>
          <w:kern w:val="2"/>
          <w:highlight w:val="none"/>
        </w:rPr>
        <w:t>第二节 专用合同条款</w:t>
      </w:r>
      <w:bookmarkEnd w:id="443"/>
      <w:bookmarkEnd w:id="444"/>
    </w:p>
    <w:p>
      <w:pPr>
        <w:shd w:val="clear" w:color="auto" w:fill="auto"/>
        <w:autoSpaceDE w:val="0"/>
        <w:autoSpaceDN w:val="0"/>
        <w:adjustRightInd w:val="0"/>
        <w:ind w:firstLine="420"/>
        <w:jc w:val="left"/>
        <w:outlineLvl w:val="9"/>
        <w:rPr>
          <w:color w:val="auto"/>
          <w:szCs w:val="21"/>
          <w:highlight w:val="none"/>
        </w:rPr>
      </w:pPr>
      <w:r>
        <w:rPr>
          <w:color w:val="auto"/>
          <w:kern w:val="0"/>
          <w:szCs w:val="21"/>
          <w:highlight w:val="none"/>
        </w:rPr>
        <w:t>专用合同条款是对通用合同的补充、修改，两者应对照阅读，一旦出现矛盾或不一致，则以专用合同条款为准，通用合同条款中未补充和修改的部分仍有效。专用条款中未明确的部分在签订合同协议书时由发包人和承包人协商确定。专用合同条款中若有引用国家、行业相关规范、规程等标准时，当所引用的标准更新时，按照最新标准执行。</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45" w:name="_Toc25659"/>
      <w:bookmarkStart w:id="446" w:name="_Toc144327098"/>
      <w:bookmarkStart w:id="447" w:name="_Toc24609"/>
      <w:r>
        <w:rPr>
          <w:rFonts w:ascii="Times New Roman" w:hAnsi="Times New Roman" w:cs="Times New Roman"/>
          <w:color w:val="auto"/>
          <w:sz w:val="21"/>
          <w:szCs w:val="21"/>
          <w:highlight w:val="none"/>
        </w:rPr>
        <w:t>1．一般约定</w:t>
      </w:r>
      <w:bookmarkEnd w:id="445"/>
      <w:bookmarkEnd w:id="446"/>
      <w:bookmarkEnd w:id="447"/>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 词语定义</w:t>
      </w:r>
    </w:p>
    <w:p>
      <w:pPr>
        <w:shd w:val="clear" w:color="auto" w:fill="auto"/>
        <w:ind w:firstLine="420"/>
        <w:outlineLvl w:val="9"/>
        <w:rPr>
          <w:color w:val="auto"/>
          <w:szCs w:val="21"/>
          <w:highlight w:val="none"/>
        </w:rPr>
      </w:pPr>
      <w:r>
        <w:rPr>
          <w:color w:val="auto"/>
          <w:szCs w:val="21"/>
          <w:highlight w:val="none"/>
        </w:rPr>
        <w:t>1.1.2 合同当事人和人员</w:t>
      </w:r>
    </w:p>
    <w:p>
      <w:pPr>
        <w:shd w:val="clear" w:color="auto" w:fill="auto"/>
        <w:ind w:firstLine="420"/>
        <w:outlineLvl w:val="9"/>
        <w:rPr>
          <w:color w:val="auto"/>
          <w:szCs w:val="21"/>
          <w:highlight w:val="none"/>
          <w:u w:val="single"/>
        </w:rPr>
      </w:pPr>
      <w:r>
        <w:rPr>
          <w:color w:val="auto"/>
          <w:szCs w:val="21"/>
          <w:highlight w:val="none"/>
        </w:rPr>
        <w:t xml:space="preserve">1.1.2.2 发包人： </w:t>
      </w:r>
    </w:p>
    <w:p>
      <w:pPr>
        <w:shd w:val="clear" w:color="auto" w:fill="auto"/>
        <w:ind w:firstLine="420"/>
        <w:outlineLvl w:val="9"/>
        <w:rPr>
          <w:color w:val="auto"/>
          <w:szCs w:val="21"/>
          <w:highlight w:val="none"/>
          <w:u w:val="single"/>
        </w:rPr>
      </w:pPr>
      <w:r>
        <w:rPr>
          <w:color w:val="auto"/>
          <w:szCs w:val="21"/>
          <w:highlight w:val="none"/>
        </w:rPr>
        <w:t xml:space="preserve">1.1.2.2 承包人： </w:t>
      </w:r>
      <w:r>
        <w:rPr>
          <w:color w:val="auto"/>
          <w:szCs w:val="21"/>
          <w:highlight w:val="none"/>
          <w:u w:val="single"/>
        </w:rPr>
        <w:t xml:space="preserve">                   </w:t>
      </w:r>
    </w:p>
    <w:p>
      <w:pPr>
        <w:shd w:val="clear" w:color="auto" w:fill="auto"/>
        <w:ind w:firstLine="420"/>
        <w:outlineLvl w:val="9"/>
        <w:rPr>
          <w:color w:val="auto"/>
          <w:szCs w:val="21"/>
          <w:highlight w:val="none"/>
        </w:rPr>
      </w:pPr>
      <w:r>
        <w:rPr>
          <w:color w:val="auto"/>
          <w:szCs w:val="21"/>
          <w:highlight w:val="none"/>
        </w:rPr>
        <w:t>1.1.2.9 监理人：</w:t>
      </w:r>
      <w:r>
        <w:rPr>
          <w:color w:val="auto"/>
          <w:szCs w:val="21"/>
          <w:highlight w:val="none"/>
          <w:u w:val="single"/>
        </w:rPr>
        <w:t xml:space="preserve">                   </w:t>
      </w:r>
      <w:r>
        <w:rPr>
          <w:color w:val="auto"/>
          <w:szCs w:val="21"/>
          <w:highlight w:val="none"/>
        </w:rPr>
        <w:t>（若此处未填写，发包人将在开工前书面通知承包人）。</w:t>
      </w:r>
    </w:p>
    <w:p>
      <w:pPr>
        <w:shd w:val="clear" w:color="auto" w:fill="auto"/>
        <w:ind w:firstLine="420"/>
        <w:outlineLvl w:val="9"/>
        <w:rPr>
          <w:color w:val="auto"/>
          <w:szCs w:val="21"/>
          <w:highlight w:val="none"/>
        </w:rPr>
      </w:pPr>
      <w:r>
        <w:rPr>
          <w:color w:val="auto"/>
          <w:szCs w:val="21"/>
          <w:highlight w:val="none"/>
        </w:rPr>
        <w:t>1.1.3 工程和设备</w:t>
      </w:r>
    </w:p>
    <w:p>
      <w:pPr>
        <w:shd w:val="clear" w:color="auto" w:fill="auto"/>
        <w:ind w:firstLine="420"/>
        <w:outlineLvl w:val="9"/>
        <w:rPr>
          <w:color w:val="auto"/>
          <w:szCs w:val="21"/>
          <w:highlight w:val="none"/>
        </w:rPr>
      </w:pPr>
      <w:r>
        <w:rPr>
          <w:color w:val="auto"/>
          <w:szCs w:val="21"/>
          <w:highlight w:val="none"/>
        </w:rPr>
        <w:t>1.1.3.4 区段工程：</w:t>
      </w:r>
      <w:r>
        <w:rPr>
          <w:color w:val="auto"/>
          <w:szCs w:val="21"/>
          <w:highlight w:val="none"/>
          <w:u w:val="single"/>
        </w:rPr>
        <w:t xml:space="preserve">  无  </w:t>
      </w:r>
      <w:r>
        <w:rPr>
          <w:color w:val="auto"/>
          <w:szCs w:val="21"/>
          <w:highlight w:val="none"/>
        </w:rPr>
        <w:t>。</w:t>
      </w:r>
    </w:p>
    <w:p>
      <w:pPr>
        <w:shd w:val="clear" w:color="auto" w:fill="auto"/>
        <w:ind w:firstLine="420"/>
        <w:outlineLvl w:val="9"/>
        <w:rPr>
          <w:rFonts w:hint="default" w:eastAsia="宋体"/>
          <w:color w:val="auto"/>
          <w:szCs w:val="21"/>
          <w:highlight w:val="none"/>
          <w:lang w:val="en-US" w:eastAsia="zh-CN"/>
        </w:rPr>
      </w:pPr>
      <w:r>
        <w:rPr>
          <w:color w:val="auto"/>
          <w:szCs w:val="21"/>
          <w:highlight w:val="none"/>
        </w:rPr>
        <w:t>1.1.3.10 永久占地：永久占用的土地，由承包人自行征占用，并负责手续办理工作。</w:t>
      </w:r>
    </w:p>
    <w:p>
      <w:pPr>
        <w:shd w:val="clear" w:color="auto" w:fill="auto"/>
        <w:ind w:firstLine="420"/>
        <w:outlineLvl w:val="9"/>
        <w:rPr>
          <w:color w:val="auto"/>
          <w:szCs w:val="21"/>
          <w:highlight w:val="none"/>
        </w:rPr>
      </w:pPr>
      <w:r>
        <w:rPr>
          <w:color w:val="auto"/>
          <w:szCs w:val="21"/>
          <w:highlight w:val="none"/>
        </w:rPr>
        <w:t>1.1.3.11 临时占地：由承包人自行征占用并恢复。</w:t>
      </w:r>
    </w:p>
    <w:p>
      <w:pPr>
        <w:shd w:val="clear" w:color="auto" w:fill="auto"/>
        <w:ind w:firstLine="420"/>
        <w:outlineLvl w:val="9"/>
        <w:rPr>
          <w:b/>
          <w:color w:val="auto"/>
          <w:szCs w:val="21"/>
          <w:highlight w:val="none"/>
        </w:rPr>
      </w:pPr>
      <w:r>
        <w:rPr>
          <w:color w:val="auto"/>
          <w:szCs w:val="21"/>
          <w:highlight w:val="none"/>
        </w:rPr>
        <w:t>1.1.4 日期、检验和竣工</w:t>
      </w:r>
    </w:p>
    <w:p>
      <w:pPr>
        <w:shd w:val="clear" w:color="auto" w:fill="auto"/>
        <w:ind w:firstLine="420"/>
        <w:outlineLvl w:val="9"/>
        <w:rPr>
          <w:color w:val="auto"/>
          <w:kern w:val="0"/>
          <w:szCs w:val="21"/>
          <w:highlight w:val="none"/>
          <w:u w:val="single"/>
        </w:rPr>
      </w:pPr>
      <w:r>
        <w:rPr>
          <w:color w:val="auto"/>
          <w:szCs w:val="21"/>
          <w:highlight w:val="none"/>
        </w:rPr>
        <w:t>1.1.4.5 缺陷责任期：</w:t>
      </w:r>
      <w:r>
        <w:rPr>
          <w:color w:val="auto"/>
          <w:kern w:val="0"/>
          <w:szCs w:val="21"/>
          <w:highlight w:val="none"/>
        </w:rPr>
        <w:t>即工程质量保修期，指履行第19.2款约定的缺陷责任的期限，包括根据第19.3款约定所作的延长，具体期限为</w:t>
      </w:r>
      <w:r>
        <w:rPr>
          <w:color w:val="auto"/>
          <w:kern w:val="0"/>
          <w:szCs w:val="21"/>
          <w:highlight w:val="none"/>
          <w:u w:val="single"/>
        </w:rPr>
        <w:t>工程移交生产验收报告签发之日起</w:t>
      </w:r>
      <w:r>
        <w:rPr>
          <w:rFonts w:hint="eastAsia"/>
          <w:color w:val="auto"/>
          <w:kern w:val="0"/>
          <w:szCs w:val="21"/>
          <w:highlight w:val="none"/>
          <w:u w:val="single"/>
          <w:lang w:val="en-US" w:eastAsia="zh-CN"/>
        </w:rPr>
        <w:t>12</w:t>
      </w:r>
      <w:r>
        <w:rPr>
          <w:color w:val="auto"/>
          <w:kern w:val="0"/>
          <w:szCs w:val="21"/>
          <w:highlight w:val="none"/>
          <w:u w:val="single"/>
        </w:rPr>
        <w:t>个月，法律、法规明确规缺陷责任大于</w:t>
      </w:r>
      <w:r>
        <w:rPr>
          <w:rFonts w:hint="eastAsia"/>
          <w:color w:val="auto"/>
          <w:kern w:val="0"/>
          <w:szCs w:val="21"/>
          <w:highlight w:val="none"/>
          <w:u w:val="single"/>
          <w:lang w:val="en-US" w:eastAsia="zh-CN"/>
        </w:rPr>
        <w:t>12</w:t>
      </w:r>
      <w:r>
        <w:rPr>
          <w:color w:val="auto"/>
          <w:kern w:val="0"/>
          <w:szCs w:val="21"/>
          <w:highlight w:val="none"/>
          <w:u w:val="single"/>
        </w:rPr>
        <w:t>个月的，以法律、法规规定为准。</w:t>
      </w:r>
    </w:p>
    <w:p>
      <w:pPr>
        <w:shd w:val="clear" w:color="auto" w:fill="auto"/>
        <w:ind w:firstLine="420"/>
        <w:outlineLvl w:val="9"/>
        <w:rPr>
          <w:color w:val="auto"/>
          <w:szCs w:val="21"/>
          <w:highlight w:val="none"/>
        </w:rPr>
      </w:pPr>
      <w:r>
        <w:rPr>
          <w:color w:val="auto"/>
          <w:szCs w:val="21"/>
          <w:highlight w:val="none"/>
        </w:rPr>
        <w:t>1.1.6 其他</w:t>
      </w:r>
    </w:p>
    <w:p>
      <w:pPr>
        <w:shd w:val="clear" w:color="auto" w:fill="auto"/>
        <w:ind w:firstLine="420"/>
        <w:outlineLvl w:val="9"/>
        <w:rPr>
          <w:color w:val="auto"/>
          <w:kern w:val="0"/>
          <w:szCs w:val="21"/>
          <w:highlight w:val="none"/>
          <w:u w:val="single"/>
        </w:rPr>
      </w:pPr>
      <w:r>
        <w:rPr>
          <w:color w:val="auto"/>
          <w:kern w:val="0"/>
          <w:szCs w:val="21"/>
          <w:highlight w:val="none"/>
          <w:u w:val="single"/>
        </w:rPr>
        <w:t>（1）“分部分项工程验收”“单位工程验收”“启动验收”“试运和移交生产验收”“竣工验收”等按照《光伏发电工程验收规范》（GB/T 50796）、《</w:t>
      </w:r>
      <w:r>
        <w:rPr>
          <w:rFonts w:hint="eastAsia"/>
          <w:color w:val="auto"/>
          <w:kern w:val="0"/>
          <w:szCs w:val="21"/>
          <w:highlight w:val="none"/>
          <w:u w:val="single"/>
        </w:rPr>
        <w:t>10kV～500kV输变电及配电工程质量验收与评定标准</w:t>
      </w:r>
      <w:r>
        <w:rPr>
          <w:color w:val="auto"/>
          <w:kern w:val="0"/>
          <w:szCs w:val="21"/>
          <w:highlight w:val="none"/>
          <w:u w:val="single"/>
        </w:rPr>
        <w:t>》</w:t>
      </w:r>
      <w:r>
        <w:rPr>
          <w:rFonts w:hint="eastAsia"/>
          <w:color w:val="auto"/>
          <w:kern w:val="0"/>
          <w:szCs w:val="21"/>
          <w:highlight w:val="none"/>
          <w:u w:val="single"/>
          <w:lang w:val="en-US" w:eastAsia="zh-CN"/>
        </w:rPr>
        <w:t>、</w:t>
      </w:r>
      <w:r>
        <w:rPr>
          <w:color w:val="auto"/>
          <w:kern w:val="0"/>
          <w:szCs w:val="21"/>
          <w:highlight w:val="none"/>
          <w:u w:val="single"/>
        </w:rPr>
        <w:t>《</w:t>
      </w:r>
      <w:r>
        <w:rPr>
          <w:rFonts w:hint="eastAsia"/>
          <w:color w:val="auto"/>
          <w:kern w:val="0"/>
          <w:szCs w:val="21"/>
          <w:highlight w:val="none"/>
          <w:u w:val="single"/>
        </w:rPr>
        <w:t>35KV及以下架空电力线路施工及验收规范</w:t>
      </w:r>
      <w:r>
        <w:rPr>
          <w:color w:val="auto"/>
          <w:kern w:val="0"/>
          <w:szCs w:val="21"/>
          <w:highlight w:val="none"/>
          <w:u w:val="single"/>
        </w:rPr>
        <w:t>》及南方电网（云南电网）</w:t>
      </w:r>
      <w:r>
        <w:rPr>
          <w:rFonts w:hint="eastAsia"/>
          <w:color w:val="auto"/>
          <w:kern w:val="0"/>
          <w:szCs w:val="21"/>
          <w:highlight w:val="none"/>
          <w:u w:val="single"/>
          <w:lang w:val="en-US" w:eastAsia="zh-CN"/>
        </w:rPr>
        <w:t>公司</w:t>
      </w:r>
      <w:r>
        <w:rPr>
          <w:color w:val="auto"/>
          <w:kern w:val="0"/>
          <w:szCs w:val="21"/>
          <w:highlight w:val="none"/>
          <w:u w:val="single"/>
        </w:rPr>
        <w:t>的</w:t>
      </w:r>
      <w:r>
        <w:rPr>
          <w:rFonts w:hint="eastAsia"/>
          <w:color w:val="auto"/>
          <w:kern w:val="0"/>
          <w:szCs w:val="21"/>
          <w:highlight w:val="none"/>
          <w:u w:val="single"/>
          <w:lang w:val="en-US" w:eastAsia="zh-CN"/>
        </w:rPr>
        <w:t>最新</w:t>
      </w:r>
      <w:r>
        <w:rPr>
          <w:color w:val="auto"/>
          <w:kern w:val="0"/>
          <w:szCs w:val="21"/>
          <w:highlight w:val="none"/>
          <w:u w:val="single"/>
        </w:rPr>
        <w:t>相关规定执行。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 合同文件的优先顺序</w:t>
      </w:r>
    </w:p>
    <w:p>
      <w:pPr>
        <w:shd w:val="clear" w:color="auto" w:fill="auto"/>
        <w:ind w:firstLine="420"/>
        <w:outlineLvl w:val="9"/>
        <w:rPr>
          <w:color w:val="auto"/>
          <w:szCs w:val="21"/>
          <w:highlight w:val="none"/>
        </w:rPr>
      </w:pPr>
      <w:r>
        <w:rPr>
          <w:color w:val="auto"/>
          <w:szCs w:val="21"/>
          <w:highlight w:val="none"/>
        </w:rPr>
        <w:t>组成合同的各项文件应互相解释，互为说明。解释合同文件的优先顺序如下：</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（1）合同履行过程中，双方协商同意的变更、纪要、协议及补充和修改文件；</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（2）本合同协议书</w:t>
      </w:r>
      <w:r>
        <w:rPr>
          <w:rFonts w:hint="eastAsia" w:ascii="宋体" w:hAnsi="宋体" w:cs="宋体"/>
          <w:color w:val="auto"/>
          <w:sz w:val="24"/>
          <w:szCs w:val="24"/>
          <w:highlight w:val="none"/>
          <w:lang w:eastAsia="zh-CN"/>
        </w:rPr>
        <w:t>；</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（4）投标函及其附录；</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（5）专用合同条款及《发包人要求》等附件；</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（6）通用合同条款；</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（7）投标文件及其附件；</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（8）设计文件、资料和图纸；</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（9）标准、规范及有关技术文件；</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（10）招标文件；</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（11）已标价工程量清单或预算书；</w:t>
      </w:r>
    </w:p>
    <w:p>
      <w:pPr>
        <w:pageBreakBefore w:val="0"/>
        <w:kinsoku/>
        <w:wordWrap w:val="0"/>
        <w:overflowPunct/>
        <w:bidi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（12）联合体协议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hd w:val="clear" w:color="auto" w:fill="auto"/>
        <w:ind w:firstLine="420"/>
        <w:outlineLvl w:val="9"/>
        <w:rPr>
          <w:color w:val="auto"/>
          <w:szCs w:val="21"/>
          <w:highlight w:val="none"/>
        </w:rPr>
      </w:pPr>
      <w:r>
        <w:rPr>
          <w:rFonts w:hint="eastAsia" w:ascii="宋体" w:hAnsi="宋体" w:eastAsia="宋体" w:cs="宋体"/>
          <w:color w:val="auto"/>
          <w:sz w:val="24"/>
          <w:szCs w:val="24"/>
          <w:highlight w:val="none"/>
        </w:rPr>
        <w:t>（13）构成合同组成部分的其他文件</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 文件的提供和照管</w:t>
      </w:r>
    </w:p>
    <w:p>
      <w:pPr>
        <w:shd w:val="clear" w:color="auto" w:fill="auto"/>
        <w:ind w:firstLine="420"/>
        <w:outlineLvl w:val="9"/>
        <w:rPr>
          <w:color w:val="auto"/>
          <w:szCs w:val="21"/>
          <w:highlight w:val="none"/>
        </w:rPr>
      </w:pPr>
      <w:r>
        <w:rPr>
          <w:color w:val="auto"/>
          <w:szCs w:val="21"/>
          <w:highlight w:val="none"/>
        </w:rPr>
        <w:t>1.6.1 承包人文件的提供</w:t>
      </w:r>
    </w:p>
    <w:p>
      <w:pPr>
        <w:shd w:val="clear" w:color="auto" w:fill="auto"/>
        <w:ind w:firstLine="420"/>
        <w:outlineLvl w:val="9"/>
        <w:rPr>
          <w:color w:val="auto"/>
          <w:szCs w:val="21"/>
          <w:highlight w:val="none"/>
        </w:rPr>
      </w:pPr>
      <w:r>
        <w:rPr>
          <w:color w:val="auto"/>
          <w:szCs w:val="21"/>
          <w:highlight w:val="none"/>
        </w:rPr>
        <w:t>承包人按照下列份数提供有关文件：</w:t>
      </w:r>
    </w:p>
    <w:p>
      <w:pPr>
        <w:shd w:val="clear" w:color="auto" w:fill="auto"/>
        <w:ind w:firstLine="420"/>
        <w:outlineLvl w:val="9"/>
        <w:rPr>
          <w:color w:val="auto"/>
          <w:szCs w:val="21"/>
          <w:highlight w:val="none"/>
        </w:rPr>
      </w:pPr>
      <w:r>
        <w:rPr>
          <w:color w:val="auto"/>
          <w:szCs w:val="21"/>
          <w:highlight w:val="none"/>
        </w:rPr>
        <w:t>(a)制造商文件份数：</w:t>
      </w:r>
      <w:r>
        <w:rPr>
          <w:rFonts w:hint="eastAsia"/>
          <w:color w:val="auto"/>
          <w:szCs w:val="21"/>
          <w:highlight w:val="none"/>
          <w:lang w:val="en-US" w:eastAsia="zh-CN"/>
        </w:rPr>
        <w:t>3</w:t>
      </w:r>
      <w:r>
        <w:rPr>
          <w:color w:val="auto"/>
          <w:szCs w:val="21"/>
          <w:highlight w:val="none"/>
        </w:rPr>
        <w:t>份纸质版和电子版；</w:t>
      </w:r>
    </w:p>
    <w:p>
      <w:pPr>
        <w:shd w:val="clear" w:color="auto" w:fill="auto"/>
        <w:ind w:firstLine="420"/>
        <w:outlineLvl w:val="9"/>
        <w:rPr>
          <w:color w:val="auto"/>
          <w:szCs w:val="21"/>
          <w:highlight w:val="none"/>
        </w:rPr>
      </w:pPr>
      <w:r>
        <w:rPr>
          <w:color w:val="auto"/>
          <w:szCs w:val="21"/>
          <w:highlight w:val="none"/>
        </w:rPr>
        <w:t>(b)设计图纸份数—施工图：</w:t>
      </w:r>
      <w:r>
        <w:rPr>
          <w:rFonts w:hint="eastAsia"/>
          <w:color w:val="auto"/>
          <w:szCs w:val="21"/>
          <w:highlight w:val="none"/>
          <w:lang w:val="en-US" w:eastAsia="zh-CN"/>
        </w:rPr>
        <w:t>6</w:t>
      </w:r>
      <w:r>
        <w:rPr>
          <w:color w:val="auto"/>
          <w:szCs w:val="21"/>
          <w:highlight w:val="none"/>
        </w:rPr>
        <w:t>份纸质版和电子版（含分包商图纸4份）；</w:t>
      </w:r>
    </w:p>
    <w:p>
      <w:pPr>
        <w:shd w:val="clear" w:color="auto" w:fill="auto"/>
        <w:ind w:firstLine="420"/>
        <w:outlineLvl w:val="9"/>
        <w:rPr>
          <w:color w:val="auto"/>
          <w:szCs w:val="21"/>
          <w:highlight w:val="none"/>
        </w:rPr>
      </w:pPr>
      <w:r>
        <w:rPr>
          <w:color w:val="auto"/>
          <w:szCs w:val="21"/>
          <w:highlight w:val="none"/>
        </w:rPr>
        <w:t>(c)竣工图纸份数：</w:t>
      </w:r>
      <w:r>
        <w:rPr>
          <w:rFonts w:hint="eastAsia"/>
          <w:color w:val="auto"/>
          <w:szCs w:val="21"/>
          <w:highlight w:val="none"/>
          <w:lang w:val="en-US" w:eastAsia="zh-CN"/>
        </w:rPr>
        <w:t>6</w:t>
      </w:r>
      <w:r>
        <w:rPr>
          <w:color w:val="auto"/>
          <w:szCs w:val="21"/>
          <w:highlight w:val="none"/>
        </w:rPr>
        <w:t>份纸质版和电子版；</w:t>
      </w:r>
    </w:p>
    <w:p>
      <w:pPr>
        <w:shd w:val="clear" w:color="auto" w:fill="auto"/>
        <w:ind w:firstLine="420"/>
        <w:outlineLvl w:val="9"/>
        <w:rPr>
          <w:color w:val="auto"/>
          <w:szCs w:val="21"/>
          <w:highlight w:val="none"/>
        </w:rPr>
      </w:pPr>
      <w:r>
        <w:rPr>
          <w:color w:val="auto"/>
          <w:szCs w:val="21"/>
          <w:highlight w:val="none"/>
        </w:rPr>
        <w:t>(d)验收试验资料：</w:t>
      </w:r>
      <w:r>
        <w:rPr>
          <w:rFonts w:hint="eastAsia"/>
          <w:color w:val="auto"/>
          <w:szCs w:val="21"/>
          <w:highlight w:val="none"/>
          <w:lang w:val="en-US" w:eastAsia="zh-CN"/>
        </w:rPr>
        <w:t>6</w:t>
      </w:r>
      <w:r>
        <w:rPr>
          <w:color w:val="auto"/>
          <w:szCs w:val="21"/>
          <w:highlight w:val="none"/>
        </w:rPr>
        <w:t>份纸质版和电子版；</w:t>
      </w:r>
    </w:p>
    <w:p>
      <w:pPr>
        <w:shd w:val="clear" w:color="auto" w:fill="auto"/>
        <w:ind w:firstLine="420"/>
        <w:outlineLvl w:val="9"/>
        <w:rPr>
          <w:color w:val="auto"/>
          <w:szCs w:val="21"/>
          <w:highlight w:val="none"/>
        </w:rPr>
      </w:pPr>
      <w:r>
        <w:rPr>
          <w:color w:val="auto"/>
          <w:szCs w:val="21"/>
          <w:highlight w:val="none"/>
        </w:rPr>
        <w:t>(e)勘测报告份数：8份纸质版和电子版；</w:t>
      </w:r>
    </w:p>
    <w:p>
      <w:pPr>
        <w:shd w:val="clear" w:color="auto" w:fill="auto"/>
        <w:ind w:firstLine="420"/>
        <w:outlineLvl w:val="9"/>
        <w:rPr>
          <w:color w:val="auto"/>
          <w:szCs w:val="21"/>
          <w:highlight w:val="none"/>
        </w:rPr>
      </w:pPr>
      <w:r>
        <w:rPr>
          <w:color w:val="auto"/>
          <w:szCs w:val="21"/>
          <w:highlight w:val="none"/>
        </w:rPr>
        <w:t>(f)其他竣工资料：</w:t>
      </w:r>
      <w:r>
        <w:rPr>
          <w:rFonts w:hint="eastAsia"/>
          <w:color w:val="auto"/>
          <w:szCs w:val="21"/>
          <w:highlight w:val="none"/>
          <w:lang w:val="en-US" w:eastAsia="zh-CN"/>
        </w:rPr>
        <w:t>6</w:t>
      </w:r>
      <w:r>
        <w:rPr>
          <w:color w:val="auto"/>
          <w:szCs w:val="21"/>
          <w:highlight w:val="none"/>
        </w:rPr>
        <w:t>份纸质版和电子版；</w:t>
      </w:r>
    </w:p>
    <w:p>
      <w:pPr>
        <w:shd w:val="clear" w:color="auto" w:fill="auto"/>
        <w:ind w:firstLine="420"/>
        <w:outlineLvl w:val="9"/>
        <w:rPr>
          <w:color w:val="auto"/>
          <w:szCs w:val="21"/>
          <w:highlight w:val="none"/>
        </w:rPr>
      </w:pPr>
      <w:r>
        <w:rPr>
          <w:color w:val="auto"/>
          <w:szCs w:val="21"/>
          <w:highlight w:val="none"/>
        </w:rPr>
        <w:t>以上所提到电子版为PDF格式和CAD版本。</w:t>
      </w:r>
    </w:p>
    <w:p>
      <w:pPr>
        <w:shd w:val="clear" w:color="auto" w:fill="auto"/>
        <w:ind w:firstLine="420"/>
        <w:outlineLvl w:val="9"/>
        <w:rPr>
          <w:color w:val="auto"/>
          <w:szCs w:val="21"/>
          <w:highlight w:val="none"/>
        </w:rPr>
      </w:pPr>
      <w:r>
        <w:rPr>
          <w:color w:val="auto"/>
          <w:szCs w:val="21"/>
          <w:highlight w:val="none"/>
        </w:rPr>
        <w:t>1.6.2 发包人提供的文件</w:t>
      </w:r>
    </w:p>
    <w:p>
      <w:pPr>
        <w:shd w:val="clear" w:color="auto" w:fill="auto"/>
        <w:ind w:firstLine="420"/>
        <w:outlineLvl w:val="9"/>
        <w:rPr>
          <w:color w:val="auto"/>
          <w:szCs w:val="21"/>
          <w:highlight w:val="none"/>
        </w:rPr>
      </w:pPr>
      <w:r>
        <w:rPr>
          <w:color w:val="auto"/>
          <w:szCs w:val="21"/>
          <w:highlight w:val="none"/>
        </w:rPr>
        <w:t>发包人提供的文件</w:t>
      </w:r>
      <w:r>
        <w:rPr>
          <w:rFonts w:hint="eastAsia"/>
          <w:color w:val="auto"/>
          <w:szCs w:val="21"/>
          <w:highlight w:val="none"/>
        </w:rPr>
        <w:t>：</w:t>
      </w:r>
      <w:r>
        <w:rPr>
          <w:rFonts w:hint="eastAsia"/>
          <w:color w:val="auto"/>
          <w:szCs w:val="21"/>
          <w:highlight w:val="none"/>
          <w:u w:val="single"/>
        </w:rPr>
        <w:t>招标文件</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1.11 知识产权</w:t>
      </w:r>
    </w:p>
    <w:p>
      <w:pPr>
        <w:shd w:val="clear" w:color="auto" w:fill="auto"/>
        <w:ind w:firstLine="420"/>
        <w:outlineLvl w:val="9"/>
        <w:rPr>
          <w:color w:val="auto"/>
          <w:szCs w:val="21"/>
          <w:highlight w:val="none"/>
        </w:rPr>
      </w:pPr>
      <w:r>
        <w:rPr>
          <w:color w:val="auto"/>
          <w:szCs w:val="21"/>
          <w:highlight w:val="none"/>
        </w:rPr>
        <w:t>发包人对于本合同项下承包人建造完成的建筑物和构筑物、有关资料和数据具有所有权、知识产权或其他专有权，对承包人在本合同项下所提交、开发或使用的全部工程设计、建设及安装技术、工艺、流程等成果和管理成果具有所有权或其他专有权（承包人在合同签署前已合法享有的专利权除外）。承包人应免于发包人因使用这些成果和数据而承担在专利权或其他知识产权方面的责任，并保障发包人免于因使用这些成果和相关资料及数据等导致的侵犯知识产权、专利或其他受保护的第三方权利而引起的任何索赔、诉讼和其他开支。</w:t>
      </w:r>
    </w:p>
    <w:p>
      <w:pPr>
        <w:shd w:val="clear" w:color="auto" w:fill="auto"/>
        <w:ind w:firstLine="420"/>
        <w:outlineLvl w:val="9"/>
        <w:rPr>
          <w:color w:val="auto"/>
          <w:szCs w:val="21"/>
          <w:highlight w:val="none"/>
        </w:rPr>
      </w:pPr>
      <w:r>
        <w:rPr>
          <w:color w:val="auto"/>
          <w:szCs w:val="21"/>
          <w:highlight w:val="none"/>
        </w:rPr>
        <w:t>发包人有权使用或许可他人使用、获取收益、处分、转让上述技术和管理成果、有关资料和数据。</w:t>
      </w:r>
      <w:r>
        <w:rPr>
          <w:rFonts w:hint="eastAsia"/>
          <w:color w:val="auto"/>
          <w:szCs w:val="21"/>
          <w:highlight w:val="none"/>
        </w:rPr>
        <w:t>发包人</w:t>
      </w:r>
      <w:r>
        <w:rPr>
          <w:color w:val="auto"/>
          <w:szCs w:val="21"/>
          <w:highlight w:val="none"/>
        </w:rPr>
        <w:t>通过利用</w:t>
      </w:r>
      <w:r>
        <w:rPr>
          <w:rFonts w:hint="eastAsia"/>
          <w:color w:val="auto"/>
          <w:szCs w:val="21"/>
          <w:highlight w:val="none"/>
        </w:rPr>
        <w:t>承包人</w:t>
      </w:r>
      <w:r>
        <w:rPr>
          <w:color w:val="auto"/>
          <w:szCs w:val="21"/>
          <w:highlight w:val="none"/>
        </w:rPr>
        <w:t>的工作成果、有关资料和数据等产生的新技术、工艺、方法、设计、管理成果，以及对上述成果、资料、数据集成后的任何相关技术领域和管理领域的成果等享有独有知识产权。</w:t>
      </w:r>
    </w:p>
    <w:p>
      <w:pPr>
        <w:shd w:val="clear" w:color="auto" w:fill="auto"/>
        <w:ind w:firstLine="420"/>
        <w:outlineLvl w:val="9"/>
        <w:rPr>
          <w:color w:val="auto"/>
          <w:szCs w:val="21"/>
          <w:highlight w:val="none"/>
        </w:rPr>
      </w:pPr>
      <w:r>
        <w:rPr>
          <w:color w:val="auto"/>
          <w:szCs w:val="21"/>
          <w:highlight w:val="none"/>
        </w:rPr>
        <w:t>承包人在开展设计、建设、安装工作以及使用任何材料、承包人设备、工程设备或采用施工、安装等工艺的任何过程中，均应遵守国家有关保护专利权及其他知识产权的法律法规。因上述行为或事件侵犯专利权和/或其他知识产权所引起的任何责任和不利后果，承包人应全部承担，并保障发包人免于因上述行为或事件而导致的一切索赔、要求、诉讼、赔偿、罚款、收费及开支等一切损害和损失。</w:t>
      </w:r>
    </w:p>
    <w:p>
      <w:pPr>
        <w:shd w:val="clear" w:color="auto" w:fill="auto"/>
        <w:ind w:firstLine="420"/>
        <w:outlineLvl w:val="9"/>
        <w:rPr>
          <w:color w:val="auto"/>
          <w:szCs w:val="21"/>
          <w:highlight w:val="none"/>
        </w:rPr>
      </w:pPr>
      <w:r>
        <w:rPr>
          <w:color w:val="auto"/>
          <w:szCs w:val="21"/>
          <w:highlight w:val="none"/>
        </w:rPr>
        <w:t>未征得发包人的事先书面同意，承包人不得将本合同项下发包人的任何成果、有关资料、数据及所提供的设计、建设、安装辅助资料等转让给第三方、或用于任何商业目的、或其它场合发表。承包人违反本条规定的，应立即停止该等违约行为，并就其违约转让、使用、发表等所获得的经济利益以及导致发包人产生的全部经济损失，向发包人承担赔偿责任。</w:t>
      </w:r>
    </w:p>
    <w:p>
      <w:pPr>
        <w:shd w:val="clear" w:color="auto" w:fill="auto"/>
        <w:adjustRightInd w:val="0"/>
        <w:ind w:firstLine="420"/>
        <w:outlineLvl w:val="9"/>
        <w:rPr>
          <w:color w:val="auto"/>
          <w:szCs w:val="21"/>
          <w:highlight w:val="none"/>
        </w:rPr>
      </w:pPr>
      <w:r>
        <w:rPr>
          <w:color w:val="auto"/>
          <w:szCs w:val="21"/>
          <w:highlight w:val="none"/>
        </w:rPr>
        <w:t>承包人在投标文件中采用专利技术或其他专有技术成果的，专利技术或其他专有技术成果的使用费包含在投标报价内。</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1.12 文件及信息的保密</w:t>
      </w:r>
    </w:p>
    <w:p>
      <w:pPr>
        <w:shd w:val="clear" w:color="auto" w:fill="auto"/>
        <w:ind w:firstLine="420"/>
        <w:outlineLvl w:val="9"/>
        <w:rPr>
          <w:color w:val="auto"/>
          <w:szCs w:val="21"/>
          <w:highlight w:val="none"/>
        </w:rPr>
      </w:pPr>
      <w:r>
        <w:rPr>
          <w:color w:val="auto"/>
          <w:szCs w:val="21"/>
          <w:highlight w:val="none"/>
        </w:rPr>
        <w:t>1.12.1 未经发包人同意，承包人承诺不得将保密信息用于本项目目的以外的其他任何目的，不得引用、利用、公开发表，不得将任何保密信息泄露给任何第三方，否则均将视为对本协议项下保密义务的违反，需就此对发包人造成的一切损害承担赔偿责任。施工过程中形成的信息属于发包人知识产权，属于保密范围。</w:t>
      </w:r>
    </w:p>
    <w:p>
      <w:pPr>
        <w:shd w:val="clear" w:color="auto" w:fill="auto"/>
        <w:ind w:firstLine="420"/>
        <w:outlineLvl w:val="9"/>
        <w:rPr>
          <w:color w:val="auto"/>
          <w:szCs w:val="21"/>
          <w:highlight w:val="none"/>
        </w:rPr>
      </w:pPr>
      <w:r>
        <w:rPr>
          <w:color w:val="auto"/>
          <w:szCs w:val="21"/>
          <w:highlight w:val="none"/>
        </w:rPr>
        <w:t>1.12.2 前款“保密信息”指发包人或其任何关联方就本项目以任何方式提供给承包人及其关联方（包括但不限于承包人管理人员、工作人员、分包方、设备供应商等）的任何信息（该等信息包括但不限于任何发包人及其关联方的商业秘密、技术秘密、地质资料、测风数据、海洋水文数据以及其他具有保密性质的信</w:t>
      </w:r>
      <w:r>
        <w:rPr>
          <w:rFonts w:hint="eastAsia"/>
          <w:color w:val="auto"/>
          <w:szCs w:val="21"/>
          <w:highlight w:val="none"/>
        </w:rPr>
        <w:t xml:space="preserve"> </w:t>
      </w:r>
      <w:r>
        <w:rPr>
          <w:color w:val="auto"/>
          <w:szCs w:val="21"/>
          <w:highlight w:val="none"/>
        </w:rPr>
        <w:t>息），包括该等信息或由该等信息衍生或复制的口头信息、任何书面文件、电子文档、或任何其他表现或记录信息的方式。承包人或其关联方违反本协议约定的保密义务，均视为承包人违反本协议约定的保密义务，承包人需就此对发包人造成的一切损害承担赔偿责任。</w:t>
      </w:r>
    </w:p>
    <w:p>
      <w:pPr>
        <w:shd w:val="clear" w:color="auto" w:fill="auto"/>
        <w:ind w:firstLine="420"/>
        <w:outlineLvl w:val="9"/>
        <w:rPr>
          <w:color w:val="auto"/>
          <w:szCs w:val="21"/>
          <w:highlight w:val="none"/>
        </w:rPr>
      </w:pPr>
      <w:r>
        <w:rPr>
          <w:color w:val="auto"/>
          <w:szCs w:val="21"/>
          <w:highlight w:val="none"/>
        </w:rPr>
        <w:t>1.12.3 本协议终止或解除均不影响保密条款的效力。协议终止后，经发包人要求，承包人从发包人或其关联方获取的保密信息均应依照发包人要求的方式处理。</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1.13 发包人要求中的错误</w:t>
      </w:r>
    </w:p>
    <w:p>
      <w:pPr>
        <w:shd w:val="clear" w:color="auto" w:fill="auto"/>
        <w:ind w:firstLine="420"/>
        <w:outlineLvl w:val="9"/>
        <w:rPr>
          <w:color w:val="auto"/>
          <w:szCs w:val="21"/>
          <w:highlight w:val="none"/>
        </w:rPr>
      </w:pPr>
      <w:r>
        <w:rPr>
          <w:color w:val="auto"/>
          <w:szCs w:val="21"/>
          <w:highlight w:val="none"/>
        </w:rPr>
        <w:t>执行通用条款“1.13发包人要求中的错误（B）”；同时将“1.13.3 ”全部内容修改如下：发包人只对自身提供的原始数据和资料、新增功能和项目、新增提出的超国家或行业标准试验和检验标准导致承包人增加的费用和（或）延误的工期负责；其他为完成本工程的设计和施工所需的数据和资料，由承包人核实取得并承担责任。</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48" w:name="_Toc10001"/>
      <w:bookmarkStart w:id="449" w:name="_Toc144327099"/>
      <w:bookmarkStart w:id="450" w:name="_Toc29931"/>
      <w:r>
        <w:rPr>
          <w:rFonts w:ascii="Times New Roman" w:hAnsi="Times New Roman" w:cs="Times New Roman"/>
          <w:color w:val="auto"/>
          <w:sz w:val="21"/>
          <w:szCs w:val="21"/>
          <w:highlight w:val="none"/>
        </w:rPr>
        <w:t>2．发包人义务</w:t>
      </w:r>
      <w:bookmarkEnd w:id="448"/>
      <w:bookmarkEnd w:id="449"/>
      <w:bookmarkEnd w:id="450"/>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2.3 提供施工场地</w:t>
      </w:r>
    </w:p>
    <w:p>
      <w:pPr>
        <w:shd w:val="clear" w:color="auto" w:fill="auto"/>
        <w:ind w:firstLine="420"/>
        <w:outlineLvl w:val="9"/>
        <w:rPr>
          <w:color w:val="auto"/>
          <w:szCs w:val="21"/>
          <w:highlight w:val="none"/>
        </w:rPr>
      </w:pPr>
      <w:r>
        <w:rPr>
          <w:color w:val="auto"/>
          <w:szCs w:val="21"/>
          <w:highlight w:val="none"/>
        </w:rPr>
        <w:t>发包人不提供施工场地及进场施工条件，</w:t>
      </w:r>
      <w:r>
        <w:rPr>
          <w:color w:val="auto"/>
          <w:szCs w:val="21"/>
          <w:highlight w:val="none"/>
          <w:u w:val="single"/>
        </w:rPr>
        <w:t>由承包人自行解决并承担费用</w:t>
      </w:r>
      <w:r>
        <w:rPr>
          <w:color w:val="auto"/>
          <w:szCs w:val="21"/>
          <w:highlight w:val="none"/>
        </w:rPr>
        <w:t>。</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51" w:name="_Toc144327100"/>
      <w:bookmarkStart w:id="452" w:name="_Toc23204"/>
      <w:bookmarkStart w:id="453" w:name="_Toc20993"/>
      <w:r>
        <w:rPr>
          <w:rFonts w:ascii="Times New Roman" w:hAnsi="Times New Roman" w:cs="Times New Roman"/>
          <w:color w:val="auto"/>
          <w:sz w:val="21"/>
          <w:szCs w:val="21"/>
          <w:highlight w:val="none"/>
        </w:rPr>
        <w:t>3．监理人</w:t>
      </w:r>
      <w:bookmarkEnd w:id="451"/>
      <w:bookmarkEnd w:id="452"/>
      <w:bookmarkEnd w:id="453"/>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3.1 监理人的职责和权力</w:t>
      </w:r>
    </w:p>
    <w:p>
      <w:pPr>
        <w:shd w:val="clear" w:color="auto" w:fill="auto"/>
        <w:ind w:firstLine="420"/>
        <w:outlineLvl w:val="9"/>
        <w:rPr>
          <w:color w:val="auto"/>
          <w:szCs w:val="21"/>
          <w:highlight w:val="none"/>
        </w:rPr>
      </w:pPr>
      <w:r>
        <w:rPr>
          <w:color w:val="auto"/>
          <w:szCs w:val="21"/>
          <w:highlight w:val="none"/>
        </w:rPr>
        <w:t>3.1.1 需要取得发包人批准才能行使的职权：</w:t>
      </w:r>
      <w:r>
        <w:rPr>
          <w:color w:val="auto"/>
          <w:szCs w:val="21"/>
          <w:highlight w:val="none"/>
          <w:u w:val="single"/>
        </w:rPr>
        <w:t>（1）工程施工中的经济索赔；（2）调整工期；（3）重大质量事故的处理；（4）开工和停工令；（5）现场签证可能引起的投资变化的确认。</w:t>
      </w:r>
      <w:r>
        <w:rPr>
          <w:color w:val="auto"/>
          <w:kern w:val="24"/>
          <w:szCs w:val="21"/>
          <w:highlight w:val="none"/>
          <w:u w:val="single"/>
        </w:rPr>
        <w:t>当监理人认为出现了可能危及生命或造成财产损失等紧急事件时，在不免除合同规定的承包人责任的情况下，监理人可以指示承包人实施为消除或降低这种风险所必须的工作，即使没有发包人的事先批准，承包人也应立即遵照执行</w:t>
      </w:r>
      <w:r>
        <w:rPr>
          <w:color w:val="auto"/>
          <w:szCs w:val="21"/>
          <w:highlight w:val="none"/>
        </w:rPr>
        <w:t>。</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54" w:name="_Toc17817"/>
      <w:bookmarkStart w:id="455" w:name="_Toc3086"/>
      <w:bookmarkStart w:id="456" w:name="_Toc144327101"/>
      <w:r>
        <w:rPr>
          <w:rFonts w:ascii="Times New Roman" w:hAnsi="Times New Roman" w:cs="Times New Roman"/>
          <w:color w:val="auto"/>
          <w:sz w:val="21"/>
          <w:szCs w:val="21"/>
          <w:highlight w:val="none"/>
        </w:rPr>
        <w:t>4．承包人</w:t>
      </w:r>
      <w:bookmarkEnd w:id="454"/>
      <w:bookmarkEnd w:id="455"/>
      <w:bookmarkEnd w:id="45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 承包人的一般义务</w:t>
      </w:r>
    </w:p>
    <w:p>
      <w:pPr>
        <w:shd w:val="clear" w:color="auto" w:fill="auto"/>
        <w:ind w:firstLine="420"/>
        <w:outlineLvl w:val="9"/>
        <w:rPr>
          <w:color w:val="auto"/>
          <w:szCs w:val="21"/>
          <w:highlight w:val="none"/>
        </w:rPr>
      </w:pPr>
      <w:r>
        <w:rPr>
          <w:color w:val="auto"/>
          <w:szCs w:val="21"/>
          <w:highlight w:val="none"/>
        </w:rPr>
        <w:t>4.1.10 其他义务</w:t>
      </w:r>
    </w:p>
    <w:p>
      <w:pPr>
        <w:shd w:val="clear" w:color="auto" w:fill="auto"/>
        <w:ind w:firstLine="420"/>
        <w:outlineLvl w:val="9"/>
        <w:rPr>
          <w:color w:val="auto"/>
          <w:szCs w:val="21"/>
          <w:highlight w:val="none"/>
        </w:rPr>
      </w:pPr>
      <w:r>
        <w:rPr>
          <w:color w:val="auto"/>
          <w:szCs w:val="21"/>
          <w:highlight w:val="none"/>
        </w:rPr>
        <w:t>合同约定其他义务：</w:t>
      </w:r>
    </w:p>
    <w:p>
      <w:pPr>
        <w:shd w:val="clear" w:color="auto" w:fill="auto"/>
        <w:ind w:firstLine="420"/>
        <w:outlineLvl w:val="9"/>
        <w:rPr>
          <w:rFonts w:hint="eastAsia"/>
          <w:color w:val="auto"/>
          <w:szCs w:val="21"/>
          <w:highlight w:val="none"/>
        </w:rPr>
      </w:pPr>
      <w:r>
        <w:rPr>
          <w:rFonts w:hint="eastAsia"/>
          <w:color w:val="auto"/>
          <w:szCs w:val="21"/>
          <w:highlight w:val="none"/>
        </w:rPr>
        <w:t>（1）服从现场统一指挥，遵守现场的规章制度；</w:t>
      </w:r>
    </w:p>
    <w:p>
      <w:pPr>
        <w:shd w:val="clear" w:color="auto" w:fill="auto"/>
        <w:ind w:firstLine="420"/>
        <w:outlineLvl w:val="9"/>
        <w:rPr>
          <w:rFonts w:hint="eastAsia"/>
          <w:color w:val="auto"/>
          <w:szCs w:val="21"/>
          <w:highlight w:val="none"/>
        </w:rPr>
      </w:pPr>
      <w:r>
        <w:rPr>
          <w:rFonts w:hint="eastAsia"/>
          <w:color w:val="auto"/>
          <w:szCs w:val="21"/>
          <w:highlight w:val="none"/>
        </w:rPr>
        <w:t>（2）承包人有义务按合同约定，自费修复因承包人原因引起的设计、文件、设备、材料、部件、施工、竣工试验和竣工后试验存在的缺陷。本合同工程设计、采购、施工、调试、竣工投产以及修补缺陷所需要的所有工程监督、工人、工程设备、材料、承包人设备、临时工程及其他所有物资，不管是临时性的还是永久性的，均应由承包人提供。</w:t>
      </w:r>
    </w:p>
    <w:p>
      <w:pPr>
        <w:shd w:val="clear" w:color="auto" w:fill="auto"/>
        <w:ind w:firstLine="420"/>
        <w:outlineLvl w:val="9"/>
        <w:rPr>
          <w:rFonts w:hint="eastAsia"/>
          <w:color w:val="auto"/>
          <w:szCs w:val="21"/>
          <w:highlight w:val="none"/>
        </w:rPr>
      </w:pPr>
      <w:r>
        <w:rPr>
          <w:rFonts w:hint="eastAsia"/>
          <w:color w:val="auto"/>
          <w:szCs w:val="21"/>
          <w:highlight w:val="none"/>
        </w:rPr>
        <w:t>（3）施工通讯自行解决；</w:t>
      </w:r>
    </w:p>
    <w:p>
      <w:pPr>
        <w:shd w:val="clear" w:color="auto" w:fill="auto"/>
        <w:ind w:firstLine="420"/>
        <w:outlineLvl w:val="9"/>
        <w:rPr>
          <w:rFonts w:hint="eastAsia"/>
          <w:color w:val="auto"/>
          <w:szCs w:val="21"/>
          <w:highlight w:val="none"/>
        </w:rPr>
      </w:pPr>
      <w:r>
        <w:rPr>
          <w:rFonts w:hint="eastAsia"/>
          <w:color w:val="auto"/>
          <w:szCs w:val="21"/>
          <w:highlight w:val="none"/>
        </w:rPr>
        <w:t>（4）办公、生活用房自行解决；</w:t>
      </w:r>
    </w:p>
    <w:p>
      <w:pPr>
        <w:shd w:val="clear" w:color="auto" w:fill="auto"/>
        <w:ind w:firstLine="420"/>
        <w:outlineLvl w:val="9"/>
        <w:rPr>
          <w:rFonts w:hint="eastAsia"/>
          <w:color w:val="auto"/>
          <w:szCs w:val="21"/>
          <w:highlight w:val="none"/>
        </w:rPr>
      </w:pPr>
      <w:r>
        <w:rPr>
          <w:rFonts w:hint="eastAsia"/>
          <w:color w:val="auto"/>
          <w:szCs w:val="21"/>
          <w:highlight w:val="none"/>
        </w:rPr>
        <w:t>（5）承包人负责征地协调、通道清理及相关手续办理工作，并支付永久、临时等征地补偿、青苗补偿、附（构）筑物补偿等费用，费用包括在投标报价内，承包人应综合考虑在总价对应项目中，风险包干，发包人不另外支付费用。</w:t>
      </w:r>
    </w:p>
    <w:p>
      <w:pPr>
        <w:shd w:val="clear" w:color="auto" w:fill="auto"/>
        <w:ind w:firstLine="420"/>
        <w:outlineLvl w:val="9"/>
        <w:rPr>
          <w:rFonts w:hint="eastAsia"/>
          <w:color w:val="auto"/>
          <w:szCs w:val="21"/>
          <w:highlight w:val="none"/>
        </w:rPr>
      </w:pPr>
      <w:r>
        <w:rPr>
          <w:rFonts w:hint="eastAsia"/>
          <w:color w:val="auto"/>
          <w:szCs w:val="21"/>
          <w:highlight w:val="none"/>
        </w:rPr>
        <w:t>（6）应尊重当地少数民族风俗习惯；</w:t>
      </w:r>
    </w:p>
    <w:p>
      <w:pPr>
        <w:shd w:val="clear" w:color="auto" w:fill="auto"/>
        <w:ind w:firstLine="420"/>
        <w:outlineLvl w:val="9"/>
        <w:rPr>
          <w:rFonts w:hint="eastAsia"/>
          <w:color w:val="auto"/>
          <w:szCs w:val="21"/>
          <w:highlight w:val="none"/>
        </w:rPr>
      </w:pPr>
      <w:r>
        <w:rPr>
          <w:rFonts w:hint="eastAsia"/>
          <w:color w:val="auto"/>
          <w:szCs w:val="21"/>
          <w:highlight w:val="none"/>
        </w:rPr>
        <w:t>（7）由于承包人造成的征地范围外草场、林地、水源等自然环境破坏引起的赔偿，由承包人承担一切费用；</w:t>
      </w:r>
    </w:p>
    <w:p>
      <w:pPr>
        <w:shd w:val="clear" w:color="auto" w:fill="auto"/>
        <w:ind w:firstLine="420"/>
        <w:outlineLvl w:val="9"/>
        <w:rPr>
          <w:rFonts w:hint="eastAsia"/>
          <w:color w:val="auto"/>
          <w:szCs w:val="21"/>
          <w:highlight w:val="none"/>
        </w:rPr>
      </w:pPr>
      <w:r>
        <w:rPr>
          <w:rFonts w:hint="eastAsia"/>
          <w:color w:val="auto"/>
          <w:szCs w:val="21"/>
          <w:highlight w:val="none"/>
        </w:rPr>
        <w:t>（8）需承包人办理的有关施工场地交通、环卫和施工噪音管理等手续：承包人按国家相关规定自行办理，其费用已包含在合同价款中；</w:t>
      </w:r>
    </w:p>
    <w:p>
      <w:pPr>
        <w:shd w:val="clear" w:color="auto" w:fill="auto"/>
        <w:ind w:firstLine="420"/>
        <w:outlineLvl w:val="9"/>
        <w:rPr>
          <w:rFonts w:hint="eastAsia"/>
          <w:color w:val="auto"/>
          <w:szCs w:val="21"/>
          <w:highlight w:val="none"/>
        </w:rPr>
      </w:pPr>
      <w:r>
        <w:rPr>
          <w:rFonts w:hint="eastAsia"/>
          <w:color w:val="auto"/>
          <w:szCs w:val="21"/>
          <w:highlight w:val="none"/>
        </w:rPr>
        <w:t>（9）承包人应对本工程区域及区域外的环境严格按照国家、云南省以及当地环境保护部门要求进行妥善保护，并承担由此产生的费用；</w:t>
      </w:r>
    </w:p>
    <w:p>
      <w:pPr>
        <w:shd w:val="clear" w:color="auto" w:fill="auto"/>
        <w:ind w:firstLine="420"/>
        <w:outlineLvl w:val="9"/>
        <w:rPr>
          <w:rFonts w:hint="eastAsia"/>
          <w:color w:val="auto"/>
          <w:szCs w:val="21"/>
          <w:highlight w:val="none"/>
        </w:rPr>
      </w:pPr>
      <w:r>
        <w:rPr>
          <w:rFonts w:hint="eastAsia"/>
          <w:color w:val="auto"/>
          <w:szCs w:val="21"/>
          <w:highlight w:val="none"/>
        </w:rPr>
        <w:t>（10）承包人负责项目区域安保工作。</w:t>
      </w:r>
    </w:p>
    <w:p>
      <w:pPr>
        <w:shd w:val="clear" w:color="auto" w:fill="auto"/>
        <w:ind w:firstLine="420"/>
        <w:outlineLvl w:val="9"/>
        <w:rPr>
          <w:rFonts w:hint="eastAsia"/>
          <w:color w:val="auto"/>
          <w:szCs w:val="21"/>
          <w:highlight w:val="none"/>
        </w:rPr>
      </w:pPr>
      <w:r>
        <w:rPr>
          <w:rFonts w:hint="eastAsia"/>
          <w:color w:val="auto"/>
          <w:szCs w:val="21"/>
          <w:highlight w:val="none"/>
        </w:rPr>
        <w:t>（11）施工用电接入点由承包人自行解决，发包人可协助办理，接入应满足当地供电部门的相关规定。从接入点至施工现场所需的设备、管线以及施工期用变压器等由承包人负责实施，该部分工作的工程费用已包含在临时设施费用中。同时，施工用电费用由承包人向相关单位或部门缴纳，若承包人未缴纳，而影响发包人其他工程建设时，经监理及发包人现场负责人签字确认后，发包人有权直接从承包人工程进度款或工程竣工结算款中扣除后缴纳。</w:t>
      </w:r>
    </w:p>
    <w:p>
      <w:pPr>
        <w:shd w:val="clear" w:color="auto" w:fill="auto"/>
        <w:ind w:firstLine="420"/>
        <w:outlineLvl w:val="9"/>
        <w:rPr>
          <w:rFonts w:hint="eastAsia"/>
          <w:color w:val="auto"/>
          <w:szCs w:val="21"/>
          <w:highlight w:val="none"/>
        </w:rPr>
      </w:pPr>
      <w:r>
        <w:rPr>
          <w:rFonts w:hint="eastAsia"/>
          <w:color w:val="auto"/>
          <w:szCs w:val="21"/>
          <w:highlight w:val="none"/>
        </w:rPr>
        <w:t>（12）承包人根据现场施工组织设计自行解决临时占地并承担发生的费用，临时设施的相关费用包含在合同价格中。</w:t>
      </w:r>
    </w:p>
    <w:p>
      <w:pPr>
        <w:shd w:val="clear" w:color="auto" w:fill="auto"/>
        <w:ind w:firstLine="420"/>
        <w:outlineLvl w:val="9"/>
        <w:rPr>
          <w:rFonts w:hint="eastAsia"/>
          <w:color w:val="auto"/>
          <w:szCs w:val="21"/>
          <w:highlight w:val="none"/>
        </w:rPr>
      </w:pPr>
      <w:r>
        <w:rPr>
          <w:rFonts w:hint="eastAsia"/>
          <w:color w:val="auto"/>
          <w:szCs w:val="21"/>
          <w:highlight w:val="none"/>
        </w:rPr>
        <w:t>（13）施工场地与公共道路的通道开通要求：施工道路(含道路开口)由承包人自行解决并承担一切费用，并须满足政府对建筑行业生活办公区的相关要求（此费用包含在临时设施费用中）</w:t>
      </w:r>
    </w:p>
    <w:p>
      <w:pPr>
        <w:shd w:val="clear" w:color="auto" w:fill="auto"/>
        <w:ind w:firstLine="420"/>
        <w:outlineLvl w:val="9"/>
        <w:rPr>
          <w:rFonts w:hint="eastAsia"/>
          <w:color w:val="auto"/>
          <w:szCs w:val="21"/>
          <w:highlight w:val="none"/>
        </w:rPr>
      </w:pPr>
      <w:r>
        <w:rPr>
          <w:rFonts w:hint="eastAsia"/>
          <w:color w:val="auto"/>
          <w:szCs w:val="21"/>
          <w:highlight w:val="none"/>
        </w:rPr>
        <w:t>（14）发包人不提供办公、生活及生产房屋，可由承包人在经发包人批准的区域内自建临时用房，费用自理。在本工程竣工后1个月之内，承包人应自行拆除自建临时设施并恢复土地原状，且满足当地政府要求，相应费用由承包人自行承担。</w:t>
      </w:r>
    </w:p>
    <w:p>
      <w:pPr>
        <w:shd w:val="clear" w:color="auto" w:fill="auto"/>
        <w:ind w:firstLine="420"/>
        <w:outlineLvl w:val="9"/>
        <w:rPr>
          <w:rFonts w:hint="eastAsia"/>
          <w:color w:val="auto"/>
          <w:szCs w:val="21"/>
          <w:highlight w:val="none"/>
        </w:rPr>
      </w:pPr>
      <w:r>
        <w:rPr>
          <w:rFonts w:hint="eastAsia"/>
          <w:color w:val="auto"/>
          <w:szCs w:val="21"/>
          <w:highlight w:val="none"/>
        </w:rPr>
        <w:t>在工程实施期间，承包人应使现场避免出现一切不必要的障碍物，存放并妥善处置承包人的任何设备或多余材料。在工程完工后，承包人应立即从现场清除并运走承包人的所有设备、剩余材料、残物、垃圾和临时工程。承包人应保持该现场与工程处于发包人代表满意的清洁和安全状态。除此之外，承包人应在现场保留为履行承包人合同规定的各项义务所需的那些承包人的设备、材料和临时工程，直至合同期结束。</w:t>
      </w:r>
    </w:p>
    <w:p>
      <w:pPr>
        <w:shd w:val="clear" w:color="auto" w:fill="auto"/>
        <w:ind w:firstLine="420"/>
        <w:outlineLvl w:val="9"/>
        <w:rPr>
          <w:rFonts w:hint="eastAsia"/>
          <w:color w:val="auto"/>
          <w:szCs w:val="21"/>
          <w:highlight w:val="none"/>
        </w:rPr>
      </w:pPr>
      <w:r>
        <w:rPr>
          <w:rFonts w:hint="eastAsia"/>
          <w:color w:val="auto"/>
          <w:szCs w:val="21"/>
          <w:highlight w:val="none"/>
        </w:rPr>
        <w:t>若承包人不能在工程完工验收报告签发后28天内运走所有留下的承包人的设备、剩余材料、残物、垃圾和临时工程，发包人可予出售或另作处理。发包人有权从此类出售的收益中扣留足够款额以支付出售或处理及整理现场所发生的费用支出。此类收益的所有余额应归还承包人。若出售所得不足以补偿发包人的支出，则发包人可从承包人处收回不足部分的款额，发包人有权从应付承包人的款项中予以扣除。</w:t>
      </w:r>
    </w:p>
    <w:p>
      <w:pPr>
        <w:shd w:val="clear" w:color="auto" w:fill="auto"/>
        <w:ind w:firstLine="420"/>
        <w:outlineLvl w:val="9"/>
        <w:rPr>
          <w:rFonts w:hint="eastAsia"/>
          <w:color w:val="auto"/>
          <w:szCs w:val="21"/>
          <w:highlight w:val="none"/>
        </w:rPr>
      </w:pPr>
      <w:r>
        <w:rPr>
          <w:rFonts w:hint="eastAsia"/>
          <w:color w:val="auto"/>
          <w:szCs w:val="21"/>
          <w:highlight w:val="none"/>
        </w:rPr>
        <w:t>（15）承包人应按照当地主管部门规定，缴纳农民工权益保证金，同时必须及时结清施工人员工资，设备、材料采购货款，否则由此引起的一切后果负完全责任。若因农民工工资事宜影响本项目或发包人的，发包人有权直接向相关农民工支付工资等款项，承包人承诺对发包人支付的前述款项予以确认，发包人有权从应付承包人的款项中予以扣除。</w:t>
      </w:r>
    </w:p>
    <w:p>
      <w:pPr>
        <w:shd w:val="clear" w:color="auto" w:fill="auto"/>
        <w:ind w:firstLine="420"/>
        <w:outlineLvl w:val="9"/>
        <w:rPr>
          <w:rFonts w:hint="eastAsia"/>
          <w:color w:val="auto"/>
          <w:szCs w:val="21"/>
          <w:highlight w:val="none"/>
        </w:rPr>
      </w:pPr>
      <w:r>
        <w:rPr>
          <w:rFonts w:hint="eastAsia"/>
          <w:color w:val="auto"/>
          <w:szCs w:val="21"/>
          <w:highlight w:val="none"/>
        </w:rPr>
        <w:t>（16）合同履行期间，承包人所有人员应严格遵守发包人及其上级公司制订的各项管理制度，并将发包人按合同约定支付的各项价款专用于本合同工程并接受发包人监督，且应及时支付其雇用人员工资，并及时向分包人支付合同价款。当工程所在地政府部门对雇用人员有特殊规定时，承包人应按当地规定执行。</w:t>
      </w:r>
    </w:p>
    <w:p>
      <w:pPr>
        <w:shd w:val="clear" w:color="auto" w:fill="auto"/>
        <w:ind w:firstLine="420"/>
        <w:outlineLvl w:val="9"/>
        <w:rPr>
          <w:rFonts w:hint="eastAsia"/>
          <w:color w:val="auto"/>
          <w:szCs w:val="21"/>
          <w:highlight w:val="none"/>
        </w:rPr>
      </w:pPr>
      <w:r>
        <w:rPr>
          <w:rFonts w:hint="eastAsia"/>
          <w:color w:val="auto"/>
          <w:szCs w:val="21"/>
          <w:highlight w:val="none"/>
        </w:rPr>
        <w:t>（17）完成或配合各项验收工作。</w:t>
      </w:r>
    </w:p>
    <w:p>
      <w:pPr>
        <w:shd w:val="clear" w:color="auto" w:fill="auto"/>
        <w:ind w:firstLine="420"/>
        <w:outlineLvl w:val="9"/>
        <w:rPr>
          <w:rFonts w:hint="eastAsia"/>
          <w:color w:val="auto"/>
          <w:szCs w:val="21"/>
          <w:highlight w:val="none"/>
        </w:rPr>
      </w:pPr>
      <w:r>
        <w:rPr>
          <w:rFonts w:hint="eastAsia"/>
          <w:color w:val="auto"/>
          <w:szCs w:val="21"/>
          <w:highlight w:val="none"/>
        </w:rPr>
        <w:t>（18）施工中发包人提出安全、质量问题，承包人应给予相应回复。</w:t>
      </w:r>
    </w:p>
    <w:p>
      <w:pPr>
        <w:shd w:val="clear" w:color="auto" w:fill="auto"/>
        <w:ind w:firstLine="420"/>
        <w:outlineLvl w:val="9"/>
        <w:rPr>
          <w:rFonts w:hint="eastAsia"/>
          <w:color w:val="auto"/>
          <w:szCs w:val="21"/>
          <w:highlight w:val="none"/>
        </w:rPr>
      </w:pPr>
      <w:r>
        <w:rPr>
          <w:rFonts w:hint="eastAsia"/>
          <w:color w:val="auto"/>
          <w:szCs w:val="21"/>
          <w:highlight w:val="none"/>
        </w:rPr>
        <w:t>（19）承包人认真做好标准化作业，负责改造后设备、设施的标志、标识齐全。</w:t>
      </w:r>
    </w:p>
    <w:p>
      <w:pPr>
        <w:shd w:val="clear" w:color="auto" w:fill="auto"/>
        <w:ind w:firstLine="420"/>
        <w:outlineLvl w:val="9"/>
        <w:rPr>
          <w:rFonts w:hint="eastAsia"/>
          <w:color w:val="auto"/>
          <w:szCs w:val="21"/>
          <w:highlight w:val="none"/>
        </w:rPr>
      </w:pPr>
      <w:r>
        <w:rPr>
          <w:rFonts w:hint="eastAsia"/>
          <w:color w:val="auto"/>
          <w:szCs w:val="21"/>
          <w:highlight w:val="none"/>
        </w:rPr>
        <w:t>（20）承包人负责施工区域内的设备、地面、门窗、钢梁、平台等的卫生保洁清扫，对施工产生的废旧物资运送到发包人指定地点，对施工产生的垃圾负责清运、处理，使之满足环保要求。</w:t>
      </w:r>
    </w:p>
    <w:p>
      <w:pPr>
        <w:shd w:val="clear" w:color="auto" w:fill="auto"/>
        <w:ind w:firstLine="420"/>
        <w:outlineLvl w:val="9"/>
        <w:rPr>
          <w:rFonts w:hint="eastAsia"/>
          <w:color w:val="auto"/>
          <w:szCs w:val="21"/>
          <w:highlight w:val="none"/>
        </w:rPr>
      </w:pPr>
      <w:r>
        <w:rPr>
          <w:rFonts w:hint="eastAsia"/>
          <w:color w:val="auto"/>
          <w:szCs w:val="21"/>
          <w:highlight w:val="none"/>
        </w:rPr>
        <w:t>（21）承包人负责临时用水、用电、用气（汽）的铺设、接引。</w:t>
      </w:r>
    </w:p>
    <w:p>
      <w:pPr>
        <w:shd w:val="clear" w:color="auto" w:fill="auto"/>
        <w:ind w:firstLine="420"/>
        <w:outlineLvl w:val="9"/>
        <w:rPr>
          <w:rFonts w:hint="eastAsia"/>
          <w:color w:val="auto"/>
          <w:szCs w:val="21"/>
          <w:highlight w:val="none"/>
        </w:rPr>
      </w:pPr>
      <w:r>
        <w:rPr>
          <w:rFonts w:hint="eastAsia"/>
          <w:color w:val="auto"/>
          <w:szCs w:val="21"/>
          <w:highlight w:val="none"/>
        </w:rPr>
        <w:t>（22）承包人在施工过程中若发生不可预见的重大问题而影响工期时，应及时向发包人报告，经发包人书面同意后方可调整工期，否则承包人应保质保量按期完成施工任务，无故延期将按第11.5款进行处理。</w:t>
      </w:r>
    </w:p>
    <w:p>
      <w:pPr>
        <w:shd w:val="clear" w:color="auto" w:fill="auto"/>
        <w:ind w:firstLine="420"/>
        <w:outlineLvl w:val="9"/>
        <w:rPr>
          <w:rFonts w:hint="eastAsia"/>
          <w:color w:val="auto"/>
          <w:szCs w:val="21"/>
          <w:highlight w:val="none"/>
        </w:rPr>
      </w:pPr>
      <w:r>
        <w:rPr>
          <w:rFonts w:hint="eastAsia"/>
          <w:color w:val="auto"/>
          <w:szCs w:val="21"/>
          <w:highlight w:val="none"/>
        </w:rPr>
        <w:t>（23）承包人承包范围内的不符合项处理由承包人承担（需返厂处理的除外），直到验证合格，特殊情况下难以完成要求时，由双方协商解决。</w:t>
      </w:r>
    </w:p>
    <w:p>
      <w:pPr>
        <w:shd w:val="clear" w:color="auto" w:fill="auto"/>
        <w:ind w:firstLine="420"/>
        <w:outlineLvl w:val="9"/>
        <w:rPr>
          <w:rFonts w:hint="eastAsia"/>
          <w:color w:val="auto"/>
          <w:szCs w:val="21"/>
          <w:highlight w:val="none"/>
        </w:rPr>
      </w:pPr>
      <w:r>
        <w:rPr>
          <w:rFonts w:hint="eastAsia"/>
          <w:color w:val="auto"/>
          <w:szCs w:val="21"/>
          <w:highlight w:val="none"/>
        </w:rPr>
        <w:t>（24）承包人应保证施工期间人力和技术力量的投入，服从发包人的安排，不能出现因人力和技术力量不足等原因造成改造工期拖延、施工质量达不到标准要求等问题。如果因为承包人工期和质量不能满足竣工要求，发包人有权拿出部分项目重新外委，外委项目发生的费用发包人有权从应付承包人的款项中予以扣除。</w:t>
      </w:r>
    </w:p>
    <w:p>
      <w:pPr>
        <w:shd w:val="clear" w:color="auto" w:fill="auto"/>
        <w:ind w:firstLine="420"/>
        <w:outlineLvl w:val="9"/>
        <w:rPr>
          <w:rFonts w:hint="eastAsia"/>
          <w:color w:val="auto"/>
          <w:szCs w:val="21"/>
          <w:highlight w:val="none"/>
        </w:rPr>
      </w:pPr>
      <w:r>
        <w:rPr>
          <w:rFonts w:hint="eastAsia"/>
          <w:color w:val="auto"/>
          <w:szCs w:val="21"/>
          <w:highlight w:val="none"/>
        </w:rPr>
        <w:t>（25）工程需采取的临时措施由承包人负责，由于改造等原因造成部件损坏而增加的临时工作量由承包人负责。</w:t>
      </w:r>
    </w:p>
    <w:p>
      <w:pPr>
        <w:shd w:val="clear" w:color="auto" w:fill="auto"/>
        <w:ind w:firstLine="420"/>
        <w:outlineLvl w:val="9"/>
        <w:rPr>
          <w:rFonts w:hint="eastAsia"/>
          <w:color w:val="auto"/>
          <w:szCs w:val="21"/>
          <w:highlight w:val="none"/>
        </w:rPr>
      </w:pPr>
      <w:r>
        <w:rPr>
          <w:rFonts w:hint="eastAsia"/>
          <w:color w:val="auto"/>
          <w:szCs w:val="21"/>
          <w:highlight w:val="none"/>
        </w:rPr>
        <w:t>（26）承包人应认真开展现场踏勘，对项目线路征地风险、征地协调、交叉跨越等应充分考虑，并包括在合同价中，因承包人原因导致的费用增加发包人不予认可。</w:t>
      </w:r>
    </w:p>
    <w:p>
      <w:pPr>
        <w:shd w:val="clear" w:color="auto" w:fill="auto"/>
        <w:ind w:firstLine="420"/>
        <w:outlineLvl w:val="9"/>
        <w:rPr>
          <w:rFonts w:hint="eastAsia"/>
          <w:color w:val="auto"/>
          <w:szCs w:val="21"/>
          <w:highlight w:val="none"/>
        </w:rPr>
      </w:pPr>
      <w:r>
        <w:rPr>
          <w:rFonts w:hint="eastAsia"/>
          <w:color w:val="auto"/>
          <w:szCs w:val="21"/>
          <w:highlight w:val="none"/>
        </w:rPr>
        <w:t>（27）涉及危大工程的施工内容须严格按照规范及相关规定编制专项方案及应急预案，报送监理及发包人进行审批，涉及超危大工程需聘请具有相关资质的单位及权威专家进行评审，产生相关费用由承包人承担。</w:t>
      </w:r>
    </w:p>
    <w:p>
      <w:pPr>
        <w:shd w:val="clear" w:color="auto" w:fill="auto"/>
        <w:ind w:firstLine="420"/>
        <w:outlineLvl w:val="9"/>
        <w:rPr>
          <w:color w:val="auto"/>
          <w:szCs w:val="21"/>
          <w:highlight w:val="none"/>
        </w:rPr>
      </w:pPr>
      <w:r>
        <w:rPr>
          <w:rFonts w:hint="eastAsia"/>
          <w:color w:val="auto"/>
          <w:szCs w:val="21"/>
          <w:highlight w:val="none"/>
        </w:rPr>
        <w:t>（28）承包人有义务配合发包人的融资工作，按要求提供融资所需资料</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4.2 履约担保</w:t>
      </w:r>
    </w:p>
    <w:p>
      <w:pPr>
        <w:shd w:val="clear" w:color="auto" w:fill="auto"/>
        <w:ind w:firstLine="420"/>
        <w:outlineLvl w:val="9"/>
        <w:rPr>
          <w:rFonts w:hint="eastAsia"/>
          <w:color w:val="auto"/>
          <w:szCs w:val="21"/>
          <w:highlight w:val="none"/>
        </w:rPr>
      </w:pPr>
      <w:r>
        <w:rPr>
          <w:rFonts w:hint="eastAsia"/>
          <w:color w:val="auto"/>
          <w:szCs w:val="21"/>
          <w:highlight w:val="none"/>
        </w:rPr>
        <w:t>履约担保的金额：签约合同总价的10%；</w:t>
      </w:r>
    </w:p>
    <w:p>
      <w:pPr>
        <w:shd w:val="clear" w:color="auto" w:fill="auto"/>
        <w:ind w:firstLine="420"/>
        <w:outlineLvl w:val="9"/>
        <w:rPr>
          <w:rFonts w:hint="eastAsia"/>
          <w:color w:val="auto"/>
          <w:szCs w:val="21"/>
          <w:highlight w:val="none"/>
        </w:rPr>
      </w:pPr>
      <w:r>
        <w:rPr>
          <w:rFonts w:hint="eastAsia"/>
          <w:color w:val="auto"/>
          <w:szCs w:val="21"/>
          <w:highlight w:val="none"/>
        </w:rPr>
        <w:t>履约担保提交的时间：合同签订后15天内。</w:t>
      </w:r>
    </w:p>
    <w:p>
      <w:pPr>
        <w:shd w:val="clear" w:color="auto" w:fill="auto"/>
        <w:ind w:firstLine="420"/>
        <w:outlineLvl w:val="9"/>
        <w:rPr>
          <w:rFonts w:hint="eastAsia"/>
          <w:color w:val="auto"/>
          <w:szCs w:val="21"/>
          <w:highlight w:val="none"/>
        </w:rPr>
      </w:pPr>
      <w:r>
        <w:rPr>
          <w:rFonts w:hint="eastAsia"/>
          <w:color w:val="auto"/>
          <w:szCs w:val="21"/>
          <w:highlight w:val="none"/>
        </w:rPr>
        <w:t>履约担保的形式：现金保证金</w:t>
      </w:r>
      <w:r>
        <w:rPr>
          <w:rFonts w:hint="eastAsia"/>
          <w:color w:val="auto"/>
          <w:szCs w:val="21"/>
          <w:highlight w:val="none"/>
          <w:lang w:eastAsia="zh-CN"/>
        </w:rPr>
        <w:t>、</w:t>
      </w:r>
      <w:r>
        <w:rPr>
          <w:rFonts w:hint="eastAsia"/>
          <w:color w:val="auto"/>
          <w:szCs w:val="21"/>
          <w:highlight w:val="none"/>
        </w:rPr>
        <w:t>银行保函</w:t>
      </w:r>
      <w:r>
        <w:rPr>
          <w:rFonts w:hint="eastAsia"/>
          <w:color w:val="auto"/>
          <w:szCs w:val="21"/>
          <w:highlight w:val="none"/>
          <w:lang w:val="en-US" w:eastAsia="zh-CN"/>
        </w:rPr>
        <w:t>或保险保函</w:t>
      </w:r>
      <w:r>
        <w:rPr>
          <w:rFonts w:hint="eastAsia"/>
          <w:color w:val="auto"/>
          <w:szCs w:val="21"/>
          <w:highlight w:val="none"/>
        </w:rPr>
        <w:t>。</w:t>
      </w:r>
      <w:r>
        <w:rPr>
          <w:rFonts w:hint="eastAsia"/>
          <w:color w:val="auto"/>
          <w:szCs w:val="21"/>
          <w:highlight w:val="none"/>
        </w:rPr>
        <w:t>有效期直至发包人签发工程接收证书且承包人按照合同要求提交了质量保证金或合格的质量保函前一直有效。</w:t>
      </w:r>
    </w:p>
    <w:p>
      <w:pPr>
        <w:shd w:val="clear" w:color="auto" w:fill="auto"/>
        <w:ind w:firstLine="420"/>
        <w:outlineLvl w:val="9"/>
        <w:rPr>
          <w:rFonts w:hint="eastAsia"/>
          <w:color w:val="auto"/>
          <w:szCs w:val="21"/>
          <w:highlight w:val="none"/>
        </w:rPr>
      </w:pPr>
      <w:r>
        <w:rPr>
          <w:rFonts w:hint="eastAsia"/>
          <w:color w:val="auto"/>
          <w:szCs w:val="21"/>
          <w:highlight w:val="none"/>
        </w:rPr>
        <w:t>履约担保的退还：发包人应在工程接收证书颁发后28天内将履约担保退还给承包人。需进行竣工后试验的，承包人应保证其履约担保在竣工后试验通过前一直有效，发包人应在通过竣工验收合格且试验通过后7天内将履约担保退还给承包人（无息）。</w:t>
      </w:r>
    </w:p>
    <w:p>
      <w:pPr>
        <w:shd w:val="clear" w:color="auto" w:fill="auto"/>
        <w:ind w:firstLine="420"/>
        <w:outlineLvl w:val="9"/>
        <w:rPr>
          <w:color w:val="auto"/>
          <w:szCs w:val="21"/>
          <w:highlight w:val="none"/>
        </w:rPr>
      </w:pPr>
      <w:r>
        <w:rPr>
          <w:rFonts w:hint="eastAsia"/>
          <w:color w:val="auto"/>
          <w:szCs w:val="21"/>
          <w:highlight w:val="none"/>
        </w:rPr>
        <w:t>承包人应保证其履约担保在发包人颁发工程接收证书前一直有效。本合同履约担保，不论因何种原因造成的工期延误，承包人的履约担保均相应顺延，并承担相应费用</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4.3 分包和不得转包</w:t>
      </w:r>
    </w:p>
    <w:p>
      <w:pPr>
        <w:shd w:val="clear" w:color="auto" w:fill="auto"/>
        <w:ind w:firstLine="420"/>
        <w:outlineLvl w:val="9"/>
        <w:rPr>
          <w:color w:val="auto"/>
          <w:szCs w:val="21"/>
          <w:highlight w:val="none"/>
        </w:rPr>
      </w:pPr>
      <w:r>
        <w:rPr>
          <w:color w:val="auto"/>
          <w:szCs w:val="21"/>
          <w:highlight w:val="none"/>
        </w:rPr>
        <w:t>4.3.2 承包人不得将设计和施工的主体、关键性工作分包给第三人。未经发包人</w:t>
      </w:r>
      <w:r>
        <w:rPr>
          <w:rFonts w:hint="eastAsia"/>
          <w:color w:val="auto"/>
          <w:szCs w:val="21"/>
          <w:highlight w:val="none"/>
        </w:rPr>
        <w:t>及监理</w:t>
      </w:r>
      <w:r>
        <w:rPr>
          <w:color w:val="auto"/>
          <w:szCs w:val="21"/>
          <w:highlight w:val="none"/>
        </w:rPr>
        <w:t>同意，承包人也不得将非主体、非关键性工作分包给第三人。</w:t>
      </w:r>
      <w:r>
        <w:rPr>
          <w:rFonts w:hint="eastAsia"/>
          <w:color w:val="auto"/>
          <w:szCs w:val="21"/>
          <w:highlight w:val="none"/>
        </w:rPr>
        <w:t>分包方案需提前报监理及发包人审批。</w:t>
      </w:r>
    </w:p>
    <w:p>
      <w:pPr>
        <w:shd w:val="clear" w:color="auto" w:fill="auto"/>
        <w:ind w:firstLine="420"/>
        <w:outlineLvl w:val="9"/>
        <w:rPr>
          <w:color w:val="auto"/>
          <w:szCs w:val="21"/>
          <w:highlight w:val="none"/>
        </w:rPr>
      </w:pPr>
      <w:r>
        <w:rPr>
          <w:rFonts w:hint="eastAsia"/>
          <w:color w:val="auto"/>
          <w:szCs w:val="21"/>
          <w:highlight w:val="none"/>
          <w:lang w:val="en-US" w:eastAsia="zh-CN"/>
        </w:rPr>
        <w:t>本条增加：</w:t>
      </w:r>
      <w:r>
        <w:rPr>
          <w:color w:val="auto"/>
          <w:szCs w:val="21"/>
          <w:highlight w:val="none"/>
          <w:lang w:val="en-US" w:eastAsia="zh-CN"/>
        </w:rPr>
        <w:t>坚决杜绝工程转包（借资质）、违法分包、“以包代管”和“包而不管”等违法违规行为。如果承包人存在上述行为，发包人有权否决承包人的分包结果，并对</w:t>
      </w:r>
      <w:r>
        <w:rPr>
          <w:rFonts w:hint="eastAsia"/>
          <w:color w:val="auto"/>
          <w:szCs w:val="21"/>
          <w:highlight w:val="none"/>
          <w:lang w:val="en-US" w:eastAsia="zh-CN"/>
        </w:rPr>
        <w:t>发包人支付</w:t>
      </w:r>
      <w:r>
        <w:rPr>
          <w:color w:val="auto"/>
          <w:szCs w:val="21"/>
          <w:highlight w:val="none"/>
          <w:lang w:val="en-US" w:eastAsia="zh-CN"/>
        </w:rPr>
        <w:t>该标段价格10%的</w:t>
      </w:r>
      <w:r>
        <w:rPr>
          <w:rFonts w:hint="eastAsia"/>
          <w:color w:val="auto"/>
          <w:szCs w:val="21"/>
          <w:highlight w:val="none"/>
          <w:lang w:val="en-US" w:eastAsia="zh-CN"/>
        </w:rPr>
        <w:t>违约金，发包人有权在未支付款项或履约保函中直接扣除</w:t>
      </w:r>
      <w:r>
        <w:rPr>
          <w:color w:val="auto"/>
          <w:szCs w:val="21"/>
          <w:highlight w:val="none"/>
          <w:lang w:val="en-US" w:eastAsia="zh-CN"/>
        </w:rPr>
        <w:t>。情节严重，发包人有权解除合同，承包人承担因重新招标导致的招标差价、进度及其他损失。</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4.6 承包人人员的管理</w:t>
      </w:r>
    </w:p>
    <w:p>
      <w:pPr>
        <w:shd w:val="clear" w:color="auto" w:fill="auto"/>
        <w:ind w:firstLine="420"/>
        <w:outlineLvl w:val="9"/>
        <w:rPr>
          <w:color w:val="auto"/>
          <w:szCs w:val="21"/>
          <w:highlight w:val="none"/>
        </w:rPr>
      </w:pPr>
      <w:r>
        <w:rPr>
          <w:color w:val="auto"/>
          <w:szCs w:val="21"/>
          <w:highlight w:val="none"/>
        </w:rPr>
        <w:t>4.6.5本条修改为：项目经理在岗时间不低于2</w:t>
      </w:r>
      <w:r>
        <w:rPr>
          <w:rFonts w:hint="eastAsia"/>
          <w:color w:val="auto"/>
          <w:szCs w:val="21"/>
          <w:highlight w:val="none"/>
          <w:lang w:val="en-US" w:eastAsia="zh-CN"/>
        </w:rPr>
        <w:t>2</w:t>
      </w:r>
      <w:r>
        <w:rPr>
          <w:color w:val="auto"/>
          <w:szCs w:val="21"/>
          <w:highlight w:val="none"/>
        </w:rPr>
        <w:t>天/月，承包人的主要施工管理人员离开施工现场连续超过3天的，应事先征得</w:t>
      </w:r>
      <w:r>
        <w:rPr>
          <w:rFonts w:hint="eastAsia"/>
          <w:color w:val="auto"/>
          <w:szCs w:val="21"/>
          <w:highlight w:val="none"/>
        </w:rPr>
        <w:t>发包</w:t>
      </w:r>
      <w:r>
        <w:rPr>
          <w:color w:val="auto"/>
          <w:szCs w:val="21"/>
          <w:highlight w:val="none"/>
        </w:rPr>
        <w:t>人同意。承包人擅自更换项目经理或主要施工管理人员，或前述人员未经</w:t>
      </w:r>
      <w:r>
        <w:rPr>
          <w:rFonts w:hint="eastAsia"/>
          <w:color w:val="auto"/>
          <w:szCs w:val="21"/>
          <w:highlight w:val="none"/>
        </w:rPr>
        <w:t>发包</w:t>
      </w:r>
      <w:r>
        <w:rPr>
          <w:color w:val="auto"/>
          <w:szCs w:val="21"/>
          <w:highlight w:val="none"/>
        </w:rPr>
        <w:t>人许可擅自离开施工现场连续超过3天的，应承担违约责任：</w:t>
      </w:r>
      <w:r>
        <w:rPr>
          <w:color w:val="auto"/>
          <w:szCs w:val="21"/>
          <w:highlight w:val="none"/>
          <w:u w:val="single"/>
        </w:rPr>
        <w:t>项目经理和主要施工管理人（</w:t>
      </w:r>
      <w:r>
        <w:rPr>
          <w:rFonts w:hint="eastAsia"/>
          <w:color w:val="auto"/>
          <w:szCs w:val="21"/>
          <w:highlight w:val="none"/>
          <w:u w:val="single"/>
        </w:rPr>
        <w:t>技术负责人、专职安全负责人</w:t>
      </w:r>
      <w:r>
        <w:rPr>
          <w:color w:val="auto"/>
          <w:szCs w:val="21"/>
          <w:highlight w:val="none"/>
          <w:u w:val="single"/>
        </w:rPr>
        <w:t>）自项目开工到项目移交生产完成前原则上不准离开工地，确有特殊情况需离开工地时，需向发包人现场代表提出书面申请，发包人现场代表</w:t>
      </w:r>
      <w:r>
        <w:rPr>
          <w:rFonts w:hint="eastAsia"/>
          <w:color w:val="auto"/>
          <w:szCs w:val="21"/>
          <w:highlight w:val="none"/>
          <w:u w:val="single"/>
        </w:rPr>
        <w:t>及</w:t>
      </w:r>
      <w:r>
        <w:rPr>
          <w:color w:val="auto"/>
          <w:szCs w:val="21"/>
          <w:highlight w:val="none"/>
          <w:u w:val="single"/>
        </w:rPr>
        <w:t>监理人签字同意后方可离开，并应委派代表代行其职。项目经理和主要施工管理人离开工地未向发包人现场代表或监理人书面请假并获得批准或无正当理由超假的，分别</w:t>
      </w:r>
      <w:r>
        <w:rPr>
          <w:rFonts w:hint="eastAsia"/>
          <w:color w:val="auto"/>
          <w:szCs w:val="21"/>
          <w:highlight w:val="none"/>
          <w:u w:val="single"/>
        </w:rPr>
        <w:t>按每人</w:t>
      </w:r>
      <w:r>
        <w:rPr>
          <w:rFonts w:hint="eastAsia"/>
          <w:color w:val="auto"/>
          <w:szCs w:val="21"/>
          <w:highlight w:val="none"/>
          <w:u w:val="single"/>
          <w:lang w:val="en-US" w:eastAsia="zh-CN"/>
        </w:rPr>
        <w:t>5</w:t>
      </w:r>
      <w:r>
        <w:rPr>
          <w:color w:val="auto"/>
          <w:szCs w:val="21"/>
          <w:highlight w:val="none"/>
          <w:u w:val="single"/>
        </w:rPr>
        <w:t>000元/天、</w:t>
      </w:r>
      <w:r>
        <w:rPr>
          <w:rFonts w:hint="eastAsia"/>
          <w:color w:val="auto"/>
          <w:szCs w:val="21"/>
          <w:highlight w:val="none"/>
          <w:u w:val="single"/>
          <w:lang w:val="en-US" w:eastAsia="zh-CN"/>
        </w:rPr>
        <w:t>2</w:t>
      </w:r>
      <w:r>
        <w:rPr>
          <w:color w:val="auto"/>
          <w:szCs w:val="21"/>
          <w:highlight w:val="none"/>
          <w:u w:val="single"/>
        </w:rPr>
        <w:t>000</w:t>
      </w:r>
      <w:r>
        <w:rPr>
          <w:rFonts w:hint="eastAsia"/>
          <w:color w:val="auto"/>
          <w:szCs w:val="21"/>
          <w:highlight w:val="none"/>
          <w:u w:val="single"/>
        </w:rPr>
        <w:t>元</w:t>
      </w:r>
      <w:r>
        <w:rPr>
          <w:color w:val="auto"/>
          <w:szCs w:val="21"/>
          <w:highlight w:val="none"/>
          <w:u w:val="single"/>
        </w:rPr>
        <w:t>/天</w:t>
      </w:r>
      <w:r>
        <w:rPr>
          <w:rFonts w:hint="eastAsia"/>
          <w:color w:val="auto"/>
          <w:szCs w:val="21"/>
          <w:highlight w:val="none"/>
          <w:u w:val="single"/>
        </w:rPr>
        <w:t>支付</w:t>
      </w:r>
      <w:r>
        <w:rPr>
          <w:color w:val="auto"/>
          <w:szCs w:val="21"/>
          <w:highlight w:val="none"/>
          <w:u w:val="single"/>
        </w:rPr>
        <w:t>违约金</w:t>
      </w:r>
      <w:r>
        <w:rPr>
          <w:color w:val="auto"/>
          <w:szCs w:val="21"/>
          <w:highlight w:val="none"/>
        </w:rPr>
        <w:t>。</w:t>
      </w:r>
    </w:p>
    <w:p>
      <w:pPr>
        <w:pStyle w:val="66"/>
        <w:shd w:val="clear" w:color="auto" w:fill="auto"/>
        <w:ind w:left="0" w:firstLine="404" w:firstLineChars="200"/>
        <w:outlineLvl w:val="9"/>
        <w:rPr>
          <w:color w:val="auto"/>
          <w:highlight w:val="none"/>
        </w:rPr>
      </w:pPr>
      <w:r>
        <w:rPr>
          <w:rFonts w:hint="eastAsia"/>
          <w:color w:val="auto"/>
          <w:szCs w:val="21"/>
          <w:highlight w:val="none"/>
        </w:rPr>
        <w:t>本条增加：项目经理在项目实施期间需将资格条件中要求的相关证书原件提交至监理或项目公司，项目竣工验收合格后，将相关证书退还。</w:t>
      </w:r>
    </w:p>
    <w:p>
      <w:pPr>
        <w:pStyle w:val="482"/>
        <w:shd w:val="clear" w:color="auto" w:fill="auto"/>
        <w:ind w:firstLine="422"/>
        <w:outlineLvl w:val="9"/>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4.7 撤换承包人项目经理和其他人员</w:t>
      </w:r>
    </w:p>
    <w:p>
      <w:pPr>
        <w:shd w:val="clear" w:color="auto" w:fill="auto"/>
        <w:ind w:firstLine="420"/>
        <w:outlineLvl w:val="9"/>
        <w:rPr>
          <w:color w:val="auto"/>
          <w:szCs w:val="21"/>
          <w:highlight w:val="none"/>
          <w:u w:val="single"/>
        </w:rPr>
      </w:pPr>
      <w:r>
        <w:rPr>
          <w:color w:val="auto"/>
          <w:szCs w:val="21"/>
          <w:highlight w:val="none"/>
          <w:u w:val="single"/>
        </w:rPr>
        <w:t>承包人应对其项目经理和其他人员进行有效管理。</w:t>
      </w:r>
      <w:r>
        <w:rPr>
          <w:rFonts w:hint="eastAsia"/>
          <w:color w:val="auto"/>
          <w:szCs w:val="21"/>
          <w:highlight w:val="none"/>
          <w:u w:val="single"/>
        </w:rPr>
        <w:t>发包人或</w:t>
      </w:r>
      <w:r>
        <w:rPr>
          <w:color w:val="auto"/>
          <w:szCs w:val="21"/>
          <w:highlight w:val="none"/>
          <w:u w:val="single"/>
        </w:rPr>
        <w:t>监理人要求撤换不能胜任本职工作、行为不端或玩忽职守的承包人项目经理和其他人员的，承包人应予以撤换。</w:t>
      </w:r>
    </w:p>
    <w:p>
      <w:pPr>
        <w:pStyle w:val="482"/>
        <w:shd w:val="clear" w:color="auto" w:fill="auto"/>
        <w:ind w:firstLine="422"/>
        <w:outlineLvl w:val="9"/>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4.9工程价款应专款专用</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发包人按合同约定支付给承包人的各项价款（包括工程预付款），应专用于本合同工程，不得挪用。</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（1）承包人保证合同项目资金的专款专用，不得因资金挪作他用而使工程项目资金短缺影响工程建设。</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（2）如承包人出现资金困难，承包人应自行解决资金（总部流动资金注入、商业银行贷款</w:t>
      </w:r>
      <w:r>
        <w:rPr>
          <w:rFonts w:hint="eastAsia" w:ascii="Times New Roman" w:hAnsi="Times New Roman"/>
          <w:color w:val="auto"/>
          <w:sz w:val="21"/>
          <w:szCs w:val="21"/>
          <w:highlight w:val="none"/>
          <w:lang w:val="en-US" w:eastAsia="zh-CN"/>
        </w:rPr>
        <w:t>等</w:t>
      </w:r>
      <w:r>
        <w:rPr>
          <w:rFonts w:ascii="Times New Roman" w:hAnsi="Times New Roman"/>
          <w:color w:val="auto"/>
          <w:sz w:val="21"/>
          <w:szCs w:val="21"/>
          <w:highlight w:val="none"/>
        </w:rPr>
        <w:t>）。</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（3）承包人接受发包人按建设资金管理的有关规定对合同工程资金的使用进行的监督检查。</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（4）承包人擅作他用，对工程产生不利影响的，承包人应赔偿发包人的损失，且自行承担由此产生的一切责任和后果。</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（5）如有违反上述承诺的行为发生，发包人可对承包人处罚总合同金额的1%-5%。</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4.11 不可预见物质条件</w:t>
      </w:r>
    </w:p>
    <w:p>
      <w:pPr>
        <w:shd w:val="clear" w:color="auto" w:fill="auto"/>
        <w:ind w:firstLine="420"/>
        <w:outlineLvl w:val="9"/>
        <w:rPr>
          <w:color w:val="auto"/>
          <w:szCs w:val="21"/>
          <w:highlight w:val="none"/>
        </w:rPr>
      </w:pPr>
      <w:r>
        <w:rPr>
          <w:color w:val="auto"/>
          <w:szCs w:val="21"/>
          <w:highlight w:val="none"/>
        </w:rPr>
        <w:t>不可预见的困难和费用：</w:t>
      </w:r>
      <w:r>
        <w:rPr>
          <w:color w:val="auto"/>
          <w:szCs w:val="21"/>
          <w:highlight w:val="none"/>
          <w:u w:val="single"/>
        </w:rPr>
        <w:t>执行通用条款“ 不可预见的困难和费用（B）</w:t>
      </w:r>
      <w:r>
        <w:rPr>
          <w:color w:val="auto"/>
          <w:szCs w:val="21"/>
          <w:highlight w:val="none"/>
        </w:rPr>
        <w:t>。</w:t>
      </w:r>
    </w:p>
    <w:p>
      <w:pPr>
        <w:pStyle w:val="484"/>
        <w:shd w:val="clear" w:color="auto" w:fill="auto"/>
        <w:adjustRightInd w:val="0"/>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针对各种疫情等突发事件，承包人应充分考虑项目实施相关措施、供货、工期、安全、保险等各方面的风险和费用。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4.12 进度计划</w:t>
      </w:r>
    </w:p>
    <w:p>
      <w:pPr>
        <w:shd w:val="clear" w:color="auto" w:fill="auto"/>
        <w:ind w:firstLine="420"/>
        <w:outlineLvl w:val="9"/>
        <w:rPr>
          <w:color w:val="auto"/>
          <w:szCs w:val="21"/>
          <w:highlight w:val="none"/>
        </w:rPr>
      </w:pPr>
      <w:r>
        <w:rPr>
          <w:color w:val="auto"/>
          <w:szCs w:val="21"/>
          <w:highlight w:val="none"/>
        </w:rPr>
        <w:t>4.12.2 合同进度计划的修订</w:t>
      </w:r>
    </w:p>
    <w:p>
      <w:pPr>
        <w:shd w:val="clear" w:color="auto" w:fill="auto"/>
        <w:ind w:firstLine="420"/>
        <w:outlineLvl w:val="9"/>
        <w:rPr>
          <w:color w:val="auto"/>
          <w:szCs w:val="21"/>
          <w:highlight w:val="none"/>
        </w:rPr>
      </w:pPr>
      <w:r>
        <w:rPr>
          <w:color w:val="auto"/>
          <w:szCs w:val="21"/>
          <w:highlight w:val="none"/>
        </w:rPr>
        <w:t>承包人可以在</w:t>
      </w:r>
      <w:r>
        <w:rPr>
          <w:color w:val="auto"/>
          <w:szCs w:val="21"/>
          <w:highlight w:val="none"/>
          <w:u w:val="single"/>
        </w:rPr>
        <w:t>7天内</w:t>
      </w:r>
      <w:r>
        <w:rPr>
          <w:color w:val="auto"/>
          <w:szCs w:val="21"/>
          <w:highlight w:val="none"/>
        </w:rPr>
        <w:t>向监理人提交修订合同进度计划的申请报告。监理人应在</w:t>
      </w:r>
      <w:r>
        <w:rPr>
          <w:color w:val="auto"/>
          <w:szCs w:val="21"/>
          <w:highlight w:val="none"/>
          <w:u w:val="single"/>
        </w:rPr>
        <w:t>7天</w:t>
      </w:r>
      <w:r>
        <w:rPr>
          <w:color w:val="auto"/>
          <w:szCs w:val="21"/>
          <w:highlight w:val="none"/>
        </w:rPr>
        <w:t>内批复。</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57" w:name="_Toc144327102"/>
      <w:bookmarkStart w:id="458" w:name="_Toc17885"/>
      <w:bookmarkStart w:id="459" w:name="_Toc16104"/>
      <w:r>
        <w:rPr>
          <w:rFonts w:ascii="Times New Roman" w:hAnsi="Times New Roman" w:cs="Times New Roman"/>
          <w:color w:val="auto"/>
          <w:sz w:val="21"/>
          <w:szCs w:val="21"/>
          <w:highlight w:val="none"/>
        </w:rPr>
        <w:t>5．设计</w:t>
      </w:r>
      <w:bookmarkEnd w:id="457"/>
      <w:bookmarkEnd w:id="458"/>
      <w:bookmarkEnd w:id="459"/>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5.1 承包人的设计义务</w:t>
      </w:r>
    </w:p>
    <w:p>
      <w:pPr>
        <w:shd w:val="clear" w:color="auto" w:fill="auto"/>
        <w:ind w:firstLine="420"/>
        <w:outlineLvl w:val="9"/>
        <w:rPr>
          <w:color w:val="auto"/>
          <w:szCs w:val="21"/>
          <w:highlight w:val="none"/>
        </w:rPr>
      </w:pPr>
      <w:r>
        <w:rPr>
          <w:color w:val="auto"/>
          <w:szCs w:val="21"/>
          <w:highlight w:val="none"/>
        </w:rPr>
        <w:t>5.1.2 法律和标准的变化</w:t>
      </w:r>
    </w:p>
    <w:p>
      <w:pPr>
        <w:shd w:val="clear" w:color="auto" w:fill="auto"/>
        <w:ind w:firstLine="420"/>
        <w:outlineLvl w:val="9"/>
        <w:rPr>
          <w:color w:val="auto"/>
          <w:szCs w:val="21"/>
          <w:highlight w:val="none"/>
        </w:rPr>
      </w:pPr>
      <w:r>
        <w:rPr>
          <w:color w:val="auto"/>
          <w:szCs w:val="21"/>
          <w:highlight w:val="none"/>
        </w:rPr>
        <w:t>基准日之后，前述版本发生重大变化，或者有新的法律，以及国家、行业和地方的规范和标准实施的，承包人应向发包人或发包人委托的监理人提出遵守新规定的建议。发包人或其委托的监理人应在收到建议后7天内发出是否遵守新规定的指示，发包人或其委托的监理人指示遵守新规定所产生的费用视为已包含在承包人合同风险报价中，合同总价不调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 竣工文件</w:t>
      </w:r>
    </w:p>
    <w:p>
      <w:pPr>
        <w:shd w:val="clear" w:color="auto" w:fill="auto"/>
        <w:ind w:firstLine="420"/>
        <w:outlineLvl w:val="9"/>
        <w:rPr>
          <w:color w:val="auto"/>
          <w:szCs w:val="21"/>
          <w:highlight w:val="none"/>
        </w:rPr>
      </w:pPr>
      <w:r>
        <w:rPr>
          <w:color w:val="auto"/>
          <w:szCs w:val="21"/>
          <w:highlight w:val="none"/>
        </w:rPr>
        <w:t>5.5.1 约定提交给监理人份数：</w:t>
      </w:r>
      <w:r>
        <w:rPr>
          <w:color w:val="auto"/>
          <w:szCs w:val="21"/>
          <w:highlight w:val="none"/>
          <w:u w:val="single"/>
        </w:rPr>
        <w:t>8份</w:t>
      </w:r>
      <w:r>
        <w:rPr>
          <w:color w:val="auto"/>
          <w:szCs w:val="21"/>
          <w:highlight w:val="none"/>
        </w:rPr>
        <w:t>。</w:t>
      </w:r>
    </w:p>
    <w:p>
      <w:pPr>
        <w:shd w:val="clear" w:color="auto" w:fill="auto"/>
        <w:ind w:firstLine="420"/>
        <w:outlineLvl w:val="9"/>
        <w:rPr>
          <w:color w:val="auto"/>
          <w:szCs w:val="21"/>
          <w:highlight w:val="none"/>
        </w:rPr>
      </w:pPr>
      <w:r>
        <w:rPr>
          <w:color w:val="auto"/>
          <w:szCs w:val="21"/>
          <w:highlight w:val="none"/>
        </w:rPr>
        <w:t>5.5.2 竣工图纸份数：</w:t>
      </w:r>
      <w:r>
        <w:rPr>
          <w:color w:val="auto"/>
          <w:szCs w:val="21"/>
          <w:highlight w:val="none"/>
          <w:u w:val="single"/>
        </w:rPr>
        <w:t>8份</w:t>
      </w:r>
      <w:r>
        <w:rPr>
          <w:color w:val="auto"/>
          <w:szCs w:val="21"/>
          <w:highlight w:val="none"/>
        </w:rPr>
        <w:t>。</w:t>
      </w:r>
    </w:p>
    <w:p>
      <w:pPr>
        <w:pStyle w:val="66"/>
        <w:shd w:val="clear" w:color="auto" w:fill="auto"/>
        <w:outlineLvl w:val="9"/>
        <w:rPr>
          <w:color w:val="auto"/>
          <w:highlight w:val="none"/>
        </w:rPr>
      </w:pPr>
      <w:r>
        <w:rPr>
          <w:rFonts w:hint="eastAsia"/>
          <w:color w:val="auto"/>
          <w:szCs w:val="21"/>
          <w:highlight w:val="none"/>
        </w:rPr>
        <w:t>5.6.1 约定提交给发包人份数：</w:t>
      </w:r>
      <w:r>
        <w:rPr>
          <w:rFonts w:hint="eastAsia"/>
          <w:color w:val="auto"/>
          <w:szCs w:val="21"/>
          <w:highlight w:val="none"/>
          <w:u w:val="single"/>
        </w:rPr>
        <w:t>6份。</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60" w:name="_Toc19223"/>
      <w:bookmarkStart w:id="461" w:name="_Toc144327103"/>
      <w:bookmarkStart w:id="462" w:name="_Toc17550"/>
      <w:r>
        <w:rPr>
          <w:rFonts w:ascii="Times New Roman" w:hAnsi="Times New Roman" w:cs="Times New Roman"/>
          <w:color w:val="auto"/>
          <w:sz w:val="21"/>
          <w:szCs w:val="21"/>
          <w:highlight w:val="none"/>
        </w:rPr>
        <w:t>6．材料和工程设备</w:t>
      </w:r>
      <w:bookmarkEnd w:id="460"/>
      <w:bookmarkEnd w:id="461"/>
      <w:bookmarkEnd w:id="462"/>
    </w:p>
    <w:p>
      <w:pPr>
        <w:shd w:val="clear" w:color="auto" w:fill="auto"/>
        <w:ind w:firstLine="422"/>
        <w:outlineLvl w:val="9"/>
        <w:rPr>
          <w:bCs/>
          <w:color w:val="auto"/>
          <w:sz w:val="21"/>
          <w:szCs w:val="21"/>
          <w:highlight w:val="none"/>
        </w:rPr>
      </w:pPr>
      <w:r>
        <w:rPr>
          <w:bCs/>
          <w:color w:val="auto"/>
          <w:sz w:val="21"/>
          <w:szCs w:val="21"/>
          <w:highlight w:val="none"/>
        </w:rPr>
        <w:t>6.1 承包人提供的材料和工程设备</w:t>
      </w:r>
    </w:p>
    <w:p>
      <w:pPr>
        <w:pStyle w:val="481"/>
        <w:shd w:val="clear" w:color="auto" w:fill="auto"/>
        <w:spacing w:before="60" w:after="60"/>
        <w:ind w:firstLine="420"/>
        <w:outlineLvl w:val="9"/>
        <w:rPr>
          <w:rFonts w:ascii="Times New Roman" w:hAnsi="Times New Roman" w:cs="Times New Roman"/>
          <w:bCs/>
          <w:color w:val="auto"/>
          <w:sz w:val="21"/>
          <w:szCs w:val="21"/>
          <w:highlight w:val="none"/>
        </w:rPr>
      </w:pPr>
      <w:r>
        <w:rPr>
          <w:rFonts w:ascii="Times New Roman" w:hAnsi="Times New Roman" w:cs="Times New Roman"/>
          <w:b w:val="0"/>
          <w:bCs/>
          <w:color w:val="auto"/>
          <w:sz w:val="21"/>
          <w:szCs w:val="21"/>
          <w:highlight w:val="none"/>
        </w:rPr>
        <w:t>所有材料均由承包人自行负责采购、运输、保管、安装、调试等</w:t>
      </w:r>
      <w:r>
        <w:rPr>
          <w:rFonts w:hint="eastAsia" w:ascii="Times New Roman" w:hAnsi="Times New Roman" w:cs="Times New Roman"/>
          <w:b w:val="0"/>
          <w:bCs/>
          <w:color w:val="auto"/>
          <w:sz w:val="21"/>
          <w:szCs w:val="21"/>
          <w:highlight w:val="none"/>
        </w:rPr>
        <w:t>，</w:t>
      </w:r>
      <w:r>
        <w:rPr>
          <w:rFonts w:ascii="Times New Roman" w:hAnsi="Times New Roman" w:cs="Times New Roman"/>
          <w:bCs/>
          <w:color w:val="auto"/>
          <w:sz w:val="21"/>
          <w:szCs w:val="21"/>
          <w:highlight w:val="none"/>
          <w:lang w:bidi="ar"/>
        </w:rPr>
        <w:t>所有设备及材料需满足</w:t>
      </w:r>
      <w:r>
        <w:rPr>
          <w:rFonts w:hint="eastAsia" w:ascii="Times New Roman" w:hAnsi="Times New Roman" w:cs="Times New Roman"/>
          <w:bCs/>
          <w:color w:val="auto"/>
          <w:sz w:val="21"/>
          <w:szCs w:val="21"/>
          <w:highlight w:val="none"/>
          <w:lang w:bidi="ar"/>
        </w:rPr>
        <w:t>南方</w:t>
      </w:r>
      <w:r>
        <w:rPr>
          <w:rFonts w:ascii="Times New Roman" w:hAnsi="Times New Roman" w:cs="Times New Roman"/>
          <w:bCs/>
          <w:color w:val="auto"/>
          <w:sz w:val="21"/>
          <w:szCs w:val="21"/>
          <w:highlight w:val="none"/>
          <w:lang w:bidi="ar"/>
        </w:rPr>
        <w:t>电网公司的</w:t>
      </w:r>
      <w:r>
        <w:rPr>
          <w:rFonts w:hint="eastAsia" w:ascii="Times New Roman" w:hAnsi="Times New Roman" w:cs="Times New Roman"/>
          <w:bCs/>
          <w:color w:val="auto"/>
          <w:sz w:val="21"/>
          <w:szCs w:val="21"/>
          <w:highlight w:val="none"/>
          <w:lang w:bidi="ar"/>
        </w:rPr>
        <w:t>技术规范</w:t>
      </w:r>
      <w:r>
        <w:rPr>
          <w:rFonts w:ascii="Times New Roman" w:hAnsi="Times New Roman" w:cs="Times New Roman"/>
          <w:bCs/>
          <w:color w:val="auto"/>
          <w:sz w:val="21"/>
          <w:szCs w:val="21"/>
          <w:highlight w:val="none"/>
          <w:lang w:bidi="ar"/>
        </w:rPr>
        <w:t>要求，</w:t>
      </w:r>
      <w:r>
        <w:rPr>
          <w:rFonts w:ascii="Times New Roman" w:hAnsi="Times New Roman" w:cs="Times New Roman"/>
          <w:bCs/>
          <w:color w:val="auto"/>
          <w:sz w:val="21"/>
          <w:szCs w:val="21"/>
          <w:highlight w:val="none"/>
        </w:rPr>
        <w:t>采购结果报发包人备案。</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6.2 发包人提供的材料和工程设备</w:t>
      </w:r>
    </w:p>
    <w:p>
      <w:pPr>
        <w:shd w:val="clear" w:color="auto" w:fill="auto"/>
        <w:ind w:firstLine="420"/>
        <w:outlineLvl w:val="9"/>
        <w:rPr>
          <w:color w:val="auto"/>
          <w:szCs w:val="21"/>
          <w:highlight w:val="none"/>
        </w:rPr>
      </w:pPr>
      <w:r>
        <w:rPr>
          <w:color w:val="auto"/>
          <w:szCs w:val="21"/>
          <w:highlight w:val="none"/>
        </w:rPr>
        <w:t>执行通用条款（B)：发包人不提供材料和工程设备。</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 禁止使用不合格的材料和工程设备</w:t>
      </w:r>
    </w:p>
    <w:p>
      <w:pPr>
        <w:shd w:val="clear" w:color="auto" w:fill="auto"/>
        <w:ind w:firstLine="420"/>
        <w:outlineLvl w:val="9"/>
        <w:rPr>
          <w:color w:val="auto"/>
          <w:szCs w:val="21"/>
          <w:highlight w:val="none"/>
        </w:rPr>
      </w:pPr>
      <w:r>
        <w:rPr>
          <w:rFonts w:hint="eastAsia"/>
          <w:color w:val="auto"/>
          <w:szCs w:val="21"/>
          <w:highlight w:val="none"/>
        </w:rPr>
        <w:t xml:space="preserve">6.5.4 </w:t>
      </w:r>
      <w:r>
        <w:rPr>
          <w:bCs/>
          <w:color w:val="auto"/>
          <w:szCs w:val="21"/>
          <w:highlight w:val="none"/>
        </w:rPr>
        <w:t>所有材料均由承包人自行负责采购、运输、保管、安装、调试等</w:t>
      </w:r>
      <w:r>
        <w:rPr>
          <w:rFonts w:hint="eastAsia"/>
          <w:bCs/>
          <w:color w:val="auto"/>
          <w:szCs w:val="21"/>
          <w:highlight w:val="none"/>
        </w:rPr>
        <w:t>，</w:t>
      </w:r>
      <w:r>
        <w:rPr>
          <w:bCs/>
          <w:color w:val="auto"/>
          <w:szCs w:val="21"/>
          <w:highlight w:val="none"/>
          <w:lang w:bidi="ar"/>
        </w:rPr>
        <w:t>所有设备及材料需满足</w:t>
      </w:r>
      <w:r>
        <w:rPr>
          <w:rFonts w:hint="eastAsia"/>
          <w:bCs/>
          <w:color w:val="auto"/>
          <w:szCs w:val="21"/>
          <w:highlight w:val="none"/>
          <w:lang w:bidi="ar"/>
        </w:rPr>
        <w:t>南方</w:t>
      </w:r>
      <w:r>
        <w:rPr>
          <w:bCs/>
          <w:color w:val="auto"/>
          <w:szCs w:val="21"/>
          <w:highlight w:val="none"/>
          <w:lang w:bidi="ar"/>
        </w:rPr>
        <w:t>电网公司的</w:t>
      </w:r>
      <w:r>
        <w:rPr>
          <w:rFonts w:hint="eastAsia"/>
          <w:bCs/>
          <w:color w:val="auto"/>
          <w:szCs w:val="21"/>
          <w:highlight w:val="none"/>
          <w:lang w:bidi="ar"/>
        </w:rPr>
        <w:t>技术规范</w:t>
      </w:r>
      <w:r>
        <w:rPr>
          <w:bCs/>
          <w:color w:val="auto"/>
          <w:szCs w:val="21"/>
          <w:highlight w:val="none"/>
          <w:lang w:bidi="ar"/>
        </w:rPr>
        <w:t>要求</w:t>
      </w:r>
      <w:r>
        <w:rPr>
          <w:b/>
          <w:bCs/>
          <w:color w:val="auto"/>
          <w:szCs w:val="21"/>
          <w:highlight w:val="none"/>
        </w:rPr>
        <w:t>。</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63" w:name="_Toc144327104"/>
      <w:bookmarkStart w:id="464" w:name="_Toc3336"/>
      <w:r>
        <w:rPr>
          <w:rFonts w:ascii="Times New Roman" w:hAnsi="Times New Roman" w:cs="Times New Roman"/>
          <w:color w:val="auto"/>
          <w:sz w:val="21"/>
          <w:szCs w:val="21"/>
          <w:highlight w:val="none"/>
        </w:rPr>
        <w:t>7．施工设备和临时设施</w:t>
      </w:r>
      <w:bookmarkEnd w:id="463"/>
      <w:bookmarkEnd w:id="464"/>
    </w:p>
    <w:p>
      <w:pPr>
        <w:shd w:val="clear" w:color="auto" w:fill="auto"/>
        <w:ind w:firstLine="422"/>
        <w:outlineLvl w:val="9"/>
        <w:rPr>
          <w:bCs/>
          <w:color w:val="auto"/>
          <w:sz w:val="21"/>
          <w:szCs w:val="21"/>
          <w:highlight w:val="none"/>
        </w:rPr>
      </w:pPr>
      <w:r>
        <w:rPr>
          <w:bCs/>
          <w:color w:val="auto"/>
          <w:sz w:val="21"/>
          <w:szCs w:val="21"/>
          <w:highlight w:val="none"/>
        </w:rPr>
        <w:t>7.1 承包人提供的施工设备和临时设施</w:t>
      </w:r>
    </w:p>
    <w:p>
      <w:pPr>
        <w:shd w:val="clear" w:color="auto" w:fill="auto"/>
        <w:ind w:firstLine="420"/>
        <w:outlineLvl w:val="9"/>
        <w:rPr>
          <w:color w:val="auto"/>
          <w:szCs w:val="21"/>
          <w:highlight w:val="none"/>
        </w:rPr>
      </w:pPr>
      <w:r>
        <w:rPr>
          <w:color w:val="auto"/>
          <w:szCs w:val="21"/>
          <w:highlight w:val="none"/>
        </w:rPr>
        <w:t>承包人应自行承担修建临时设施的费用。需要占地的，应由承包人办理申请手续并承担相应费用。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7.2 发包人提供的施工设备和临时设施</w:t>
      </w:r>
    </w:p>
    <w:p>
      <w:pPr>
        <w:shd w:val="clear" w:color="auto" w:fill="auto"/>
        <w:ind w:firstLine="420"/>
        <w:outlineLvl w:val="9"/>
        <w:rPr>
          <w:color w:val="auto"/>
          <w:szCs w:val="21"/>
          <w:highlight w:val="none"/>
        </w:rPr>
      </w:pPr>
      <w:r>
        <w:rPr>
          <w:color w:val="auto"/>
          <w:szCs w:val="21"/>
          <w:highlight w:val="none"/>
        </w:rPr>
        <w:t>执行通用条款（B)：发包人不提供施工设备或临时设施。</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65" w:name="_Toc144327105"/>
      <w:bookmarkStart w:id="466" w:name="_Toc2055"/>
      <w:bookmarkStart w:id="467" w:name="_Toc26436"/>
      <w:r>
        <w:rPr>
          <w:rFonts w:ascii="Times New Roman" w:hAnsi="Times New Roman" w:cs="Times New Roman"/>
          <w:color w:val="auto"/>
          <w:sz w:val="21"/>
          <w:szCs w:val="21"/>
          <w:highlight w:val="none"/>
        </w:rPr>
        <w:t>8．交通运输</w:t>
      </w:r>
      <w:bookmarkEnd w:id="465"/>
      <w:bookmarkEnd w:id="466"/>
      <w:bookmarkEnd w:id="467"/>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8.1 道路通行权和场外设施</w:t>
      </w:r>
    </w:p>
    <w:p>
      <w:pPr>
        <w:shd w:val="clear" w:color="auto" w:fill="auto"/>
        <w:ind w:firstLine="420"/>
        <w:outlineLvl w:val="9"/>
        <w:rPr>
          <w:color w:val="auto"/>
          <w:szCs w:val="21"/>
          <w:highlight w:val="none"/>
        </w:rPr>
      </w:pPr>
      <w:r>
        <w:rPr>
          <w:color w:val="auto"/>
          <w:szCs w:val="21"/>
          <w:highlight w:val="none"/>
        </w:rPr>
        <w:t>道路通行权和场外设施约定：</w:t>
      </w:r>
      <w:r>
        <w:rPr>
          <w:color w:val="auto"/>
          <w:szCs w:val="21"/>
          <w:highlight w:val="none"/>
          <w:u w:val="single"/>
        </w:rPr>
        <w:t>执行通用条款B</w:t>
      </w:r>
      <w:r>
        <w:rPr>
          <w:color w:val="auto"/>
          <w:szCs w:val="21"/>
          <w:highlight w:val="none"/>
        </w:rPr>
        <w:t>。</w:t>
      </w:r>
    </w:p>
    <w:p>
      <w:pPr>
        <w:shd w:val="clear" w:color="auto" w:fill="auto"/>
        <w:ind w:firstLine="422"/>
        <w:outlineLvl w:val="9"/>
        <w:rPr>
          <w:bCs/>
          <w:color w:val="auto"/>
          <w:sz w:val="21"/>
          <w:szCs w:val="21"/>
          <w:highlight w:val="none"/>
        </w:rPr>
      </w:pPr>
      <w:r>
        <w:rPr>
          <w:bCs/>
          <w:color w:val="auto"/>
          <w:sz w:val="21"/>
          <w:szCs w:val="21"/>
          <w:highlight w:val="none"/>
        </w:rPr>
        <w:t>8.5 道路和桥梁的损坏责任</w:t>
      </w:r>
    </w:p>
    <w:p>
      <w:pPr>
        <w:shd w:val="clear" w:color="auto" w:fill="auto"/>
        <w:ind w:firstLine="420"/>
        <w:outlineLvl w:val="9"/>
        <w:rPr>
          <w:color w:val="auto"/>
          <w:szCs w:val="21"/>
          <w:highlight w:val="none"/>
        </w:rPr>
      </w:pPr>
      <w:r>
        <w:rPr>
          <w:color w:val="auto"/>
          <w:szCs w:val="21"/>
          <w:highlight w:val="none"/>
        </w:rPr>
        <w:t>因承包人运输造成施工场地内外公共道路，桥梁，设施设备，以及植被（作物）损坏的，均由承包人承担修复和负责损坏的全部费用和可能引起的赔偿。</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68" w:name="_Toc144327106"/>
      <w:bookmarkStart w:id="469" w:name="_Toc31124"/>
      <w:bookmarkStart w:id="470" w:name="_Toc8323"/>
      <w:r>
        <w:rPr>
          <w:rFonts w:ascii="Times New Roman" w:hAnsi="Times New Roman" w:cs="Times New Roman"/>
          <w:color w:val="auto"/>
          <w:sz w:val="21"/>
          <w:szCs w:val="21"/>
          <w:highlight w:val="none"/>
        </w:rPr>
        <w:t>9．测量放线</w:t>
      </w:r>
      <w:bookmarkEnd w:id="468"/>
      <w:bookmarkEnd w:id="469"/>
      <w:bookmarkEnd w:id="470"/>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9.1 施工控制网</w:t>
      </w:r>
    </w:p>
    <w:p>
      <w:pPr>
        <w:shd w:val="clear" w:color="auto" w:fill="auto"/>
        <w:ind w:firstLine="420"/>
        <w:outlineLvl w:val="9"/>
        <w:rPr>
          <w:color w:val="auto"/>
          <w:szCs w:val="21"/>
          <w:highlight w:val="none"/>
        </w:rPr>
      </w:pPr>
      <w:r>
        <w:rPr>
          <w:color w:val="auto"/>
          <w:szCs w:val="21"/>
          <w:highlight w:val="none"/>
        </w:rPr>
        <w:t>9.1.1 本条修改为：发包人不提供测量基准点、基准线和水准点及其书面资料，由承包人自行取得并承担相关费用，并根据国家测绘基准、测绘系统和工程测量技术规范，按上述基准点（线）以及合同工程精度要求，测设施工控制网，并在完后的7天内，将施工控制网资料报送监理人批准。</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71" w:name="_Toc144327107"/>
      <w:bookmarkStart w:id="472" w:name="_Toc26208"/>
      <w:bookmarkStart w:id="473" w:name="_Toc7177"/>
      <w:r>
        <w:rPr>
          <w:rFonts w:ascii="Times New Roman" w:hAnsi="Times New Roman" w:cs="Times New Roman"/>
          <w:color w:val="auto"/>
          <w:sz w:val="21"/>
          <w:szCs w:val="21"/>
          <w:highlight w:val="none"/>
        </w:rPr>
        <w:t>10．安全、治安保卫和环境保护</w:t>
      </w:r>
      <w:bookmarkEnd w:id="471"/>
      <w:bookmarkEnd w:id="472"/>
      <w:bookmarkEnd w:id="473"/>
    </w:p>
    <w:p>
      <w:pPr>
        <w:shd w:val="clear" w:color="auto" w:fill="auto"/>
        <w:ind w:firstLine="422"/>
        <w:outlineLvl w:val="9"/>
        <w:rPr>
          <w:bCs/>
          <w:color w:val="auto"/>
          <w:sz w:val="21"/>
          <w:szCs w:val="21"/>
          <w:highlight w:val="none"/>
        </w:rPr>
      </w:pPr>
      <w:r>
        <w:rPr>
          <w:bCs/>
          <w:color w:val="auto"/>
          <w:sz w:val="21"/>
          <w:szCs w:val="21"/>
          <w:highlight w:val="none"/>
        </w:rPr>
        <w:t>10.1 发包人的安全责任</w:t>
      </w:r>
    </w:p>
    <w:p>
      <w:pPr>
        <w:shd w:val="clear" w:color="auto" w:fill="auto"/>
        <w:ind w:firstLine="420"/>
        <w:outlineLvl w:val="9"/>
        <w:rPr>
          <w:color w:val="auto"/>
          <w:szCs w:val="21"/>
          <w:highlight w:val="none"/>
        </w:rPr>
      </w:pPr>
      <w:r>
        <w:rPr>
          <w:color w:val="auto"/>
          <w:szCs w:val="21"/>
          <w:highlight w:val="none"/>
        </w:rPr>
        <w:t>此条全部修改为：在施工场地及其毗邻地带、履行合同工作中造成相应的第三者人身伤亡和财产损失，纳入本工程建安工程一切险中附加的第三者责任险一并投保，由承包人承担相关损失。</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74" w:name="_Toc17990"/>
      <w:bookmarkStart w:id="475" w:name="_Toc144327108"/>
      <w:bookmarkStart w:id="476" w:name="_Toc13105"/>
      <w:r>
        <w:rPr>
          <w:rFonts w:ascii="Times New Roman" w:hAnsi="Times New Roman" w:cs="Times New Roman"/>
          <w:color w:val="auto"/>
          <w:sz w:val="21"/>
          <w:szCs w:val="21"/>
          <w:highlight w:val="none"/>
        </w:rPr>
        <w:t>11．开始工作和竣工</w:t>
      </w:r>
      <w:bookmarkEnd w:id="474"/>
      <w:bookmarkEnd w:id="475"/>
      <w:bookmarkEnd w:id="47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11.1 开始工作</w:t>
      </w:r>
    </w:p>
    <w:p>
      <w:pPr>
        <w:shd w:val="clear" w:color="auto" w:fill="auto"/>
        <w:ind w:firstLine="420"/>
        <w:outlineLvl w:val="9"/>
        <w:rPr>
          <w:color w:val="auto"/>
          <w:szCs w:val="21"/>
          <w:highlight w:val="none"/>
        </w:rPr>
      </w:pPr>
      <w:r>
        <w:rPr>
          <w:color w:val="auto"/>
          <w:szCs w:val="21"/>
          <w:highlight w:val="none"/>
        </w:rPr>
        <w:t>此条全部修改为：开始工作的条件以监理人书面通知为准，监理人应提前7天向承包人发出开始工作通知。监理人在发出开始工作通知前应获得发包人同意。工期自开始工作通知中载明的开始工作日期起计算。因发包人原因造成监理人未能在合同签订之日起90天内发出开始工作通知的，承包人有权提出工期顺延要求。</w:t>
      </w:r>
    </w:p>
    <w:p>
      <w:pPr>
        <w:pStyle w:val="482"/>
        <w:shd w:val="clear" w:color="auto" w:fill="auto"/>
        <w:ind w:firstLine="422"/>
        <w:outlineLvl w:val="9"/>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11.4异常恶劣的气候条件</w:t>
      </w:r>
    </w:p>
    <w:p>
      <w:pPr>
        <w:shd w:val="clear" w:color="auto" w:fill="auto"/>
        <w:ind w:firstLine="420"/>
        <w:outlineLvl w:val="9"/>
        <w:rPr>
          <w:rFonts w:hint="eastAsia"/>
          <w:color w:val="auto"/>
          <w:szCs w:val="21"/>
          <w:highlight w:val="none"/>
        </w:rPr>
      </w:pPr>
      <w:r>
        <w:rPr>
          <w:color w:val="auto"/>
          <w:szCs w:val="21"/>
          <w:highlight w:val="none"/>
        </w:rPr>
        <w:t>本合同约定的异常恶劣气候是指：当地气象部门认定的达到或超过50年一遇的大风、降雪、暴雨、冰雹、雷暴等。</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11.5 承包人引起的工期延误</w:t>
      </w:r>
    </w:p>
    <w:p>
      <w:pPr>
        <w:shd w:val="clear" w:color="auto" w:fill="auto"/>
        <w:ind w:firstLine="420"/>
        <w:outlineLvl w:val="9"/>
        <w:rPr>
          <w:color w:val="auto"/>
          <w:szCs w:val="21"/>
          <w:highlight w:val="none"/>
          <w:u w:val="single"/>
        </w:rPr>
      </w:pPr>
      <w:r>
        <w:rPr>
          <w:color w:val="auto"/>
          <w:szCs w:val="21"/>
          <w:highlight w:val="none"/>
        </w:rPr>
        <w:t>逾期竣工违约金的计算方法和最高限额：每逾期一天违约金为签约合同价的</w:t>
      </w:r>
      <w:r>
        <w:rPr>
          <w:rFonts w:hint="eastAsia"/>
          <w:color w:val="auto"/>
          <w:szCs w:val="21"/>
          <w:highlight w:val="none"/>
          <w:u w:val="single"/>
          <w:lang w:val="en-US" w:eastAsia="zh-CN"/>
        </w:rPr>
        <w:t>3</w:t>
      </w:r>
      <w:r>
        <w:rPr>
          <w:color w:val="auto"/>
          <w:szCs w:val="21"/>
          <w:highlight w:val="none"/>
          <w:u w:val="single"/>
        </w:rPr>
        <w:t>‰</w:t>
      </w:r>
      <w:r>
        <w:rPr>
          <w:color w:val="auto"/>
          <w:szCs w:val="21"/>
          <w:highlight w:val="none"/>
        </w:rPr>
        <w:t>，逾期违约金最高不超过签约合同总价的</w:t>
      </w:r>
      <w:r>
        <w:rPr>
          <w:rFonts w:hint="eastAsia"/>
          <w:color w:val="auto"/>
          <w:szCs w:val="21"/>
          <w:highlight w:val="none"/>
          <w:u w:val="single"/>
        </w:rPr>
        <w:t>10</w:t>
      </w:r>
      <w:r>
        <w:rPr>
          <w:color w:val="auto"/>
          <w:szCs w:val="21"/>
          <w:highlight w:val="none"/>
          <w:u w:val="single"/>
        </w:rPr>
        <w:t>%</w:t>
      </w:r>
      <w:r>
        <w:rPr>
          <w:rFonts w:hint="eastAsia"/>
          <w:color w:val="auto"/>
          <w:szCs w:val="21"/>
          <w:highlight w:val="none"/>
          <w:u w:val="single"/>
        </w:rPr>
        <w:t>。</w:t>
      </w:r>
    </w:p>
    <w:p>
      <w:pPr>
        <w:shd w:val="clear" w:color="auto" w:fill="auto"/>
        <w:ind w:firstLine="420"/>
        <w:outlineLvl w:val="9"/>
        <w:rPr>
          <w:color w:val="auto"/>
          <w:szCs w:val="21"/>
          <w:highlight w:val="none"/>
        </w:rPr>
      </w:pPr>
      <w:r>
        <w:rPr>
          <w:color w:val="auto"/>
          <w:szCs w:val="21"/>
          <w:highlight w:val="none"/>
          <w:u w:val="single"/>
        </w:rPr>
        <w:t>若</w:t>
      </w:r>
      <w:r>
        <w:rPr>
          <w:rFonts w:hint="eastAsia"/>
          <w:color w:val="auto"/>
          <w:szCs w:val="21"/>
          <w:highlight w:val="none"/>
          <w:u w:val="single"/>
        </w:rPr>
        <w:t>违约金</w:t>
      </w:r>
      <w:r>
        <w:rPr>
          <w:color w:val="auto"/>
          <w:szCs w:val="21"/>
          <w:highlight w:val="none"/>
          <w:u w:val="single"/>
        </w:rPr>
        <w:t>不足以弥补发包人损失的，发包人有权继续追偿</w:t>
      </w:r>
      <w:r>
        <w:rPr>
          <w:color w:val="auto"/>
          <w:szCs w:val="21"/>
          <w:highlight w:val="none"/>
        </w:rPr>
        <w:t>。</w:t>
      </w:r>
      <w:r>
        <w:rPr>
          <w:rFonts w:hint="eastAsia"/>
          <w:color w:val="auto"/>
          <w:szCs w:val="21"/>
          <w:highlight w:val="none"/>
        </w:rPr>
        <w:t>发包人的损失包括但不限于</w:t>
      </w:r>
      <w:r>
        <w:rPr>
          <w:rFonts w:hint="eastAsia"/>
          <w:color w:val="auto"/>
          <w:szCs w:val="21"/>
          <w:highlight w:val="none"/>
          <w:lang w:val="en-US" w:eastAsia="zh-CN"/>
        </w:rPr>
        <w:t>背阴山尾矿库分布式光伏</w:t>
      </w:r>
      <w:r>
        <w:rPr>
          <w:rFonts w:hint="eastAsia"/>
          <w:color w:val="auto"/>
          <w:szCs w:val="21"/>
          <w:highlight w:val="none"/>
        </w:rPr>
        <w:t>项目按期发电的预期发电收益。</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11.6 工期提前</w:t>
      </w:r>
    </w:p>
    <w:p>
      <w:pPr>
        <w:shd w:val="clear" w:color="auto" w:fill="auto"/>
        <w:ind w:firstLine="420"/>
        <w:outlineLvl w:val="9"/>
        <w:rPr>
          <w:color w:val="auto"/>
          <w:szCs w:val="21"/>
          <w:highlight w:val="none"/>
        </w:rPr>
      </w:pPr>
      <w:r>
        <w:rPr>
          <w:color w:val="auto"/>
          <w:szCs w:val="21"/>
          <w:highlight w:val="none"/>
        </w:rPr>
        <w:t>提前竣工奖金：</w:t>
      </w:r>
      <w:r>
        <w:rPr>
          <w:color w:val="auto"/>
          <w:szCs w:val="21"/>
          <w:highlight w:val="none"/>
          <w:u w:val="single"/>
        </w:rPr>
        <w:t>不适用</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11.7 行政审批迟延</w:t>
      </w:r>
    </w:p>
    <w:p>
      <w:pPr>
        <w:shd w:val="clear" w:color="auto" w:fill="auto"/>
        <w:ind w:firstLine="420"/>
        <w:outlineLvl w:val="9"/>
        <w:rPr>
          <w:color w:val="auto"/>
          <w:szCs w:val="21"/>
          <w:highlight w:val="none"/>
        </w:rPr>
      </w:pPr>
      <w:r>
        <w:rPr>
          <w:color w:val="auto"/>
          <w:szCs w:val="21"/>
          <w:highlight w:val="none"/>
        </w:rPr>
        <w:t>合同约定范围内的工作需国家有关部门审批的，发包人和（或）承包人应按照合同约定的职责分工完成行政审批报送。因国家有关部门审批迟延造成工期延误的，</w:t>
      </w:r>
      <w:r>
        <w:rPr>
          <w:rFonts w:hint="eastAsia"/>
          <w:color w:val="auto"/>
          <w:szCs w:val="21"/>
          <w:highlight w:val="none"/>
        </w:rPr>
        <w:t>合同金额不调整</w:t>
      </w:r>
      <w:r>
        <w:rPr>
          <w:color w:val="auto"/>
          <w:szCs w:val="21"/>
          <w:highlight w:val="none"/>
        </w:rPr>
        <w:t>。</w:t>
      </w:r>
    </w:p>
    <w:p>
      <w:pPr>
        <w:shd w:val="clear" w:color="auto" w:fill="auto"/>
        <w:ind w:firstLine="420"/>
        <w:outlineLvl w:val="9"/>
        <w:rPr>
          <w:color w:val="auto"/>
          <w:szCs w:val="21"/>
          <w:highlight w:val="none"/>
        </w:rPr>
      </w:pPr>
      <w:r>
        <w:rPr>
          <w:color w:val="auto"/>
          <w:szCs w:val="21"/>
          <w:highlight w:val="none"/>
        </w:rPr>
        <w:t>12.1.1 发包人认为必要时，可通过监理人向承包人发出暂停工作的指示，承包人应按监理人指示暂停工作。由于发包人原因引起的暂停工作造成工期延误的，</w:t>
      </w:r>
      <w:r>
        <w:rPr>
          <w:rFonts w:hint="eastAsia"/>
          <w:color w:val="auto"/>
          <w:szCs w:val="21"/>
          <w:highlight w:val="none"/>
        </w:rPr>
        <w:t>合同金额不调整</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12.5暂停工作56天以上</w:t>
      </w:r>
    </w:p>
    <w:p>
      <w:pPr>
        <w:shd w:val="clear" w:color="auto" w:fill="auto"/>
        <w:ind w:firstLine="420"/>
        <w:outlineLvl w:val="9"/>
        <w:rPr>
          <w:color w:val="auto"/>
          <w:szCs w:val="21"/>
          <w:highlight w:val="none"/>
        </w:rPr>
      </w:pPr>
      <w:r>
        <w:rPr>
          <w:color w:val="auto"/>
          <w:szCs w:val="21"/>
          <w:highlight w:val="none"/>
        </w:rPr>
        <w:t>不适用。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13.5 清除不合格工程</w:t>
      </w:r>
    </w:p>
    <w:p>
      <w:pPr>
        <w:shd w:val="clear" w:color="auto" w:fill="auto"/>
        <w:ind w:firstLine="420"/>
        <w:outlineLvl w:val="9"/>
        <w:rPr>
          <w:color w:val="auto"/>
          <w:szCs w:val="21"/>
          <w:highlight w:val="none"/>
        </w:rPr>
      </w:pPr>
      <w:r>
        <w:rPr>
          <w:color w:val="auto"/>
          <w:szCs w:val="21"/>
          <w:highlight w:val="none"/>
        </w:rPr>
        <w:t>13.5.2 本条不适用。</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77" w:name="_Toc4627"/>
      <w:bookmarkStart w:id="478" w:name="_Toc13263"/>
      <w:bookmarkStart w:id="479" w:name="_Toc144327109"/>
      <w:r>
        <w:rPr>
          <w:rFonts w:ascii="Times New Roman" w:hAnsi="Times New Roman" w:cs="Times New Roman"/>
          <w:color w:val="auto"/>
          <w:sz w:val="21"/>
          <w:szCs w:val="21"/>
          <w:highlight w:val="none"/>
        </w:rPr>
        <w:t>15．变更</w:t>
      </w:r>
      <w:bookmarkEnd w:id="477"/>
      <w:bookmarkEnd w:id="478"/>
      <w:bookmarkEnd w:id="479"/>
    </w:p>
    <w:p>
      <w:pPr>
        <w:shd w:val="clear" w:color="auto" w:fill="auto"/>
        <w:ind w:firstLine="420"/>
        <w:outlineLvl w:val="9"/>
        <w:rPr>
          <w:rFonts w:hint="eastAsia"/>
          <w:color w:val="auto"/>
          <w:szCs w:val="21"/>
          <w:highlight w:val="none"/>
          <w:lang w:val="en-US" w:eastAsia="zh-CN"/>
        </w:rPr>
      </w:pPr>
      <w:r>
        <w:rPr>
          <w:rFonts w:hint="eastAsia"/>
          <w:color w:val="auto"/>
          <w:szCs w:val="21"/>
          <w:highlight w:val="none"/>
          <w:lang w:val="en-US" w:eastAsia="zh-CN"/>
        </w:rPr>
        <w:t>15.1 合同执行过程中出现以下情况，在甲方确认后，合同可以变更。</w:t>
      </w:r>
    </w:p>
    <w:p>
      <w:pPr>
        <w:shd w:val="clear" w:color="auto" w:fill="auto"/>
        <w:ind w:firstLine="420"/>
        <w:outlineLvl w:val="9"/>
        <w:rPr>
          <w:rFonts w:hint="eastAsia"/>
          <w:color w:val="auto"/>
          <w:szCs w:val="21"/>
          <w:highlight w:val="none"/>
          <w:lang w:val="en-US" w:eastAsia="zh-CN"/>
        </w:rPr>
      </w:pPr>
      <w:r>
        <w:rPr>
          <w:rFonts w:hint="eastAsia"/>
          <w:color w:val="auto"/>
          <w:szCs w:val="21"/>
          <w:highlight w:val="none"/>
          <w:lang w:val="en-US" w:eastAsia="zh-CN"/>
        </w:rPr>
        <w:t>（1）因云南锡业公司额外要求的非光伏发电项目接入所发生的变电站改造工程量。</w:t>
      </w:r>
    </w:p>
    <w:p>
      <w:pPr>
        <w:shd w:val="clear" w:color="auto" w:fill="auto"/>
        <w:ind w:firstLine="420"/>
        <w:outlineLvl w:val="9"/>
        <w:rPr>
          <w:rFonts w:hint="eastAsia"/>
          <w:color w:val="auto"/>
          <w:szCs w:val="21"/>
          <w:highlight w:val="none"/>
          <w:lang w:val="en-US" w:eastAsia="zh-CN"/>
        </w:rPr>
      </w:pPr>
      <w:r>
        <w:rPr>
          <w:rFonts w:hint="eastAsia"/>
          <w:color w:val="auto"/>
          <w:szCs w:val="21"/>
          <w:highlight w:val="none"/>
          <w:lang w:val="en-US" w:eastAsia="zh-CN"/>
        </w:rPr>
        <w:t>（2）因接入系统方案调整，导致的送出线路回路数量、电压等级、接入点位置等重大方案变更。</w:t>
      </w:r>
    </w:p>
    <w:p>
      <w:pPr>
        <w:shd w:val="clear" w:color="auto" w:fill="auto"/>
        <w:ind w:firstLine="420"/>
        <w:outlineLvl w:val="9"/>
        <w:rPr>
          <w:rFonts w:hint="eastAsia"/>
          <w:color w:val="auto"/>
          <w:szCs w:val="21"/>
          <w:highlight w:val="none"/>
          <w:lang w:val="en-US" w:eastAsia="zh-CN"/>
        </w:rPr>
      </w:pPr>
      <w:r>
        <w:rPr>
          <w:rFonts w:hint="eastAsia"/>
          <w:color w:val="auto"/>
          <w:szCs w:val="21"/>
          <w:highlight w:val="none"/>
          <w:lang w:val="en-US" w:eastAsia="zh-CN"/>
        </w:rPr>
        <w:t>（3）因送出线路路径发生重大调整，经双方协商同意的变更。</w:t>
      </w:r>
    </w:p>
    <w:p>
      <w:pPr>
        <w:shd w:val="clear" w:color="auto" w:fill="auto"/>
        <w:ind w:firstLine="420"/>
        <w:outlineLvl w:val="9"/>
        <w:rPr>
          <w:rFonts w:hint="default"/>
          <w:color w:val="auto"/>
          <w:szCs w:val="21"/>
          <w:highlight w:val="none"/>
          <w:lang w:val="en-US" w:eastAsia="zh-CN"/>
        </w:rPr>
      </w:pPr>
      <w:r>
        <w:rPr>
          <w:rFonts w:hint="eastAsia"/>
          <w:color w:val="auto"/>
          <w:szCs w:val="21"/>
          <w:highlight w:val="none"/>
          <w:lang w:val="en-US" w:eastAsia="zh-CN"/>
        </w:rPr>
        <w:t>（4）因外部建设条件发生重大变化，经双方协商同意的变更。</w:t>
      </w:r>
    </w:p>
    <w:p>
      <w:pPr>
        <w:shd w:val="clear" w:color="auto" w:fill="auto"/>
        <w:ind w:firstLine="420"/>
        <w:outlineLvl w:val="9"/>
        <w:rPr>
          <w:rFonts w:hint="eastAsia"/>
          <w:color w:val="auto"/>
          <w:szCs w:val="21"/>
          <w:highlight w:val="none"/>
          <w:lang w:eastAsia="zh-CN"/>
        </w:rPr>
      </w:pPr>
      <w:r>
        <w:rPr>
          <w:rFonts w:hint="eastAsia"/>
          <w:color w:val="auto"/>
          <w:szCs w:val="21"/>
          <w:highlight w:val="none"/>
          <w:lang w:val="en-US" w:eastAsia="zh-CN"/>
        </w:rPr>
        <w:t>（5）若发生上述情形的，双方另行协商变更合同事宜，并签订书面补充协议。</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80" w:name="_Toc26764"/>
      <w:bookmarkStart w:id="481" w:name="_Toc7798"/>
      <w:bookmarkStart w:id="482" w:name="_Toc144327110"/>
      <w:r>
        <w:rPr>
          <w:rFonts w:ascii="Times New Roman" w:hAnsi="Times New Roman" w:cs="Times New Roman"/>
          <w:color w:val="auto"/>
          <w:sz w:val="21"/>
          <w:szCs w:val="21"/>
          <w:highlight w:val="none"/>
        </w:rPr>
        <w:t>16．价格调整</w:t>
      </w:r>
      <w:bookmarkEnd w:id="480"/>
      <w:bookmarkEnd w:id="481"/>
      <w:bookmarkEnd w:id="482"/>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16.1 物价波动引起的调整</w:t>
      </w:r>
    </w:p>
    <w:p>
      <w:pPr>
        <w:shd w:val="clear" w:color="auto" w:fill="auto"/>
        <w:ind w:firstLine="420"/>
        <w:outlineLvl w:val="9"/>
        <w:rPr>
          <w:color w:val="auto"/>
          <w:szCs w:val="21"/>
          <w:highlight w:val="none"/>
        </w:rPr>
      </w:pPr>
      <w:r>
        <w:rPr>
          <w:color w:val="auto"/>
          <w:szCs w:val="21"/>
          <w:highlight w:val="none"/>
        </w:rPr>
        <w:t>物价波动引起的调整：</w:t>
      </w:r>
      <w:r>
        <w:rPr>
          <w:rFonts w:hint="eastAsia"/>
          <w:color w:val="auto"/>
          <w:szCs w:val="21"/>
          <w:highlight w:val="none"/>
          <w:u w:val="single"/>
        </w:rPr>
        <w:t>执行通用条款B</w:t>
      </w:r>
      <w:r>
        <w:rPr>
          <w:color w:val="auto"/>
          <w:szCs w:val="21"/>
          <w:highlight w:val="none"/>
        </w:rPr>
        <w:t>。</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16.2 法律变化引起的调整</w:t>
      </w:r>
    </w:p>
    <w:p>
      <w:pPr>
        <w:shd w:val="clear" w:color="auto" w:fill="auto"/>
        <w:ind w:firstLine="420"/>
        <w:outlineLvl w:val="9"/>
        <w:rPr>
          <w:rFonts w:hint="eastAsia"/>
          <w:color w:val="auto"/>
          <w:szCs w:val="21"/>
          <w:highlight w:val="none"/>
        </w:rPr>
      </w:pPr>
      <w:r>
        <w:rPr>
          <w:rFonts w:hint="eastAsia"/>
          <w:color w:val="auto"/>
          <w:szCs w:val="21"/>
          <w:highlight w:val="none"/>
        </w:rPr>
        <w:t>不调整。</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83" w:name="_Toc11054"/>
      <w:bookmarkStart w:id="484" w:name="_Toc144327111"/>
      <w:bookmarkStart w:id="485" w:name="_Toc29674"/>
      <w:r>
        <w:rPr>
          <w:rFonts w:ascii="Times New Roman" w:hAnsi="Times New Roman" w:cs="Times New Roman"/>
          <w:color w:val="auto"/>
          <w:sz w:val="21"/>
          <w:szCs w:val="21"/>
          <w:highlight w:val="none"/>
        </w:rPr>
        <w:t>17．合同价格与支付</w:t>
      </w:r>
      <w:bookmarkEnd w:id="483"/>
      <w:bookmarkEnd w:id="484"/>
      <w:bookmarkEnd w:id="485"/>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17.1 合同价格</w:t>
      </w:r>
    </w:p>
    <w:p>
      <w:pPr>
        <w:pStyle w:val="485"/>
        <w:shd w:val="clear" w:color="auto" w:fill="auto"/>
        <w:spacing w:line="360" w:lineRule="auto"/>
        <w:outlineLvl w:val="9"/>
        <w:rPr>
          <w:rFonts w:ascii="Times New Roman" w:hAnsi="Times New Roman" w:cs="Times New Roman"/>
          <w:color w:val="auto"/>
          <w:highlight w:val="none"/>
        </w:rPr>
      </w:pPr>
      <w:r>
        <w:rPr>
          <w:rFonts w:hint="eastAsia" w:ascii="Times New Roman" w:hAnsi="Times New Roman" w:cs="Times New Roman"/>
          <w:color w:val="auto"/>
          <w:highlight w:val="none"/>
        </w:rPr>
        <w:t xml:space="preserve">17.1.1 </w:t>
      </w:r>
      <w:r>
        <w:rPr>
          <w:rFonts w:ascii="Times New Roman" w:hAnsi="Times New Roman" w:cs="Times New Roman"/>
          <w:color w:val="auto"/>
          <w:highlight w:val="none"/>
        </w:rPr>
        <w:t>本合同价款采用</w:t>
      </w:r>
      <w:r>
        <w:rPr>
          <w:rFonts w:hint="eastAsia" w:ascii="Times New Roman" w:hAnsi="Times New Roman" w:cs="Times New Roman"/>
          <w:color w:val="auto"/>
          <w:highlight w:val="none"/>
        </w:rPr>
        <w:t>总价包干</w:t>
      </w:r>
      <w:r>
        <w:rPr>
          <w:rFonts w:ascii="Times New Roman" w:hAnsi="Times New Roman" w:cs="Times New Roman"/>
          <w:color w:val="auto"/>
          <w:highlight w:val="none"/>
        </w:rPr>
        <w:t>方式确定：</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风险费用的计算方法：</w:t>
      </w:r>
      <w:r>
        <w:rPr>
          <w:rFonts w:ascii="Times New Roman" w:hAnsi="Times New Roman" w:cs="Times New Roman"/>
          <w:color w:val="auto"/>
          <w:highlight w:val="none"/>
          <w:u w:val="single"/>
        </w:rPr>
        <w:t>风险费用已含在报价内，不予调整。</w:t>
      </w:r>
    </w:p>
    <w:p>
      <w:pPr>
        <w:pStyle w:val="485"/>
        <w:shd w:val="clear" w:color="auto" w:fill="auto"/>
        <w:spacing w:line="360" w:lineRule="auto"/>
        <w:outlineLvl w:val="9"/>
        <w:rPr>
          <w:rFonts w:ascii="Times New Roman" w:hAnsi="Times New Roman" w:cs="Times New Roman"/>
          <w:color w:val="auto"/>
          <w:highlight w:val="none"/>
          <w:u w:val="single"/>
        </w:rPr>
      </w:pPr>
      <w:r>
        <w:rPr>
          <w:rFonts w:ascii="Times New Roman" w:hAnsi="Times New Roman" w:cs="Times New Roman"/>
          <w:color w:val="auto"/>
          <w:highlight w:val="none"/>
        </w:rPr>
        <w:t>风险范围以外合同价款调整方法：</w:t>
      </w:r>
      <w:r>
        <w:rPr>
          <w:rFonts w:ascii="Times New Roman" w:hAnsi="Times New Roman" w:cs="Times New Roman"/>
          <w:color w:val="auto"/>
          <w:highlight w:val="none"/>
          <w:u w:val="single"/>
        </w:rPr>
        <w:t>由承包人自行承担。</w:t>
      </w:r>
    </w:p>
    <w:p>
      <w:pPr>
        <w:shd w:val="clear" w:color="auto" w:fill="auto"/>
        <w:ind w:firstLine="420"/>
        <w:outlineLvl w:val="9"/>
        <w:rPr>
          <w:color w:val="auto"/>
          <w:szCs w:val="21"/>
          <w:highlight w:val="none"/>
        </w:rPr>
      </w:pPr>
      <w:r>
        <w:rPr>
          <w:rFonts w:hint="eastAsia"/>
          <w:color w:val="auto"/>
          <w:highlight w:val="none"/>
        </w:rPr>
        <w:t xml:space="preserve">17.1.2 </w:t>
      </w:r>
      <w:r>
        <w:rPr>
          <w:color w:val="auto"/>
          <w:szCs w:val="21"/>
          <w:highlight w:val="none"/>
        </w:rPr>
        <w:t>合同总价（</w:t>
      </w:r>
      <w:r>
        <w:rPr>
          <w:rFonts w:hint="eastAsia"/>
          <w:color w:val="auto"/>
          <w:szCs w:val="21"/>
          <w:highlight w:val="none"/>
        </w:rPr>
        <w:t>含税</w:t>
      </w:r>
      <w:r>
        <w:rPr>
          <w:color w:val="auto"/>
          <w:szCs w:val="21"/>
          <w:highlight w:val="none"/>
        </w:rPr>
        <w:t>）：       元（¥      ）。其中：</w:t>
      </w:r>
    </w:p>
    <w:p>
      <w:pPr>
        <w:shd w:val="clear" w:color="auto" w:fill="auto"/>
        <w:wordWrap w:val="0"/>
        <w:ind w:firstLine="422"/>
        <w:outlineLvl w:val="9"/>
        <w:rPr>
          <w:color w:val="auto"/>
          <w:szCs w:val="21"/>
          <w:highlight w:val="none"/>
        </w:rPr>
      </w:pPr>
      <w:r>
        <w:rPr>
          <w:b/>
          <w:color w:val="auto"/>
          <w:szCs w:val="21"/>
          <w:highlight w:val="none"/>
        </w:rPr>
        <w:t>勘察设计</w:t>
      </w:r>
      <w:r>
        <w:rPr>
          <w:rFonts w:hint="eastAsia"/>
          <w:b/>
          <w:color w:val="auto"/>
          <w:szCs w:val="21"/>
          <w:highlight w:val="none"/>
        </w:rPr>
        <w:t>费用</w:t>
      </w:r>
      <w:r>
        <w:rPr>
          <w:color w:val="auto"/>
          <w:szCs w:val="21"/>
          <w:highlight w:val="none"/>
        </w:rPr>
        <w:t>人民币（</w:t>
      </w:r>
      <w:r>
        <w:rPr>
          <w:rFonts w:hint="eastAsia"/>
          <w:color w:val="auto"/>
          <w:szCs w:val="21"/>
          <w:highlight w:val="none"/>
        </w:rPr>
        <w:t>含税</w:t>
      </w:r>
      <w:r>
        <w:rPr>
          <w:color w:val="auto"/>
          <w:szCs w:val="21"/>
          <w:highlight w:val="none"/>
        </w:rPr>
        <w:t>）</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w:t>
      </w:r>
    </w:p>
    <w:p>
      <w:pPr>
        <w:shd w:val="clear" w:color="auto" w:fill="auto"/>
        <w:wordWrap w:val="0"/>
        <w:ind w:firstLine="422"/>
        <w:outlineLvl w:val="9"/>
        <w:rPr>
          <w:color w:val="auto"/>
          <w:szCs w:val="21"/>
          <w:highlight w:val="none"/>
        </w:rPr>
      </w:pPr>
      <w:r>
        <w:rPr>
          <w:b/>
          <w:color w:val="auto"/>
          <w:szCs w:val="21"/>
          <w:highlight w:val="none"/>
        </w:rPr>
        <w:t>建筑安装工程</w:t>
      </w:r>
      <w:r>
        <w:rPr>
          <w:rFonts w:hint="eastAsia"/>
          <w:b/>
          <w:color w:val="auto"/>
          <w:szCs w:val="21"/>
          <w:highlight w:val="none"/>
        </w:rPr>
        <w:t>费</w:t>
      </w:r>
      <w:r>
        <w:rPr>
          <w:color w:val="auto"/>
          <w:szCs w:val="21"/>
          <w:highlight w:val="none"/>
        </w:rPr>
        <w:t>人民币（</w:t>
      </w:r>
      <w:r>
        <w:rPr>
          <w:rFonts w:hint="eastAsia"/>
          <w:color w:val="auto"/>
          <w:szCs w:val="21"/>
          <w:highlight w:val="none"/>
        </w:rPr>
        <w:t>含税</w:t>
      </w:r>
      <w:r>
        <w:rPr>
          <w:color w:val="auto"/>
          <w:szCs w:val="21"/>
          <w:highlight w:val="none"/>
        </w:rPr>
        <w:t>）</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w:t>
      </w:r>
    </w:p>
    <w:p>
      <w:pPr>
        <w:shd w:val="clear" w:color="auto" w:fill="auto"/>
        <w:ind w:firstLine="420"/>
        <w:outlineLvl w:val="9"/>
        <w:rPr>
          <w:color w:val="auto"/>
          <w:szCs w:val="21"/>
          <w:highlight w:val="none"/>
          <w:u w:val="single"/>
        </w:rPr>
      </w:pPr>
      <w:r>
        <w:rPr>
          <w:rFonts w:hint="eastAsia"/>
          <w:color w:val="auto"/>
          <w:szCs w:val="21"/>
          <w:highlight w:val="none"/>
          <w:u w:val="single"/>
        </w:rPr>
        <w:t xml:space="preserve">17.1.3 </w:t>
      </w:r>
      <w:r>
        <w:rPr>
          <w:color w:val="auto"/>
          <w:szCs w:val="21"/>
          <w:highlight w:val="none"/>
          <w:u w:val="single"/>
        </w:rPr>
        <w:t>合同执行过程中，如发生国家财税政策调整，本合同含税价不因增值税税率变化而调整。</w:t>
      </w:r>
    </w:p>
    <w:p>
      <w:pPr>
        <w:shd w:val="clear" w:color="auto" w:fill="auto"/>
        <w:ind w:firstLine="420"/>
        <w:outlineLvl w:val="9"/>
        <w:rPr>
          <w:rFonts w:hint="default" w:eastAsia="宋体"/>
          <w:color w:val="auto"/>
          <w:szCs w:val="21"/>
          <w:highlight w:val="none"/>
          <w:u w:val="single"/>
          <w:lang w:val="en-US" w:eastAsia="zh-CN"/>
        </w:rPr>
      </w:pPr>
      <w:r>
        <w:rPr>
          <w:rFonts w:hint="default"/>
          <w:color w:val="auto"/>
          <w:szCs w:val="21"/>
          <w:highlight w:val="none"/>
          <w:u w:val="single"/>
          <w:lang w:val="en-US" w:eastAsia="zh-CN"/>
        </w:rPr>
        <w:t>17.1.4</w:t>
      </w:r>
      <w:r>
        <w:rPr>
          <w:rFonts w:ascii="Times New Roman" w:hAnsi="Times New Roman" w:eastAsia="宋体" w:cs="Times New Roman"/>
          <w:i w:val="0"/>
          <w:iCs w:val="0"/>
          <w:caps w:val="0"/>
          <w:color w:val="auto"/>
          <w:spacing w:val="0"/>
          <w:sz w:val="21"/>
          <w:szCs w:val="21"/>
          <w:highlight w:val="none"/>
          <w:u w:val="single"/>
          <w:shd w:val="clear" w:color="auto" w:fill="FFFFFF"/>
        </w:rPr>
        <w:t>因本项目为总价包干计价模式，</w:t>
      </w:r>
      <w:r>
        <w:rPr>
          <w:rFonts w:hint="eastAsia" w:cs="Times New Roman"/>
          <w:i w:val="0"/>
          <w:iCs w:val="0"/>
          <w:caps w:val="0"/>
          <w:color w:val="auto"/>
          <w:spacing w:val="0"/>
          <w:sz w:val="21"/>
          <w:szCs w:val="21"/>
          <w:highlight w:val="none"/>
          <w:u w:val="single"/>
          <w:shd w:val="clear" w:color="auto" w:fill="FFFFFF"/>
          <w:lang w:val="en-US" w:eastAsia="zh-CN"/>
        </w:rPr>
        <w:t>竞谈文件</w:t>
      </w:r>
      <w:r>
        <w:rPr>
          <w:rFonts w:ascii="Times New Roman" w:hAnsi="Times New Roman" w:eastAsia="宋体" w:cs="Times New Roman"/>
          <w:i w:val="0"/>
          <w:iCs w:val="0"/>
          <w:caps w:val="0"/>
          <w:color w:val="auto"/>
          <w:spacing w:val="0"/>
          <w:sz w:val="21"/>
          <w:szCs w:val="21"/>
          <w:highlight w:val="none"/>
          <w:u w:val="single"/>
          <w:shd w:val="clear" w:color="auto" w:fill="FFFFFF"/>
        </w:rPr>
        <w:t>中</w:t>
      </w:r>
      <w:r>
        <w:rPr>
          <w:rFonts w:hint="eastAsia" w:cs="Times New Roman"/>
          <w:i w:val="0"/>
          <w:iCs w:val="0"/>
          <w:caps w:val="0"/>
          <w:color w:val="auto"/>
          <w:spacing w:val="0"/>
          <w:sz w:val="21"/>
          <w:szCs w:val="21"/>
          <w:highlight w:val="none"/>
          <w:u w:val="single"/>
          <w:shd w:val="clear" w:color="auto" w:fill="FFFFFF"/>
          <w:lang w:val="en-US" w:eastAsia="zh-CN"/>
        </w:rPr>
        <w:t>若有的设计图纸及</w:t>
      </w:r>
      <w:r>
        <w:rPr>
          <w:rFonts w:ascii="Times New Roman" w:hAnsi="Times New Roman" w:eastAsia="宋体" w:cs="Times New Roman"/>
          <w:i w:val="0"/>
          <w:iCs w:val="0"/>
          <w:caps w:val="0"/>
          <w:color w:val="auto"/>
          <w:spacing w:val="0"/>
          <w:sz w:val="21"/>
          <w:szCs w:val="21"/>
          <w:highlight w:val="none"/>
          <w:u w:val="single"/>
          <w:shd w:val="clear" w:color="auto" w:fill="FFFFFF"/>
        </w:rPr>
        <w:t>工程量仅为参考工程量，在招标文件约定的招标范围内：工程量及综合单价及列项（错项、漏项）风险均由承包人自行承担。在招标范围内发包人不履行包干总价之外的任何支付义务。</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17.2 预付款</w:t>
      </w:r>
    </w:p>
    <w:p>
      <w:pPr>
        <w:shd w:val="clear" w:color="auto" w:fill="auto"/>
        <w:ind w:firstLine="420"/>
        <w:outlineLvl w:val="9"/>
        <w:rPr>
          <w:rFonts w:hint="eastAsia" w:eastAsia="宋体"/>
          <w:color w:val="auto"/>
          <w:szCs w:val="21"/>
          <w:highlight w:val="none"/>
          <w:u w:val="single"/>
          <w:lang w:val="en-US" w:eastAsia="zh-CN"/>
        </w:rPr>
      </w:pPr>
      <w:r>
        <w:rPr>
          <w:rFonts w:hint="eastAsia"/>
          <w:color w:val="auto"/>
          <w:szCs w:val="21"/>
          <w:highlight w:val="none"/>
          <w:lang w:val="en-US" w:eastAsia="zh-CN"/>
        </w:rPr>
        <w:t>本项目不设预付款。</w:t>
      </w:r>
    </w:p>
    <w:p>
      <w:pPr>
        <w:shd w:val="clear" w:color="auto" w:fill="auto"/>
        <w:ind w:firstLine="420"/>
        <w:outlineLvl w:val="9"/>
        <w:rPr>
          <w:rFonts w:hint="eastAsia"/>
          <w:color w:val="auto"/>
          <w:szCs w:val="21"/>
          <w:highlight w:val="none"/>
        </w:rPr>
      </w:pP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17.3 工程进度付款</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增加</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17.3.7工程进度款按以下条款支付：</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（1）勘察设计费</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按照以下约定提供勘察设计阶段性成果文件的时间、对应的工作量进行分解。</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1）施工图全部完成后，并完成</w:t>
      </w:r>
      <w:r>
        <w:rPr>
          <w:rFonts w:hint="eastAsia"/>
          <w:color w:val="auto"/>
          <w:szCs w:val="21"/>
          <w:highlight w:val="none"/>
          <w:lang w:val="en-US" w:eastAsia="zh-CN"/>
        </w:rPr>
        <w:t>电网公司</w:t>
      </w:r>
      <w:r>
        <w:rPr>
          <w:rFonts w:hint="eastAsia"/>
          <w:color w:val="auto"/>
          <w:szCs w:val="21"/>
          <w:highlight w:val="none"/>
        </w:rPr>
        <w:t>施工图审查程序后，承包人提供勘察设计合同价金额</w:t>
      </w:r>
      <w:r>
        <w:rPr>
          <w:rFonts w:hint="eastAsia"/>
          <w:color w:val="auto"/>
          <w:szCs w:val="21"/>
          <w:highlight w:val="none"/>
          <w:lang w:val="en-US" w:eastAsia="zh-CN"/>
        </w:rPr>
        <w:t>6</w:t>
      </w:r>
      <w:r>
        <w:rPr>
          <w:rFonts w:hint="eastAsia"/>
          <w:color w:val="auto"/>
          <w:szCs w:val="21"/>
          <w:highlight w:val="none"/>
        </w:rPr>
        <w:t>0%的增值税专用发票，发包人向承包人支付勘察设计合同价金额的</w:t>
      </w:r>
      <w:r>
        <w:rPr>
          <w:rFonts w:hint="eastAsia"/>
          <w:color w:val="auto"/>
          <w:szCs w:val="21"/>
          <w:highlight w:val="none"/>
          <w:lang w:val="en-US" w:eastAsia="zh-CN"/>
        </w:rPr>
        <w:t>6</w:t>
      </w:r>
      <w:r>
        <w:rPr>
          <w:rFonts w:hint="eastAsia"/>
          <w:color w:val="auto"/>
          <w:szCs w:val="21"/>
          <w:highlight w:val="none"/>
        </w:rPr>
        <w:t>0%；</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2）完成工程结算审核</w:t>
      </w:r>
      <w:r>
        <w:rPr>
          <w:rFonts w:hint="eastAsia"/>
          <w:color w:val="auto"/>
          <w:szCs w:val="21"/>
          <w:highlight w:val="none"/>
          <w:lang w:val="en-US" w:eastAsia="zh-CN"/>
        </w:rPr>
        <w:t>交付</w:t>
      </w:r>
      <w:r>
        <w:rPr>
          <w:rFonts w:hint="eastAsia"/>
          <w:color w:val="auto"/>
          <w:szCs w:val="21"/>
          <w:highlight w:val="none"/>
        </w:rPr>
        <w:t>竣工图后，承包人应提供发票金额至勘察设计合同价金额的</w:t>
      </w:r>
      <w:r>
        <w:rPr>
          <w:rFonts w:hint="eastAsia"/>
          <w:color w:val="auto"/>
          <w:szCs w:val="21"/>
          <w:highlight w:val="none"/>
          <w:lang w:val="en-US" w:eastAsia="zh-CN"/>
        </w:rPr>
        <w:t>100</w:t>
      </w:r>
      <w:r>
        <w:rPr>
          <w:rFonts w:hint="eastAsia"/>
          <w:color w:val="auto"/>
          <w:szCs w:val="21"/>
          <w:highlight w:val="none"/>
        </w:rPr>
        <w:t>%，发包人支付剩余全部勘察设计合同价金额；</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）承包人应向发包人提供符合要求的增值税专用发票。</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rPr>
        <w:t>）建安工程款的支付（含与工程进度有关的其他费用，含安全文明施工措施费在内）</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1）进度付款申请单</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建安工程款按</w:t>
      </w:r>
      <w:r>
        <w:rPr>
          <w:rFonts w:hint="eastAsia"/>
          <w:color w:val="auto"/>
          <w:szCs w:val="21"/>
          <w:highlight w:val="none"/>
          <w:lang w:val="en-US" w:eastAsia="zh-CN"/>
        </w:rPr>
        <w:t>下述约定</w:t>
      </w:r>
      <w:r>
        <w:rPr>
          <w:rFonts w:hint="eastAsia"/>
          <w:color w:val="auto"/>
          <w:szCs w:val="21"/>
          <w:highlight w:val="none"/>
        </w:rPr>
        <w:t>进度支付，约定承包人提供的进度付款申请单为</w:t>
      </w:r>
      <w:r>
        <w:rPr>
          <w:rFonts w:hint="eastAsia"/>
          <w:color w:val="auto"/>
          <w:szCs w:val="21"/>
          <w:highlight w:val="none"/>
          <w:lang w:val="en-US" w:eastAsia="zh-CN"/>
        </w:rPr>
        <w:t>3</w:t>
      </w:r>
      <w:r>
        <w:rPr>
          <w:rFonts w:hint="eastAsia"/>
          <w:color w:val="auto"/>
          <w:szCs w:val="21"/>
          <w:highlight w:val="none"/>
        </w:rPr>
        <w:t>份。</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2）工程款的支付</w:t>
      </w:r>
    </w:p>
    <w:p>
      <w:pPr>
        <w:shd w:val="clear" w:color="auto" w:fill="auto"/>
        <w:ind w:firstLine="420"/>
        <w:outlineLvl w:val="9"/>
        <w:rPr>
          <w:rFonts w:hint="eastAsia"/>
          <w:color w:val="auto"/>
          <w:szCs w:val="21"/>
          <w:highlight w:val="none"/>
          <w:lang w:val="en-US" w:eastAsia="zh-CN"/>
        </w:rPr>
      </w:pPr>
      <w:r>
        <w:rPr>
          <w:rFonts w:hint="eastAsia"/>
          <w:color w:val="auto"/>
          <w:szCs w:val="21"/>
          <w:highlight w:val="none"/>
          <w:lang w:val="en-US" w:eastAsia="zh-CN"/>
        </w:rPr>
        <w:t>a.合同签订并组织实际性进场施工，提供主要材料设备采购计划后10个工作日内，</w:t>
      </w:r>
      <w:r>
        <w:rPr>
          <w:rFonts w:hint="eastAsia"/>
          <w:color w:val="auto"/>
          <w:szCs w:val="21"/>
          <w:highlight w:val="none"/>
        </w:rPr>
        <w:t>承包人提供建安工程费合同价</w:t>
      </w:r>
      <w:r>
        <w:rPr>
          <w:rFonts w:hint="eastAsia"/>
          <w:color w:val="auto"/>
          <w:szCs w:val="21"/>
          <w:highlight w:val="none"/>
          <w:lang w:val="en-US" w:eastAsia="zh-CN"/>
        </w:rPr>
        <w:t>3</w:t>
      </w:r>
      <w:r>
        <w:rPr>
          <w:rFonts w:hint="eastAsia"/>
          <w:color w:val="auto"/>
          <w:szCs w:val="21"/>
          <w:highlight w:val="none"/>
        </w:rPr>
        <w:t>0%的增值税专用发票</w:t>
      </w:r>
      <w:r>
        <w:rPr>
          <w:rFonts w:hint="eastAsia"/>
          <w:color w:val="auto"/>
          <w:szCs w:val="21"/>
          <w:highlight w:val="none"/>
          <w:lang w:eastAsia="zh-CN"/>
        </w:rPr>
        <w:t>，</w:t>
      </w:r>
      <w:r>
        <w:rPr>
          <w:rFonts w:hint="eastAsia"/>
          <w:color w:val="auto"/>
          <w:szCs w:val="21"/>
          <w:highlight w:val="none"/>
          <w:lang w:val="en-US" w:eastAsia="zh-CN"/>
        </w:rPr>
        <w:t>甲方支付合同价款中</w:t>
      </w:r>
      <w:r>
        <w:rPr>
          <w:rFonts w:hint="eastAsia"/>
          <w:color w:val="auto"/>
          <w:szCs w:val="21"/>
          <w:highlight w:val="none"/>
        </w:rPr>
        <w:t>建安工程款</w:t>
      </w:r>
      <w:r>
        <w:rPr>
          <w:rFonts w:hint="eastAsia"/>
          <w:color w:val="auto"/>
          <w:szCs w:val="21"/>
          <w:highlight w:val="none"/>
          <w:lang w:val="en-US" w:eastAsia="zh-CN"/>
        </w:rPr>
        <w:t>的30%。</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lang w:val="en-US" w:eastAsia="zh-CN"/>
        </w:rPr>
        <w:t>b</w:t>
      </w:r>
      <w:r>
        <w:rPr>
          <w:rFonts w:hint="eastAsia"/>
          <w:color w:val="auto"/>
          <w:szCs w:val="21"/>
          <w:highlight w:val="none"/>
        </w:rPr>
        <w:t>、</w:t>
      </w:r>
      <w:r>
        <w:rPr>
          <w:rFonts w:hint="eastAsia"/>
          <w:color w:val="auto"/>
          <w:szCs w:val="21"/>
          <w:highlight w:val="none"/>
          <w:lang w:val="en-US" w:eastAsia="zh-CN"/>
        </w:rPr>
        <w:t>完成全部输电线路塔基、架空线路架设、环网柜基础施工后</w:t>
      </w:r>
      <w:r>
        <w:rPr>
          <w:rFonts w:hint="eastAsia"/>
          <w:color w:val="auto"/>
          <w:szCs w:val="21"/>
          <w:highlight w:val="none"/>
        </w:rPr>
        <w:t>，</w:t>
      </w:r>
      <w:r>
        <w:rPr>
          <w:rFonts w:hint="eastAsia"/>
          <w:color w:val="auto"/>
          <w:szCs w:val="21"/>
          <w:highlight w:val="none"/>
          <w:lang w:val="en-US" w:eastAsia="zh-CN"/>
        </w:rPr>
        <w:t>并在环网柜、电缆等主要材料到位后，</w:t>
      </w:r>
      <w:r>
        <w:rPr>
          <w:rFonts w:hint="eastAsia"/>
          <w:color w:val="auto"/>
          <w:szCs w:val="21"/>
          <w:highlight w:val="none"/>
        </w:rPr>
        <w:t>承包人提供建安工程费合同价</w:t>
      </w:r>
      <w:r>
        <w:rPr>
          <w:rFonts w:hint="eastAsia"/>
          <w:color w:val="auto"/>
          <w:szCs w:val="21"/>
          <w:highlight w:val="none"/>
          <w:lang w:val="en-US" w:eastAsia="zh-CN"/>
        </w:rPr>
        <w:t>3</w:t>
      </w:r>
      <w:r>
        <w:rPr>
          <w:rFonts w:hint="eastAsia"/>
          <w:color w:val="auto"/>
          <w:szCs w:val="21"/>
          <w:highlight w:val="none"/>
        </w:rPr>
        <w:t>0%的增值税专用发票，发包人向承包人支付建安工程费合同价的</w:t>
      </w:r>
      <w:r>
        <w:rPr>
          <w:rFonts w:hint="eastAsia"/>
          <w:color w:val="auto"/>
          <w:szCs w:val="21"/>
          <w:highlight w:val="none"/>
          <w:lang w:val="en-US" w:eastAsia="zh-CN"/>
        </w:rPr>
        <w:t>3</w:t>
      </w:r>
      <w:r>
        <w:rPr>
          <w:rFonts w:hint="eastAsia"/>
          <w:color w:val="auto"/>
          <w:szCs w:val="21"/>
          <w:highlight w:val="none"/>
        </w:rPr>
        <w:t>0%；</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lang w:val="en-US" w:eastAsia="zh-CN"/>
        </w:rPr>
        <w:t>c</w:t>
      </w:r>
      <w:r>
        <w:rPr>
          <w:rFonts w:hint="eastAsia"/>
          <w:color w:val="auto"/>
          <w:szCs w:val="21"/>
          <w:highlight w:val="none"/>
        </w:rPr>
        <w:t>、</w:t>
      </w:r>
      <w:r>
        <w:rPr>
          <w:rFonts w:hint="eastAsia"/>
          <w:color w:val="auto"/>
          <w:szCs w:val="21"/>
          <w:highlight w:val="none"/>
          <w:lang w:val="en-US" w:eastAsia="zh-CN"/>
        </w:rPr>
        <w:t>送出工程通电并</w:t>
      </w:r>
      <w:r>
        <w:rPr>
          <w:rFonts w:hint="eastAsia"/>
          <w:color w:val="auto"/>
          <w:szCs w:val="21"/>
          <w:highlight w:val="none"/>
        </w:rPr>
        <w:t>通过启动试运验收，工程试运行结束</w:t>
      </w:r>
      <w:r>
        <w:rPr>
          <w:rFonts w:hint="eastAsia"/>
          <w:color w:val="auto"/>
          <w:szCs w:val="21"/>
          <w:highlight w:val="none"/>
          <w:lang w:val="en-US" w:eastAsia="zh-CN"/>
        </w:rPr>
        <w:t>后</w:t>
      </w:r>
      <w:r>
        <w:rPr>
          <w:rFonts w:hint="eastAsia"/>
          <w:color w:val="auto"/>
          <w:szCs w:val="21"/>
          <w:highlight w:val="none"/>
        </w:rPr>
        <w:t>，承包人提供建安工程费合同价</w:t>
      </w:r>
      <w:r>
        <w:rPr>
          <w:rFonts w:hint="eastAsia"/>
          <w:color w:val="auto"/>
          <w:szCs w:val="21"/>
          <w:highlight w:val="none"/>
          <w:lang w:val="en-US" w:eastAsia="zh-CN"/>
        </w:rPr>
        <w:t>15</w:t>
      </w:r>
      <w:r>
        <w:rPr>
          <w:rFonts w:hint="eastAsia"/>
          <w:color w:val="auto"/>
          <w:szCs w:val="21"/>
          <w:highlight w:val="none"/>
        </w:rPr>
        <w:t>%的增值税专用发票，向承包人支付建安工程费合同价的</w:t>
      </w:r>
      <w:r>
        <w:rPr>
          <w:rFonts w:hint="eastAsia"/>
          <w:color w:val="auto"/>
          <w:szCs w:val="21"/>
          <w:highlight w:val="none"/>
          <w:lang w:val="en-US" w:eastAsia="zh-CN"/>
        </w:rPr>
        <w:t>15</w:t>
      </w:r>
      <w:r>
        <w:rPr>
          <w:rFonts w:hint="eastAsia"/>
          <w:color w:val="auto"/>
          <w:szCs w:val="21"/>
          <w:highlight w:val="none"/>
        </w:rPr>
        <w:t>%。</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3）</w:t>
      </w:r>
      <w:r>
        <w:rPr>
          <w:rFonts w:hint="eastAsia"/>
          <w:color w:val="auto"/>
          <w:szCs w:val="21"/>
          <w:highlight w:val="none"/>
          <w:lang w:val="en-US" w:eastAsia="zh-CN"/>
        </w:rPr>
        <w:t>工程移交生产后并</w:t>
      </w:r>
      <w:r>
        <w:rPr>
          <w:rFonts w:hint="eastAsia"/>
          <w:color w:val="auto"/>
          <w:szCs w:val="21"/>
          <w:highlight w:val="none"/>
        </w:rPr>
        <w:t>完成工程结算审核，承包人提供</w:t>
      </w:r>
      <w:r>
        <w:rPr>
          <w:rFonts w:hint="eastAsia"/>
          <w:color w:val="auto"/>
          <w:szCs w:val="21"/>
          <w:highlight w:val="none"/>
          <w:lang w:val="en-US" w:eastAsia="zh-CN"/>
        </w:rPr>
        <w:t>对应支付金额的</w:t>
      </w:r>
      <w:r>
        <w:rPr>
          <w:rFonts w:hint="eastAsia"/>
          <w:color w:val="auto"/>
          <w:szCs w:val="21"/>
          <w:highlight w:val="none"/>
        </w:rPr>
        <w:t>增值税专用发票，向承包人支付至建安工程费合同价的97%。</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付款前承包人须提供以下材料：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①最终结清申请单，并提供相关证明材料。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②对应的增值税专用发票，并说明款项名称、金额及合同号等。</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③承包人应移交给发包人的所有档案材料。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④合同规定的其他材料。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4）项目整体在缺陷责任期满且合同范围内所有责任义务履行完毕，发包人凭承包人提交的下述资料审核无误后28天内无息退还质量保证金。</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付款前承包人须提供以下材料：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①最终结清申请单，并提供相关证明材料。</w:t>
      </w:r>
    </w:p>
    <w:p>
      <w:pPr>
        <w:shd w:val="clear" w:color="auto" w:fill="auto"/>
        <w:tabs>
          <w:tab w:val="left" w:pos="5670"/>
        </w:tabs>
        <w:ind w:firstLine="420"/>
        <w:outlineLvl w:val="9"/>
        <w:rPr>
          <w:rFonts w:hint="eastAsia"/>
          <w:color w:val="auto"/>
          <w:szCs w:val="21"/>
          <w:highlight w:val="none"/>
        </w:rPr>
      </w:pPr>
      <w:r>
        <w:rPr>
          <w:rFonts w:hint="eastAsia"/>
          <w:color w:val="auto"/>
          <w:szCs w:val="21"/>
          <w:highlight w:val="none"/>
        </w:rPr>
        <w:t>②发包人签发的缺陷责任期终止证书。</w:t>
      </w:r>
    </w:p>
    <w:p>
      <w:pPr>
        <w:shd w:val="clear" w:color="auto" w:fill="auto"/>
        <w:tabs>
          <w:tab w:val="left" w:pos="5670"/>
        </w:tabs>
        <w:ind w:firstLine="420"/>
        <w:outlineLvl w:val="9"/>
        <w:rPr>
          <w:color w:val="auto"/>
          <w:szCs w:val="21"/>
          <w:highlight w:val="none"/>
        </w:rPr>
      </w:pPr>
      <w:r>
        <w:rPr>
          <w:rFonts w:hint="eastAsia"/>
          <w:color w:val="auto"/>
          <w:szCs w:val="21"/>
          <w:highlight w:val="none"/>
        </w:rPr>
        <w:t>5）发包人每次向承包人支付工程进度款时，承包人需同时向发包人提供实际审批金额等额合格规定增值税专用发票。</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86" w:name="_Toc144327112"/>
      <w:bookmarkStart w:id="487" w:name="_Toc26048"/>
      <w:bookmarkStart w:id="488" w:name="_Toc29394"/>
      <w:r>
        <w:rPr>
          <w:rFonts w:ascii="Times New Roman" w:hAnsi="Times New Roman" w:cs="Times New Roman"/>
          <w:color w:val="auto"/>
          <w:sz w:val="21"/>
          <w:szCs w:val="21"/>
          <w:highlight w:val="none"/>
        </w:rPr>
        <w:t>18．竣工试验和竣工验收</w:t>
      </w:r>
      <w:bookmarkEnd w:id="486"/>
      <w:bookmarkEnd w:id="487"/>
      <w:bookmarkEnd w:id="488"/>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18.5区段工程验收</w:t>
      </w:r>
    </w:p>
    <w:p>
      <w:pPr>
        <w:shd w:val="clear" w:color="auto" w:fill="auto"/>
        <w:ind w:firstLine="420"/>
        <w:outlineLvl w:val="9"/>
        <w:rPr>
          <w:color w:val="auto"/>
          <w:szCs w:val="21"/>
          <w:highlight w:val="none"/>
        </w:rPr>
      </w:pPr>
      <w:r>
        <w:rPr>
          <w:rFonts w:hint="eastAsia"/>
          <w:color w:val="auto"/>
          <w:szCs w:val="21"/>
          <w:highlight w:val="none"/>
        </w:rPr>
        <w:t>本条</w:t>
      </w:r>
      <w:r>
        <w:rPr>
          <w:color w:val="auto"/>
          <w:szCs w:val="21"/>
          <w:highlight w:val="none"/>
        </w:rPr>
        <w:t>不适用。</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18.9 竣工后试验</w:t>
      </w:r>
    </w:p>
    <w:p>
      <w:pPr>
        <w:shd w:val="clear" w:color="auto" w:fill="auto"/>
        <w:ind w:firstLine="420"/>
        <w:outlineLvl w:val="9"/>
        <w:rPr>
          <w:color w:val="auto"/>
          <w:szCs w:val="21"/>
          <w:highlight w:val="none"/>
        </w:rPr>
      </w:pPr>
      <w:r>
        <w:rPr>
          <w:color w:val="auto"/>
          <w:szCs w:val="21"/>
          <w:highlight w:val="none"/>
        </w:rPr>
        <w:t xml:space="preserve">竣工后试验执行通用条款 </w:t>
      </w:r>
      <w:r>
        <w:rPr>
          <w:color w:val="auto"/>
          <w:szCs w:val="21"/>
          <w:highlight w:val="none"/>
          <w:u w:val="single"/>
        </w:rPr>
        <w:t xml:space="preserve">    竣工后试验（B）      </w:t>
      </w:r>
      <w:r>
        <w:rPr>
          <w:color w:val="auto"/>
          <w:szCs w:val="21"/>
          <w:highlight w:val="none"/>
        </w:rPr>
        <w:t xml:space="preserve"> 。</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89" w:name="_Toc25176"/>
      <w:bookmarkStart w:id="490" w:name="_Toc2104"/>
      <w:bookmarkStart w:id="491" w:name="_Toc144327113"/>
      <w:r>
        <w:rPr>
          <w:rFonts w:ascii="Times New Roman" w:hAnsi="Times New Roman" w:cs="Times New Roman"/>
          <w:color w:val="auto"/>
          <w:sz w:val="21"/>
          <w:szCs w:val="21"/>
          <w:highlight w:val="none"/>
        </w:rPr>
        <w:t>19.缺陷责任与保修责任</w:t>
      </w:r>
      <w:bookmarkEnd w:id="489"/>
      <w:bookmarkEnd w:id="490"/>
      <w:bookmarkEnd w:id="491"/>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19.2 缺陷责任</w:t>
      </w:r>
    </w:p>
    <w:p>
      <w:pPr>
        <w:shd w:val="clear" w:color="auto" w:fill="auto"/>
        <w:ind w:firstLine="420"/>
        <w:outlineLvl w:val="9"/>
        <w:rPr>
          <w:color w:val="auto"/>
          <w:szCs w:val="21"/>
          <w:highlight w:val="none"/>
        </w:rPr>
      </w:pPr>
      <w:r>
        <w:rPr>
          <w:color w:val="auto"/>
          <w:szCs w:val="21"/>
          <w:highlight w:val="none"/>
        </w:rPr>
        <w:t>19.2.2如果缺陷或损害使发包人实质上丧失了工程或工程任何主要部分的整个利益时，对整个合同，或其有关不能按预期目的使用的该主要部分予以终止。发包人还应有权在不损害根据合同或其他规定所具有的任何其他权利的情况下，</w:t>
      </w:r>
      <w:r>
        <w:rPr>
          <w:rFonts w:hint="eastAsia"/>
          <w:color w:val="auto"/>
          <w:szCs w:val="21"/>
          <w:highlight w:val="none"/>
          <w:lang w:val="en-US" w:eastAsia="zh-CN"/>
        </w:rPr>
        <w:t>要求承包人退还发包人为</w:t>
      </w:r>
      <w:r>
        <w:rPr>
          <w:color w:val="auto"/>
          <w:szCs w:val="21"/>
          <w:highlight w:val="none"/>
        </w:rPr>
        <w:t>工程或该部分工程(视情况而定)支付的全部费用，加上融资费用和拆除工程、清理现场、以及将生产设备和材料退还给承包人所支付的费用。</w:t>
      </w:r>
    </w:p>
    <w:p>
      <w:pPr>
        <w:shd w:val="clear" w:color="auto" w:fill="auto"/>
        <w:ind w:firstLine="420"/>
        <w:outlineLvl w:val="9"/>
        <w:rPr>
          <w:color w:val="auto"/>
          <w:szCs w:val="21"/>
          <w:highlight w:val="none"/>
        </w:rPr>
      </w:pPr>
      <w:r>
        <w:rPr>
          <w:color w:val="auto"/>
          <w:szCs w:val="21"/>
          <w:highlight w:val="none"/>
        </w:rPr>
        <w:t>在采用上述条款的情况下，承包人应继续履行合同规定的所有其他义务。但合同价格应予降低，降低额度为5％。</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19.3 缺陷责任期的延长</w:t>
      </w:r>
    </w:p>
    <w:p>
      <w:pPr>
        <w:shd w:val="clear" w:color="auto" w:fill="auto"/>
        <w:ind w:firstLine="420"/>
        <w:outlineLvl w:val="9"/>
        <w:rPr>
          <w:color w:val="auto"/>
          <w:szCs w:val="21"/>
          <w:highlight w:val="none"/>
        </w:rPr>
      </w:pPr>
      <w:r>
        <w:rPr>
          <w:color w:val="auto"/>
          <w:szCs w:val="21"/>
          <w:highlight w:val="none"/>
        </w:rPr>
        <w:t>由于承包人原因造成某项缺陷或损坏使某项工程或工程设备不能按原定目标使用而需要再次检查、检验和修复的，发包人有权要求承包人相应延长缺陷责任期。</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19.7保修责任</w:t>
      </w:r>
    </w:p>
    <w:p>
      <w:pPr>
        <w:shd w:val="clear" w:color="auto" w:fill="auto"/>
        <w:ind w:firstLine="420"/>
        <w:outlineLvl w:val="9"/>
        <w:rPr>
          <w:color w:val="auto"/>
          <w:szCs w:val="21"/>
          <w:highlight w:val="none"/>
        </w:rPr>
      </w:pPr>
      <w:r>
        <w:rPr>
          <w:color w:val="auto"/>
          <w:szCs w:val="21"/>
          <w:highlight w:val="none"/>
        </w:rPr>
        <w:t>19.7.1设备质量保修期为工程接收证书签发之日起</w:t>
      </w:r>
      <w:r>
        <w:rPr>
          <w:rFonts w:hint="eastAsia"/>
          <w:color w:val="auto"/>
          <w:szCs w:val="21"/>
          <w:highlight w:val="none"/>
          <w:lang w:val="en-US" w:eastAsia="zh-CN"/>
        </w:rPr>
        <w:t>1</w:t>
      </w:r>
      <w:r>
        <w:rPr>
          <w:color w:val="auto"/>
          <w:szCs w:val="21"/>
          <w:highlight w:val="none"/>
        </w:rPr>
        <w:t>年。国家法律、法规明确规定质量保修期大于上述约定的，以法律、法规规定为准。</w:t>
      </w:r>
    </w:p>
    <w:p>
      <w:pPr>
        <w:shd w:val="clear" w:color="auto" w:fill="auto"/>
        <w:ind w:firstLine="420"/>
        <w:outlineLvl w:val="9"/>
        <w:rPr>
          <w:color w:val="auto"/>
          <w:szCs w:val="21"/>
          <w:highlight w:val="none"/>
        </w:rPr>
      </w:pPr>
      <w:r>
        <w:rPr>
          <w:color w:val="auto"/>
          <w:szCs w:val="21"/>
          <w:highlight w:val="none"/>
        </w:rPr>
        <w:t>19.7.2建筑安装工程质量保修期为工程接收证书签发之日起</w:t>
      </w:r>
      <w:r>
        <w:rPr>
          <w:rFonts w:hint="eastAsia"/>
          <w:color w:val="auto"/>
          <w:szCs w:val="21"/>
          <w:highlight w:val="none"/>
          <w:lang w:val="en-US" w:eastAsia="zh-CN"/>
        </w:rPr>
        <w:t>1</w:t>
      </w:r>
      <w:r>
        <w:rPr>
          <w:color w:val="auto"/>
          <w:szCs w:val="21"/>
          <w:highlight w:val="none"/>
        </w:rPr>
        <w:t>年。国家法律、法规明确规定质量保修期大于上述约定的，以法律、法规规定为准。</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92" w:name="_Toc29248"/>
      <w:bookmarkStart w:id="493" w:name="_Toc15416"/>
      <w:bookmarkStart w:id="494" w:name="_Toc144327114"/>
      <w:r>
        <w:rPr>
          <w:rFonts w:ascii="Times New Roman" w:hAnsi="Times New Roman" w:cs="Times New Roman"/>
          <w:color w:val="auto"/>
          <w:sz w:val="21"/>
          <w:szCs w:val="21"/>
          <w:highlight w:val="none"/>
        </w:rPr>
        <w:t>20．保险</w:t>
      </w:r>
      <w:bookmarkEnd w:id="492"/>
      <w:bookmarkEnd w:id="493"/>
      <w:bookmarkEnd w:id="494"/>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20.1 设计和工程保险</w:t>
      </w:r>
    </w:p>
    <w:p>
      <w:pPr>
        <w:shd w:val="clear" w:color="auto" w:fill="auto"/>
        <w:ind w:firstLine="420"/>
        <w:outlineLvl w:val="9"/>
        <w:rPr>
          <w:color w:val="auto"/>
          <w:szCs w:val="21"/>
          <w:highlight w:val="none"/>
        </w:rPr>
      </w:pPr>
      <w:r>
        <w:rPr>
          <w:color w:val="auto"/>
          <w:szCs w:val="21"/>
          <w:highlight w:val="none"/>
        </w:rPr>
        <w:t>设计责任险</w:t>
      </w:r>
      <w:r>
        <w:rPr>
          <w:rFonts w:hint="eastAsia"/>
          <w:color w:val="auto"/>
          <w:szCs w:val="21"/>
          <w:highlight w:val="none"/>
        </w:rPr>
        <w:t>、建筑工程一切险、安装工程一切险、第三者责任险等</w:t>
      </w:r>
      <w:r>
        <w:rPr>
          <w:color w:val="auto"/>
          <w:szCs w:val="21"/>
          <w:highlight w:val="none"/>
        </w:rPr>
        <w:t>由承包人按相关规定投保。</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 工伤保险</w:t>
      </w:r>
    </w:p>
    <w:p>
      <w:pPr>
        <w:shd w:val="clear" w:color="auto" w:fill="auto"/>
        <w:ind w:firstLine="420"/>
        <w:outlineLvl w:val="9"/>
        <w:rPr>
          <w:color w:val="auto"/>
          <w:szCs w:val="21"/>
          <w:highlight w:val="none"/>
        </w:rPr>
      </w:pPr>
      <w:r>
        <w:rPr>
          <w:color w:val="auto"/>
          <w:szCs w:val="21"/>
          <w:highlight w:val="none"/>
        </w:rPr>
        <w:t>20.2.1 承包人员工伤保险</w:t>
      </w:r>
    </w:p>
    <w:p>
      <w:pPr>
        <w:shd w:val="clear" w:color="auto" w:fill="auto"/>
        <w:ind w:firstLine="420"/>
        <w:outlineLvl w:val="9"/>
        <w:rPr>
          <w:color w:val="auto"/>
          <w:szCs w:val="21"/>
          <w:highlight w:val="none"/>
        </w:rPr>
      </w:pPr>
      <w:r>
        <w:rPr>
          <w:color w:val="auto"/>
          <w:szCs w:val="21"/>
          <w:highlight w:val="none"/>
        </w:rPr>
        <w:t>承包人应依照有关法律规定，为其履行合同所雇佣的全部人员投保工伤保险，缴纳工伤保险费，并要求其分包人也投保此项保险。</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20.4 其他保险</w:t>
      </w:r>
    </w:p>
    <w:p>
      <w:pPr>
        <w:shd w:val="clear" w:color="auto" w:fill="auto"/>
        <w:ind w:firstLine="420"/>
        <w:outlineLvl w:val="9"/>
        <w:rPr>
          <w:color w:val="auto"/>
          <w:szCs w:val="21"/>
          <w:highlight w:val="none"/>
        </w:rPr>
      </w:pPr>
      <w:r>
        <w:rPr>
          <w:color w:val="auto"/>
          <w:szCs w:val="21"/>
          <w:highlight w:val="none"/>
        </w:rPr>
        <w:t>（1）承包人应为其施工设备、进场的材料和工程设备等投保运输一切险，保险覆盖范围应从启运地仓库开始至工地卸货仓库/工地安装现场并经开箱检验合格为止。保险费含在合同价格中。</w:t>
      </w:r>
    </w:p>
    <w:p>
      <w:pPr>
        <w:shd w:val="clear" w:color="auto" w:fill="auto"/>
        <w:ind w:firstLine="420"/>
        <w:outlineLvl w:val="9"/>
        <w:rPr>
          <w:color w:val="auto"/>
          <w:szCs w:val="21"/>
          <w:highlight w:val="none"/>
        </w:rPr>
      </w:pPr>
      <w:r>
        <w:rPr>
          <w:color w:val="auto"/>
          <w:szCs w:val="21"/>
          <w:highlight w:val="none"/>
        </w:rPr>
        <w:t>（2）承包人应为自己提供的施工机具购买保险，保险期限应覆盖整个施工周期。保险费含在合同价格中。</w:t>
      </w:r>
    </w:p>
    <w:p>
      <w:pPr>
        <w:shd w:val="clear" w:color="auto" w:fill="auto"/>
        <w:ind w:firstLine="420"/>
        <w:outlineLvl w:val="9"/>
        <w:rPr>
          <w:color w:val="auto"/>
          <w:szCs w:val="21"/>
          <w:highlight w:val="none"/>
        </w:rPr>
      </w:pPr>
      <w:r>
        <w:rPr>
          <w:color w:val="auto"/>
          <w:szCs w:val="21"/>
          <w:highlight w:val="none"/>
        </w:rPr>
        <w:t>（3）承包人认为购买的其他必要保险。保险费含在合同价格中。</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20.5 对各项保险的一般要求</w:t>
      </w:r>
    </w:p>
    <w:p>
      <w:pPr>
        <w:shd w:val="clear" w:color="auto" w:fill="auto"/>
        <w:ind w:firstLine="420"/>
        <w:outlineLvl w:val="9"/>
        <w:rPr>
          <w:color w:val="auto"/>
          <w:szCs w:val="21"/>
          <w:highlight w:val="none"/>
        </w:rPr>
      </w:pPr>
      <w:r>
        <w:rPr>
          <w:color w:val="auto"/>
          <w:szCs w:val="21"/>
          <w:highlight w:val="none"/>
        </w:rPr>
        <w:t>20.5.1 保险凭证</w:t>
      </w:r>
    </w:p>
    <w:p>
      <w:pPr>
        <w:shd w:val="clear" w:color="auto" w:fill="auto"/>
        <w:ind w:firstLine="420"/>
        <w:outlineLvl w:val="9"/>
        <w:rPr>
          <w:color w:val="auto"/>
          <w:szCs w:val="21"/>
          <w:highlight w:val="none"/>
        </w:rPr>
      </w:pPr>
      <w:r>
        <w:rPr>
          <w:color w:val="auto"/>
          <w:szCs w:val="21"/>
          <w:highlight w:val="none"/>
        </w:rPr>
        <w:t>在各个期限内（从开工日期算起），承包人应向发包人提交：</w:t>
      </w:r>
    </w:p>
    <w:p>
      <w:pPr>
        <w:shd w:val="clear" w:color="auto" w:fill="auto"/>
        <w:ind w:firstLine="420"/>
        <w:outlineLvl w:val="9"/>
        <w:rPr>
          <w:color w:val="auto"/>
          <w:szCs w:val="21"/>
          <w:highlight w:val="none"/>
        </w:rPr>
      </w:pPr>
      <w:r>
        <w:rPr>
          <w:color w:val="auto"/>
          <w:szCs w:val="21"/>
          <w:highlight w:val="none"/>
        </w:rPr>
        <w:t>（1）本条所述的应由承包人购买的保险已生效的证明；</w:t>
      </w:r>
    </w:p>
    <w:p>
      <w:pPr>
        <w:shd w:val="clear" w:color="auto" w:fill="auto"/>
        <w:ind w:firstLine="420"/>
        <w:outlineLvl w:val="9"/>
        <w:rPr>
          <w:color w:val="auto"/>
          <w:szCs w:val="21"/>
          <w:highlight w:val="none"/>
        </w:rPr>
      </w:pPr>
      <w:r>
        <w:rPr>
          <w:color w:val="auto"/>
          <w:szCs w:val="21"/>
          <w:highlight w:val="none"/>
        </w:rPr>
        <w:t>（2）上述须承包人购买的保险的保险单的副本。</w:t>
      </w:r>
    </w:p>
    <w:p>
      <w:pPr>
        <w:shd w:val="clear" w:color="auto" w:fill="auto"/>
        <w:ind w:firstLine="420"/>
        <w:outlineLvl w:val="9"/>
        <w:rPr>
          <w:color w:val="auto"/>
          <w:szCs w:val="21"/>
          <w:highlight w:val="none"/>
        </w:rPr>
      </w:pPr>
      <w:r>
        <w:rPr>
          <w:color w:val="auto"/>
          <w:szCs w:val="21"/>
          <w:highlight w:val="none"/>
        </w:rPr>
        <w:t>20.5.6 报告义务</w:t>
      </w:r>
    </w:p>
    <w:p>
      <w:pPr>
        <w:shd w:val="clear" w:color="auto" w:fill="auto"/>
        <w:ind w:firstLine="420"/>
        <w:outlineLvl w:val="9"/>
        <w:rPr>
          <w:color w:val="auto"/>
          <w:szCs w:val="21"/>
          <w:highlight w:val="none"/>
        </w:rPr>
      </w:pPr>
      <w:r>
        <w:rPr>
          <w:color w:val="auto"/>
          <w:szCs w:val="21"/>
          <w:highlight w:val="none"/>
        </w:rPr>
        <w:t>当保险事故发生时，承包人应及时向保险公司和发包人报告，并配合保险公司处理理赔相关事宜。</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20.6 补充条款</w:t>
      </w:r>
    </w:p>
    <w:p>
      <w:pPr>
        <w:shd w:val="clear" w:color="auto" w:fill="auto"/>
        <w:ind w:firstLine="420"/>
        <w:outlineLvl w:val="9"/>
        <w:rPr>
          <w:color w:val="auto"/>
          <w:szCs w:val="21"/>
          <w:highlight w:val="none"/>
        </w:rPr>
      </w:pPr>
      <w:r>
        <w:rPr>
          <w:color w:val="auto"/>
          <w:szCs w:val="21"/>
          <w:highlight w:val="none"/>
        </w:rPr>
        <w:t>（1）本条保险相关规定不限制合同的其余条款或其他文件所规定的承包人或发包人的义务和责任。任何未保险或未能从承保人处收回的款额应由承包人相应负担。</w:t>
      </w:r>
    </w:p>
    <w:p>
      <w:pPr>
        <w:shd w:val="clear" w:color="auto" w:fill="auto"/>
        <w:ind w:firstLine="420"/>
        <w:outlineLvl w:val="9"/>
        <w:rPr>
          <w:color w:val="auto"/>
          <w:szCs w:val="21"/>
          <w:highlight w:val="none"/>
        </w:rPr>
      </w:pPr>
      <w:r>
        <w:rPr>
          <w:color w:val="auto"/>
          <w:szCs w:val="21"/>
          <w:highlight w:val="none"/>
        </w:rPr>
        <w:t>（2）发包人购买的建安一切险，仅为工程参与各方的风险保障；如因承包人原因导致风险事故发生，承包人应积极承担理赔相关责任，保险赔偿不足部分由承包人负责。</w:t>
      </w:r>
    </w:p>
    <w:p>
      <w:pPr>
        <w:shd w:val="clear" w:color="auto" w:fill="auto"/>
        <w:ind w:firstLine="420"/>
        <w:outlineLvl w:val="9"/>
        <w:rPr>
          <w:color w:val="auto"/>
          <w:szCs w:val="21"/>
          <w:highlight w:val="none"/>
        </w:rPr>
      </w:pPr>
      <w:r>
        <w:rPr>
          <w:color w:val="auto"/>
          <w:szCs w:val="21"/>
          <w:highlight w:val="none"/>
        </w:rPr>
        <w:t>（3）上述各项应由承包人投保的保险费用已含入合同总价，发包人不再另行支付；发包人投保的建安一切险费用由发包人承担，承包人不应计入投标报价。</w:t>
      </w:r>
    </w:p>
    <w:p>
      <w:pPr>
        <w:shd w:val="clear" w:color="auto" w:fill="auto"/>
        <w:ind w:firstLine="420"/>
        <w:outlineLvl w:val="9"/>
        <w:rPr>
          <w:color w:val="auto"/>
          <w:szCs w:val="21"/>
          <w:highlight w:val="none"/>
        </w:rPr>
      </w:pPr>
      <w:r>
        <w:rPr>
          <w:color w:val="auto"/>
          <w:szCs w:val="21"/>
          <w:highlight w:val="none"/>
        </w:rPr>
        <w:t>（4）要求承包人在购买上述保险后将保险的合同文本和发票复印件报监理人和发包人备案、备核。</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95" w:name="_Toc10220"/>
      <w:bookmarkStart w:id="496" w:name="_Toc144327115"/>
      <w:bookmarkStart w:id="497" w:name="_Toc11734"/>
      <w:r>
        <w:rPr>
          <w:rFonts w:ascii="Times New Roman" w:hAnsi="Times New Roman" w:cs="Times New Roman"/>
          <w:color w:val="auto"/>
          <w:sz w:val="21"/>
          <w:szCs w:val="21"/>
          <w:highlight w:val="none"/>
        </w:rPr>
        <w:t>21. 不可抗力</w:t>
      </w:r>
      <w:bookmarkEnd w:id="495"/>
      <w:bookmarkEnd w:id="496"/>
      <w:bookmarkEnd w:id="497"/>
    </w:p>
    <w:p>
      <w:pPr>
        <w:shd w:val="clear" w:color="auto" w:fill="auto"/>
        <w:ind w:firstLine="420"/>
        <w:outlineLvl w:val="9"/>
        <w:rPr>
          <w:rFonts w:hint="eastAsia"/>
          <w:color w:val="auto"/>
          <w:szCs w:val="21"/>
          <w:highlight w:val="none"/>
        </w:rPr>
      </w:pPr>
      <w:r>
        <w:rPr>
          <w:rFonts w:hint="eastAsia"/>
          <w:color w:val="auto"/>
          <w:szCs w:val="21"/>
          <w:highlight w:val="none"/>
        </w:rPr>
        <w:t>增加：21.3除通用合同条件约定的不可抗力事件之外，视为不可抗力的其他情形：</w:t>
      </w:r>
      <w:r>
        <w:rPr>
          <w:rFonts w:hint="eastAsia"/>
          <w:color w:val="auto"/>
          <w:szCs w:val="21"/>
          <w:highlight w:val="none"/>
          <w:u w:val="single"/>
        </w:rPr>
        <w:t>无。</w:t>
      </w:r>
    </w:p>
    <w:p>
      <w:pPr>
        <w:shd w:val="clear" w:color="auto" w:fill="auto"/>
        <w:ind w:firstLine="420"/>
        <w:outlineLvl w:val="9"/>
        <w:rPr>
          <w:color w:val="auto"/>
          <w:szCs w:val="21"/>
          <w:highlight w:val="none"/>
        </w:rPr>
      </w:pPr>
      <w:r>
        <w:rPr>
          <w:rFonts w:hint="eastAsia"/>
          <w:color w:val="auto"/>
          <w:szCs w:val="21"/>
          <w:highlight w:val="none"/>
        </w:rPr>
        <w:t>增加：21.4</w:t>
      </w:r>
      <w:r>
        <w:rPr>
          <w:color w:val="auto"/>
          <w:szCs w:val="21"/>
          <w:highlight w:val="none"/>
        </w:rPr>
        <w:t>双方关于不可抗力的约定：由于不可抗力事件造成的对属于发包人所有的工程、设施、设备的损失或破坏由发包人承担。属于</w:t>
      </w:r>
      <w:r>
        <w:rPr>
          <w:rFonts w:hint="eastAsia"/>
          <w:color w:val="auto"/>
          <w:szCs w:val="21"/>
          <w:highlight w:val="none"/>
        </w:rPr>
        <w:t>承</w:t>
      </w:r>
      <w:r>
        <w:rPr>
          <w:color w:val="auto"/>
          <w:szCs w:val="21"/>
          <w:highlight w:val="none"/>
        </w:rPr>
        <w:t>包人所有的工程、设施、设备的损失或破坏由</w:t>
      </w:r>
      <w:r>
        <w:rPr>
          <w:rFonts w:hint="eastAsia"/>
          <w:color w:val="auto"/>
          <w:szCs w:val="21"/>
          <w:highlight w:val="none"/>
        </w:rPr>
        <w:t>承</w:t>
      </w:r>
      <w:r>
        <w:rPr>
          <w:color w:val="auto"/>
          <w:szCs w:val="21"/>
          <w:highlight w:val="none"/>
        </w:rPr>
        <w:t>包人承担。</w:t>
      </w:r>
    </w:p>
    <w:p>
      <w:pPr>
        <w:shd w:val="clear" w:color="auto" w:fill="auto"/>
        <w:ind w:firstLine="420"/>
        <w:outlineLvl w:val="9"/>
        <w:rPr>
          <w:color w:val="auto"/>
          <w:szCs w:val="21"/>
          <w:highlight w:val="none"/>
        </w:rPr>
      </w:pPr>
      <w:r>
        <w:rPr>
          <w:rFonts w:hint="eastAsia"/>
          <w:color w:val="auto"/>
          <w:szCs w:val="21"/>
          <w:highlight w:val="none"/>
        </w:rPr>
        <w:t>增加21.5</w:t>
      </w:r>
      <w:r>
        <w:rPr>
          <w:color w:val="auto"/>
          <w:szCs w:val="21"/>
          <w:highlight w:val="none"/>
        </w:rPr>
        <w:t>发包人、承包人双方应尽最大合理努力采取补救措施减少上述损失或破坏。承包人按照发包人要求补救上述损失或破坏产生的合理费用，由双方本着公平、客观、合理的原则协商确定。需延长工期的，应经发包人、承包人双方共同确认；承包人无能力或未能按照发包人要求立即进行上述补救工作的，发包人可雇用第三方主体从事此项工作，在这种情况下，承包人无权要求增加合同价或对发包人提出任何索赔要求。</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498" w:name="_Toc5200"/>
      <w:bookmarkStart w:id="499" w:name="_Toc20656"/>
      <w:bookmarkStart w:id="500" w:name="_Toc144327116"/>
      <w:r>
        <w:rPr>
          <w:rFonts w:ascii="Times New Roman" w:hAnsi="Times New Roman" w:cs="Times New Roman"/>
          <w:color w:val="auto"/>
          <w:sz w:val="21"/>
          <w:szCs w:val="21"/>
          <w:highlight w:val="none"/>
        </w:rPr>
        <w:t>22．违约</w:t>
      </w:r>
      <w:bookmarkEnd w:id="498"/>
      <w:bookmarkEnd w:id="499"/>
      <w:bookmarkEnd w:id="500"/>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22.1 承包人违约</w:t>
      </w:r>
    </w:p>
    <w:p>
      <w:pPr>
        <w:shd w:val="clear" w:color="auto" w:fill="auto"/>
        <w:ind w:firstLine="420"/>
        <w:outlineLvl w:val="9"/>
        <w:rPr>
          <w:color w:val="auto"/>
          <w:szCs w:val="21"/>
          <w:highlight w:val="none"/>
        </w:rPr>
      </w:pPr>
      <w:r>
        <w:rPr>
          <w:color w:val="auto"/>
          <w:szCs w:val="21"/>
          <w:highlight w:val="none"/>
        </w:rPr>
        <w:t>针对22.1.2 对承包人违约的处理增加以下条款：</w:t>
      </w:r>
    </w:p>
    <w:p>
      <w:pPr>
        <w:shd w:val="clear" w:color="auto" w:fill="auto"/>
        <w:ind w:firstLine="420"/>
        <w:outlineLvl w:val="9"/>
        <w:rPr>
          <w:color w:val="auto"/>
          <w:szCs w:val="21"/>
          <w:highlight w:val="none"/>
        </w:rPr>
      </w:pPr>
      <w:r>
        <w:rPr>
          <w:color w:val="auto"/>
          <w:szCs w:val="21"/>
          <w:highlight w:val="none"/>
        </w:rPr>
        <w:t>（1）承包人违反通用条款22.1.1款（1）、（2）、（8）约定，视为根本性违约，发包人有权单方面解除合同，同时承包人应该向发包人承担工程合同总价</w:t>
      </w:r>
      <w:r>
        <w:rPr>
          <w:rFonts w:hint="eastAsia"/>
          <w:color w:val="auto"/>
          <w:szCs w:val="21"/>
          <w:highlight w:val="none"/>
        </w:rPr>
        <w:t>10</w:t>
      </w:r>
      <w:r>
        <w:rPr>
          <w:color w:val="auto"/>
          <w:szCs w:val="21"/>
          <w:highlight w:val="none"/>
        </w:rPr>
        <w:t>%的违约金，该违约金不足以弥补纠纷处理期间增加的资金财务费用、管理费用</w:t>
      </w:r>
      <w:r>
        <w:rPr>
          <w:rFonts w:hint="eastAsia"/>
          <w:color w:val="auto"/>
          <w:szCs w:val="21"/>
          <w:highlight w:val="none"/>
        </w:rPr>
        <w:t>、</w:t>
      </w:r>
      <w:r>
        <w:rPr>
          <w:color w:val="auto"/>
          <w:szCs w:val="21"/>
          <w:highlight w:val="none"/>
        </w:rPr>
        <w:t>再次招标费用等直接损失</w:t>
      </w:r>
      <w:r>
        <w:rPr>
          <w:rFonts w:hint="eastAsia"/>
          <w:color w:val="auto"/>
          <w:szCs w:val="21"/>
          <w:highlight w:val="none"/>
        </w:rPr>
        <w:t>以及</w:t>
      </w:r>
      <w:r>
        <w:rPr>
          <w:rFonts w:hint="eastAsia"/>
          <w:color w:val="auto"/>
          <w:szCs w:val="21"/>
          <w:highlight w:val="none"/>
          <w:lang w:val="en-US" w:eastAsia="zh-CN"/>
        </w:rPr>
        <w:t>丘北县小塘子光伏发电项目</w:t>
      </w:r>
      <w:r>
        <w:rPr>
          <w:rFonts w:hint="eastAsia"/>
          <w:color w:val="auto"/>
          <w:szCs w:val="21"/>
          <w:highlight w:val="none"/>
        </w:rPr>
        <w:t>按期发电的预期发电收益</w:t>
      </w:r>
      <w:r>
        <w:rPr>
          <w:color w:val="auto"/>
          <w:szCs w:val="21"/>
          <w:highlight w:val="none"/>
        </w:rPr>
        <w:t>的，承包人还应负责继续赔偿。</w:t>
      </w:r>
    </w:p>
    <w:p>
      <w:pPr>
        <w:shd w:val="clear" w:color="auto" w:fill="auto"/>
        <w:ind w:firstLine="420"/>
        <w:outlineLvl w:val="9"/>
        <w:rPr>
          <w:color w:val="auto"/>
          <w:szCs w:val="21"/>
          <w:highlight w:val="none"/>
        </w:rPr>
      </w:pPr>
      <w:r>
        <w:rPr>
          <w:color w:val="auto"/>
          <w:szCs w:val="21"/>
          <w:highlight w:val="none"/>
        </w:rPr>
        <w:t>（2）本合同通用条款第22.1.1款（3）、（4）、（6）、（7）约定承包人违约承担的违约责任：按5000元/次支付违约金，但最高不超过工程合同总价的5%；同时发包人有权委托第三方处理承包人未完成的事项，相关费用从承包人合同款中扣除，且承包人须赔偿由此造成的发包人损失。</w:t>
      </w:r>
    </w:p>
    <w:p>
      <w:pPr>
        <w:shd w:val="clear" w:color="auto" w:fill="auto"/>
        <w:ind w:firstLine="420"/>
        <w:outlineLvl w:val="9"/>
        <w:rPr>
          <w:color w:val="auto"/>
          <w:szCs w:val="21"/>
          <w:highlight w:val="none"/>
        </w:rPr>
      </w:pPr>
      <w:r>
        <w:rPr>
          <w:color w:val="auto"/>
          <w:szCs w:val="21"/>
          <w:highlight w:val="none"/>
        </w:rPr>
        <w:t>（3）承包人违反本合同通用条款第22.1.1（5）的约定，造成或预期造成工期延误，经发包人或者监理人发出整改通知</w:t>
      </w:r>
      <w:r>
        <w:rPr>
          <w:rFonts w:hint="eastAsia"/>
          <w:color w:val="auto"/>
          <w:szCs w:val="21"/>
          <w:highlight w:val="none"/>
        </w:rPr>
        <w:t>7</w:t>
      </w:r>
      <w:r>
        <w:rPr>
          <w:color w:val="auto"/>
          <w:szCs w:val="21"/>
          <w:highlight w:val="none"/>
        </w:rPr>
        <w:t>天后，承包人仍不纠正违约行为的，发包人可向承包人发出解除合同通知，既可以全部解除，也可以部分解除。部分解除的，发包人有权将部分工程量调整给其他施工单位实施，并相应扣减该部分工程价款。发包人采取的措施并不减轻或者免除承包人继续履行合同的义务和应承担的违约责任，导致工程进度延误的，每延误一天，按合同总价的千分之一向发包人支付违约金</w:t>
      </w:r>
      <w:r>
        <w:rPr>
          <w:rFonts w:hint="eastAsia"/>
          <w:color w:val="auto"/>
          <w:szCs w:val="21"/>
          <w:highlight w:val="none"/>
        </w:rPr>
        <w:t>，</w:t>
      </w:r>
      <w:r>
        <w:rPr>
          <w:color w:val="auto"/>
          <w:szCs w:val="21"/>
          <w:highlight w:val="none"/>
        </w:rPr>
        <w:t>逾期违约金最高不超过签约合同总价的</w:t>
      </w:r>
      <w:r>
        <w:rPr>
          <w:rFonts w:hint="eastAsia"/>
          <w:color w:val="auto"/>
          <w:szCs w:val="21"/>
          <w:highlight w:val="none"/>
          <w:u w:val="single"/>
        </w:rPr>
        <w:t>10</w:t>
      </w:r>
      <w:r>
        <w:rPr>
          <w:color w:val="auto"/>
          <w:szCs w:val="21"/>
          <w:highlight w:val="none"/>
          <w:u w:val="single"/>
        </w:rPr>
        <w:t>%</w:t>
      </w:r>
      <w:r>
        <w:rPr>
          <w:rFonts w:hint="eastAsia"/>
          <w:color w:val="auto"/>
          <w:szCs w:val="21"/>
          <w:highlight w:val="none"/>
          <w:u w:val="single"/>
        </w:rPr>
        <w:t>。</w:t>
      </w:r>
      <w:r>
        <w:rPr>
          <w:color w:val="auto"/>
          <w:szCs w:val="21"/>
          <w:highlight w:val="none"/>
          <w:u w:val="single"/>
        </w:rPr>
        <w:t>若</w:t>
      </w:r>
      <w:r>
        <w:rPr>
          <w:rFonts w:hint="eastAsia"/>
          <w:color w:val="auto"/>
          <w:szCs w:val="21"/>
          <w:highlight w:val="none"/>
          <w:u w:val="single"/>
        </w:rPr>
        <w:t>违约金</w:t>
      </w:r>
      <w:r>
        <w:rPr>
          <w:color w:val="auto"/>
          <w:szCs w:val="21"/>
          <w:highlight w:val="none"/>
          <w:u w:val="single"/>
        </w:rPr>
        <w:t>不足以弥补发包人损失的，发包人有权继续追偿</w:t>
      </w:r>
      <w:r>
        <w:rPr>
          <w:color w:val="auto"/>
          <w:szCs w:val="21"/>
          <w:highlight w:val="none"/>
        </w:rPr>
        <w:t>。</w:t>
      </w:r>
      <w:r>
        <w:rPr>
          <w:rFonts w:hint="eastAsia"/>
          <w:color w:val="auto"/>
          <w:szCs w:val="21"/>
          <w:highlight w:val="none"/>
        </w:rPr>
        <w:t>发包人的损失包括但不限于</w:t>
      </w:r>
      <w:r>
        <w:rPr>
          <w:rFonts w:hint="eastAsia"/>
          <w:color w:val="auto"/>
          <w:szCs w:val="21"/>
          <w:highlight w:val="none"/>
          <w:lang w:val="en-US" w:eastAsia="zh-CN"/>
        </w:rPr>
        <w:t>背阴山尾矿库分布式光伏发电项目</w:t>
      </w:r>
      <w:r>
        <w:rPr>
          <w:rFonts w:hint="eastAsia"/>
          <w:color w:val="auto"/>
          <w:szCs w:val="21"/>
          <w:highlight w:val="none"/>
        </w:rPr>
        <w:t>按期发电的预期发电收益。</w:t>
      </w:r>
    </w:p>
    <w:p>
      <w:pPr>
        <w:shd w:val="clear" w:color="auto" w:fill="auto"/>
        <w:ind w:firstLine="420"/>
        <w:outlineLvl w:val="9"/>
        <w:rPr>
          <w:color w:val="auto"/>
          <w:szCs w:val="21"/>
          <w:highlight w:val="none"/>
        </w:rPr>
      </w:pPr>
      <w:r>
        <w:rPr>
          <w:color w:val="auto"/>
          <w:szCs w:val="21"/>
          <w:highlight w:val="none"/>
        </w:rPr>
        <w:t>（4）双方约定的承包人其他违约责任：承包人在施工过程中对发包单位和监理人合理合法管理指令不予执行或执行不力的，承包人需向发包人以5000元/次支付违约金。</w:t>
      </w:r>
    </w:p>
    <w:p>
      <w:pPr>
        <w:shd w:val="clear" w:color="auto" w:fill="auto"/>
        <w:ind w:firstLine="420"/>
        <w:outlineLvl w:val="9"/>
        <w:rPr>
          <w:color w:val="auto"/>
          <w:szCs w:val="21"/>
          <w:highlight w:val="none"/>
        </w:rPr>
      </w:pPr>
      <w:r>
        <w:rPr>
          <w:color w:val="auto"/>
          <w:szCs w:val="21"/>
          <w:highlight w:val="none"/>
        </w:rPr>
        <w:t>（5）若承包人违约或造成质量事故，按照国家相关法律、法规承担相应的赔偿责任，发包人及上级单位可根据内部管理制度将其列入不合格承包商。</w:t>
      </w:r>
    </w:p>
    <w:p>
      <w:pPr>
        <w:shd w:val="clear" w:color="auto" w:fill="auto"/>
        <w:ind w:firstLine="420"/>
        <w:outlineLvl w:val="9"/>
        <w:rPr>
          <w:color w:val="auto"/>
          <w:szCs w:val="21"/>
          <w:highlight w:val="none"/>
        </w:rPr>
      </w:pPr>
      <w:r>
        <w:rPr>
          <w:color w:val="auto"/>
          <w:szCs w:val="21"/>
          <w:highlight w:val="none"/>
        </w:rPr>
        <w:t>（6）上述所有违约惩罚和赔偿均不免除承包人根据合同应承担的任何责任。</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501" w:name="_Toc11483"/>
      <w:bookmarkStart w:id="502" w:name="_Toc24758"/>
      <w:bookmarkStart w:id="503" w:name="_Toc144327117"/>
      <w:r>
        <w:rPr>
          <w:rFonts w:ascii="Times New Roman" w:hAnsi="Times New Roman" w:cs="Times New Roman"/>
          <w:color w:val="auto"/>
          <w:sz w:val="21"/>
          <w:szCs w:val="21"/>
          <w:highlight w:val="none"/>
        </w:rPr>
        <w:t>24．争议的解决</w:t>
      </w:r>
      <w:bookmarkEnd w:id="501"/>
      <w:bookmarkEnd w:id="502"/>
      <w:bookmarkEnd w:id="503"/>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24.1 争议的解决方式</w:t>
      </w:r>
    </w:p>
    <w:p>
      <w:pPr>
        <w:shd w:val="clear" w:color="auto" w:fill="auto"/>
        <w:adjustRightInd w:val="0"/>
        <w:ind w:firstLine="420"/>
        <w:jc w:val="left"/>
        <w:outlineLvl w:val="9"/>
        <w:rPr>
          <w:color w:val="auto"/>
          <w:szCs w:val="21"/>
          <w:highlight w:val="none"/>
        </w:rPr>
      </w:pPr>
      <w:r>
        <w:rPr>
          <w:color w:val="auto"/>
          <w:szCs w:val="21"/>
          <w:highlight w:val="none"/>
        </w:rPr>
        <w:t>合同双方在履行合同中发生争议的，友好协商解决。协商不成的，诉讼解决。诉讼法院为项目所在地人民法院。</w:t>
      </w:r>
    </w:p>
    <w:p>
      <w:pPr>
        <w:shd w:val="clear" w:color="auto" w:fill="auto"/>
        <w:ind w:firstLine="420"/>
        <w:outlineLvl w:val="9"/>
        <w:rPr>
          <w:color w:val="auto"/>
          <w:szCs w:val="21"/>
          <w:highlight w:val="none"/>
        </w:rPr>
      </w:pPr>
      <w:r>
        <w:rPr>
          <w:color w:val="auto"/>
          <w:szCs w:val="21"/>
          <w:highlight w:val="none"/>
        </w:rPr>
        <w:t>在诉讼期间，除正在进行诉讼的部分外，本合同的其他部分应继续执行。</w:t>
      </w:r>
    </w:p>
    <w:p>
      <w:pPr>
        <w:pStyle w:val="481"/>
        <w:shd w:val="clear" w:color="auto" w:fill="auto"/>
        <w:spacing w:before="60" w:after="60"/>
        <w:ind w:firstLine="422"/>
        <w:outlineLvl w:val="9"/>
        <w:rPr>
          <w:rFonts w:ascii="Times New Roman" w:hAnsi="Times New Roman" w:cs="Times New Roman"/>
          <w:color w:val="auto"/>
          <w:sz w:val="21"/>
          <w:szCs w:val="21"/>
          <w:highlight w:val="none"/>
        </w:rPr>
      </w:pPr>
      <w:bookmarkStart w:id="504" w:name="_Toc26584"/>
      <w:bookmarkStart w:id="505" w:name="_Toc30792"/>
      <w:bookmarkStart w:id="506" w:name="_Toc144327118"/>
      <w:r>
        <w:rPr>
          <w:rFonts w:ascii="Times New Roman" w:hAnsi="Times New Roman" w:cs="Times New Roman"/>
          <w:color w:val="auto"/>
          <w:sz w:val="21"/>
          <w:szCs w:val="21"/>
          <w:highlight w:val="none"/>
        </w:rPr>
        <w:t>25．补充条款</w:t>
      </w:r>
      <w:bookmarkEnd w:id="504"/>
      <w:bookmarkEnd w:id="505"/>
      <w:bookmarkEnd w:id="506"/>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25.1 补充要求</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（1）项目经理和项目技术负责人自项目开工到项目移交生产完成前不得兼职。</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（2）当承包人违约金、赔偿费达到合同总价的5％时，发包人有权终止合同并没收履约担保，同时保留以其他方式追索的权利。</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（3）当承包人无法继续履行或实质上已停止履行合同时，或出现进度严重滞后、质量严重不达标等情形时，发包人有权对承包人的承包范围和工程量进行调整。</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（4）承包人应为自行运输过程中造成的工地内外公共道路、桥梁或其他损坏损失负全部责任，并承担全部费用和可能引起的索赔。</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（5）承包人负责运输的物件中，若遇有超大件或超重件时，应由承包人负责向交通管理部门办理申请手续。运输超大件或超重件所需进行的道路和桥梁临时加固改造费用和其它有关费用，均由承包人承担。</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6</w:t>
      </w:r>
      <w:r>
        <w:rPr>
          <w:rFonts w:ascii="Times New Roman" w:hAnsi="Times New Roman" w:cs="Times New Roman"/>
          <w:color w:val="auto"/>
          <w:highlight w:val="none"/>
        </w:rPr>
        <w:t>）承包人承诺严格遵守国家财政部和安全监管总局发布的《企业安全生产费用提取和使用管理办法》(财企〔2022〕136号)的规定使用，不得挪作他用。若承包人不能根据工程需要及时配备劳动保护用品、安全防护材料、工器具、设备、消防设施，发包人有权直接购置，相关费用从工程结算价款扣回，同时并不免除承包人应承担的责任。</w:t>
      </w:r>
    </w:p>
    <w:p>
      <w:pPr>
        <w:pStyle w:val="485"/>
        <w:shd w:val="clear" w:color="auto" w:fill="auto"/>
        <w:spacing w:line="360" w:lineRule="auto"/>
        <w:outlineLvl w:val="9"/>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ascii="Times New Roman" w:hAnsi="Times New Roman" w:cs="Times New Roman"/>
          <w:color w:val="auto"/>
          <w:highlight w:val="none"/>
        </w:rPr>
        <w:t>）工程施工过程中，承包人应按照合同和发包人要求做好水土保持、环境保护工作，若由发包人检查发现承包人未按要求做好水土保持、环境保护工作的，每发生一次支付违约金5000元；若由政府监管部门检查发现承包人未按要求做好水土保持、环境保护工作的，每发生一次支付违约金</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0000元，相关费用从</w:t>
      </w:r>
      <w:r>
        <w:rPr>
          <w:rFonts w:hint="eastAsia" w:ascii="Times New Roman" w:hAnsi="Times New Roman" w:cs="Times New Roman"/>
          <w:color w:val="auto"/>
          <w:highlight w:val="none"/>
        </w:rPr>
        <w:t>进度款或结算</w:t>
      </w:r>
      <w:r>
        <w:rPr>
          <w:rFonts w:ascii="Times New Roman" w:hAnsi="Times New Roman" w:cs="Times New Roman"/>
          <w:color w:val="auto"/>
          <w:highlight w:val="none"/>
        </w:rPr>
        <w:t>款</w:t>
      </w:r>
      <w:r>
        <w:rPr>
          <w:rFonts w:hint="eastAsia" w:ascii="Times New Roman" w:hAnsi="Times New Roman" w:cs="Times New Roman"/>
          <w:color w:val="auto"/>
          <w:highlight w:val="none"/>
        </w:rPr>
        <w:t>扣除</w:t>
      </w:r>
      <w:r>
        <w:rPr>
          <w:rFonts w:ascii="Times New Roman" w:hAnsi="Times New Roman" w:cs="Times New Roman"/>
          <w:color w:val="auto"/>
          <w:highlight w:val="none"/>
        </w:rPr>
        <w:t>。</w:t>
      </w:r>
    </w:p>
    <w:p>
      <w:pPr>
        <w:pStyle w:val="485"/>
        <w:shd w:val="clear" w:color="auto" w:fill="auto"/>
        <w:spacing w:line="360" w:lineRule="auto"/>
        <w:ind w:firstLineChars="0"/>
        <w:outlineLvl w:val="9"/>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承包人应遵守国家《劳动法》《云南省建设领域农民工工资支付管理试行办法》，及时配合发包人到项目所在地人力资源和社会保障部门足额缴纳农民工保证金；因承包人拒绝支付和拖欠农民工工资，造成农民工上访的，一经查实，按承包人违约处理，每发生一次支付违约金</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0000元，相关费用从工程</w:t>
      </w:r>
      <w:r>
        <w:rPr>
          <w:rFonts w:hint="eastAsia" w:ascii="Times New Roman" w:hAnsi="Times New Roman" w:cs="Times New Roman"/>
          <w:color w:val="auto"/>
          <w:highlight w:val="none"/>
        </w:rPr>
        <w:t>进度款或</w:t>
      </w:r>
      <w:r>
        <w:rPr>
          <w:rFonts w:ascii="Times New Roman" w:hAnsi="Times New Roman" w:cs="Times New Roman"/>
          <w:color w:val="auto"/>
          <w:highlight w:val="none"/>
        </w:rPr>
        <w:t>结算价款扣除。因此给发包人造成损失的，承包人还应当承担赔偿责任。造成严重后果的，追究其法律责任。</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25.2 分包</w:t>
      </w:r>
    </w:p>
    <w:p>
      <w:pPr>
        <w:shd w:val="clear" w:color="auto" w:fill="auto"/>
        <w:ind w:firstLine="420"/>
        <w:outlineLvl w:val="9"/>
        <w:rPr>
          <w:color w:val="auto"/>
          <w:szCs w:val="21"/>
          <w:highlight w:val="none"/>
        </w:rPr>
      </w:pPr>
      <w:r>
        <w:rPr>
          <w:color w:val="auto"/>
          <w:szCs w:val="21"/>
          <w:highlight w:val="none"/>
        </w:rPr>
        <w:t>总承包人在分包过程中应严格遵守国家发改委第28号令，总承包人应对分包人的资质、施工能力及信誉进行审查并对其结果负责，总承包人应将其与分包人签署的分包合同报发包人备案。</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25.3 采购</w:t>
      </w:r>
    </w:p>
    <w:p>
      <w:pPr>
        <w:shd w:val="clear" w:color="auto" w:fill="auto"/>
        <w:snapToGrid/>
        <w:ind w:firstLine="420" w:firstLineChars="0"/>
        <w:outlineLvl w:val="9"/>
        <w:rPr>
          <w:color w:val="auto"/>
          <w:szCs w:val="21"/>
          <w:highlight w:val="none"/>
        </w:rPr>
      </w:pPr>
      <w:r>
        <w:rPr>
          <w:color w:val="auto"/>
          <w:szCs w:val="21"/>
          <w:highlight w:val="none"/>
        </w:rPr>
        <w:t>根据招标文件和投标文件，本工程设备和主要材料由总承包人向合格供应方采购，总承包人应对供应方的资质、产品质量及信誉进行审查，按照法律法规的要求通过公开招标或者其他合法方式采购并对其结果负责。项目竣工验收后，总承包人应负责转移本工程设备和主要材料质量保函受益人至本项目业主方，转移后不免除总承包人原有相关义务。</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25.4 合同中止条款</w:t>
      </w:r>
    </w:p>
    <w:p>
      <w:pPr>
        <w:shd w:val="clear" w:color="auto" w:fill="auto"/>
        <w:ind w:firstLine="420"/>
        <w:outlineLvl w:val="9"/>
        <w:rPr>
          <w:color w:val="auto"/>
          <w:szCs w:val="21"/>
          <w:highlight w:val="none"/>
        </w:rPr>
      </w:pPr>
      <w:r>
        <w:rPr>
          <w:color w:val="auto"/>
          <w:szCs w:val="21"/>
          <w:highlight w:val="none"/>
        </w:rPr>
        <w:t>25.4.1任何应当先履行本合同义务的一方，有确切证据证明对方有下列情形之一的，可以中止本合同的履行：</w:t>
      </w:r>
    </w:p>
    <w:p>
      <w:pPr>
        <w:shd w:val="clear" w:color="auto" w:fill="auto"/>
        <w:ind w:firstLine="420"/>
        <w:outlineLvl w:val="9"/>
        <w:rPr>
          <w:color w:val="auto"/>
          <w:szCs w:val="21"/>
          <w:highlight w:val="none"/>
        </w:rPr>
      </w:pPr>
      <w:r>
        <w:rPr>
          <w:color w:val="auto"/>
          <w:szCs w:val="21"/>
          <w:highlight w:val="none"/>
        </w:rPr>
        <w:t>（1）经营状况严重恶化；</w:t>
      </w:r>
    </w:p>
    <w:p>
      <w:pPr>
        <w:shd w:val="clear" w:color="auto" w:fill="auto"/>
        <w:ind w:firstLine="420"/>
        <w:outlineLvl w:val="9"/>
        <w:rPr>
          <w:color w:val="auto"/>
          <w:szCs w:val="21"/>
          <w:highlight w:val="none"/>
        </w:rPr>
      </w:pPr>
      <w:r>
        <w:rPr>
          <w:color w:val="auto"/>
          <w:szCs w:val="21"/>
          <w:highlight w:val="none"/>
        </w:rPr>
        <w:t>（2）转移财产、抽逃资金，以逃避债务；</w:t>
      </w:r>
    </w:p>
    <w:p>
      <w:pPr>
        <w:shd w:val="clear" w:color="auto" w:fill="auto"/>
        <w:ind w:firstLine="420"/>
        <w:outlineLvl w:val="9"/>
        <w:rPr>
          <w:color w:val="auto"/>
          <w:szCs w:val="21"/>
          <w:highlight w:val="none"/>
        </w:rPr>
      </w:pPr>
      <w:r>
        <w:rPr>
          <w:color w:val="auto"/>
          <w:szCs w:val="21"/>
          <w:highlight w:val="none"/>
        </w:rPr>
        <w:t>（3）丧失商业信誉；</w:t>
      </w:r>
    </w:p>
    <w:p>
      <w:pPr>
        <w:shd w:val="clear" w:color="auto" w:fill="auto"/>
        <w:ind w:firstLine="420"/>
        <w:outlineLvl w:val="9"/>
        <w:rPr>
          <w:color w:val="auto"/>
          <w:szCs w:val="21"/>
          <w:highlight w:val="none"/>
        </w:rPr>
      </w:pPr>
      <w:r>
        <w:rPr>
          <w:color w:val="auto"/>
          <w:szCs w:val="21"/>
          <w:highlight w:val="none"/>
        </w:rPr>
        <w:t>（4）有丧失或者可能丧失履行债务能力的其他情形。</w:t>
      </w:r>
    </w:p>
    <w:p>
      <w:pPr>
        <w:shd w:val="clear" w:color="auto" w:fill="auto"/>
        <w:ind w:firstLine="420"/>
        <w:outlineLvl w:val="9"/>
        <w:rPr>
          <w:color w:val="auto"/>
          <w:szCs w:val="21"/>
          <w:highlight w:val="none"/>
        </w:rPr>
      </w:pPr>
      <w:r>
        <w:rPr>
          <w:color w:val="auto"/>
          <w:szCs w:val="21"/>
          <w:highlight w:val="none"/>
        </w:rPr>
        <w:t>25.4.2 一方依照上述约定中止履行的，应当及时通知对方。对方提供适当担保时，应当恢复履行。中止履行后，对方在30日内未恢复履行能力并且未提供适当担保的，中止履行的一方可以解除合同。</w:t>
      </w:r>
    </w:p>
    <w:p>
      <w:pPr>
        <w:shd w:val="clear" w:color="auto" w:fill="auto"/>
        <w:ind w:firstLine="420"/>
        <w:outlineLvl w:val="9"/>
        <w:rPr>
          <w:color w:val="auto"/>
          <w:szCs w:val="21"/>
          <w:highlight w:val="none"/>
        </w:rPr>
      </w:pPr>
      <w:r>
        <w:rPr>
          <w:color w:val="auto"/>
          <w:szCs w:val="21"/>
          <w:highlight w:val="none"/>
        </w:rPr>
        <w:t>25.4.3 当事人没有确切证据中止履行的，应当承担违约责任。</w:t>
      </w:r>
    </w:p>
    <w:p>
      <w:pPr>
        <w:shd w:val="clear" w:color="auto" w:fill="auto"/>
        <w:ind w:firstLine="420"/>
        <w:outlineLvl w:val="9"/>
        <w:rPr>
          <w:color w:val="auto"/>
          <w:szCs w:val="21"/>
          <w:highlight w:val="none"/>
        </w:rPr>
      </w:pPr>
      <w:r>
        <w:rPr>
          <w:color w:val="auto"/>
          <w:szCs w:val="21"/>
          <w:highlight w:val="none"/>
        </w:rPr>
        <w:t>25.4.4中止履行的一方必须尽到及时通知的义务，提供担保的，应当恢复履行。</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25.5 合同终止条款</w:t>
      </w:r>
    </w:p>
    <w:p>
      <w:pPr>
        <w:shd w:val="clear" w:color="auto" w:fill="auto"/>
        <w:ind w:firstLine="420"/>
        <w:outlineLvl w:val="9"/>
        <w:rPr>
          <w:color w:val="auto"/>
          <w:szCs w:val="21"/>
          <w:highlight w:val="none"/>
        </w:rPr>
      </w:pPr>
      <w:r>
        <w:rPr>
          <w:color w:val="auto"/>
          <w:szCs w:val="21"/>
          <w:highlight w:val="none"/>
        </w:rPr>
        <w:t>25.5.1 自然终止</w:t>
      </w:r>
    </w:p>
    <w:p>
      <w:pPr>
        <w:shd w:val="clear" w:color="auto" w:fill="auto"/>
        <w:ind w:firstLine="420"/>
        <w:outlineLvl w:val="9"/>
        <w:rPr>
          <w:color w:val="auto"/>
          <w:szCs w:val="21"/>
          <w:highlight w:val="none"/>
        </w:rPr>
      </w:pPr>
      <w:r>
        <w:rPr>
          <w:color w:val="auto"/>
          <w:szCs w:val="21"/>
          <w:highlight w:val="none"/>
        </w:rPr>
        <w:t>若承包人已将合同工程全部移交发包人，且缺陷责任期满，监理人已颁发最后一个分部工程的缺陷责任终止证书，合同双方均未遗留按合同规定应履行的职责时，合同自然终止。</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25.6 发包人与承包人具体责任划分</w:t>
      </w:r>
    </w:p>
    <w:p>
      <w:pPr>
        <w:shd w:val="clear" w:color="auto" w:fill="auto"/>
        <w:ind w:firstLine="420"/>
        <w:outlineLvl w:val="9"/>
        <w:rPr>
          <w:rFonts w:hint="default" w:eastAsia="宋体"/>
          <w:color w:val="auto"/>
          <w:szCs w:val="21"/>
          <w:highlight w:val="none"/>
          <w:lang w:val="en-US" w:eastAsia="zh-CN"/>
        </w:rPr>
      </w:pPr>
      <w:r>
        <w:rPr>
          <w:rFonts w:hint="eastAsia"/>
          <w:color w:val="auto"/>
          <w:szCs w:val="21"/>
          <w:highlight w:val="none"/>
          <w:lang w:val="en-US" w:eastAsia="zh-CN"/>
        </w:rPr>
        <w:t>参照招标工作范围。</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25.7 送达</w:t>
      </w:r>
    </w:p>
    <w:p>
      <w:pPr>
        <w:shd w:val="clear" w:color="auto" w:fill="auto"/>
        <w:ind w:firstLine="420"/>
        <w:outlineLvl w:val="9"/>
        <w:rPr>
          <w:color w:val="auto"/>
          <w:szCs w:val="21"/>
          <w:highlight w:val="none"/>
        </w:rPr>
      </w:pPr>
      <w:r>
        <w:rPr>
          <w:color w:val="auto"/>
          <w:szCs w:val="21"/>
          <w:highlight w:val="none"/>
        </w:rPr>
        <w:t>双方在履行本合同过程中，应保持畅通的联系和有效的送达，任何一方因行使合同解除权而向对方送达有关函件、通知，采取下列方式均为有效送达：</w:t>
      </w:r>
    </w:p>
    <w:p>
      <w:pPr>
        <w:shd w:val="clear" w:color="auto" w:fill="auto"/>
        <w:ind w:firstLine="420"/>
        <w:outlineLvl w:val="9"/>
        <w:rPr>
          <w:color w:val="auto"/>
          <w:szCs w:val="21"/>
          <w:highlight w:val="none"/>
          <w:u w:val="single"/>
        </w:rPr>
      </w:pPr>
      <w:r>
        <w:rPr>
          <w:color w:val="auto"/>
          <w:szCs w:val="21"/>
          <w:highlight w:val="none"/>
        </w:rPr>
        <w:t>（1）发包人将有关函件送达给承包人的现场项目代表，并由其签收；承包人将有关函件送达给发包人项目现场负责人，并由其签收。</w:t>
      </w:r>
    </w:p>
    <w:p>
      <w:pPr>
        <w:shd w:val="clear" w:color="auto" w:fill="auto"/>
        <w:ind w:firstLine="420"/>
        <w:outlineLvl w:val="9"/>
        <w:rPr>
          <w:color w:val="auto"/>
          <w:szCs w:val="21"/>
          <w:highlight w:val="none"/>
          <w:u w:val="none"/>
        </w:rPr>
      </w:pPr>
      <w:r>
        <w:rPr>
          <w:color w:val="auto"/>
          <w:szCs w:val="21"/>
          <w:highlight w:val="none"/>
          <w:u w:val="none"/>
        </w:rPr>
        <w:t>（2）发包人将有关函件寄送给承包人如下地址：            ；承包人将有关函件寄送给发包人如下地址：            。任何一方将有关函件邮寄至另一方的上述地址即视为送达。</w:t>
      </w:r>
    </w:p>
    <w:p>
      <w:pPr>
        <w:shd w:val="clear" w:color="auto" w:fill="auto"/>
        <w:ind w:firstLine="420"/>
        <w:outlineLvl w:val="9"/>
        <w:rPr>
          <w:color w:val="auto"/>
          <w:szCs w:val="21"/>
          <w:highlight w:val="none"/>
          <w:u w:val="none"/>
        </w:rPr>
      </w:pPr>
      <w:r>
        <w:rPr>
          <w:color w:val="auto"/>
          <w:szCs w:val="21"/>
          <w:highlight w:val="none"/>
          <w:u w:val="none"/>
        </w:rPr>
        <w:t>（3）发包人将有关函件发送到承包人如下电子邮箱：            ；承包人将有关函件发送到发包人如下电子邮箱：            。任何一方的有关函件进入另一方上述邮件系统即视为送达。</w:t>
      </w:r>
    </w:p>
    <w:p>
      <w:pPr>
        <w:shd w:val="clear" w:color="auto" w:fill="auto"/>
        <w:ind w:firstLine="420"/>
        <w:outlineLvl w:val="9"/>
        <w:rPr>
          <w:color w:val="auto"/>
          <w:szCs w:val="21"/>
          <w:highlight w:val="none"/>
        </w:rPr>
      </w:pPr>
      <w:r>
        <w:rPr>
          <w:color w:val="auto"/>
          <w:szCs w:val="21"/>
          <w:highlight w:val="none"/>
        </w:rPr>
        <w:t>（4）在上述三种方式都不能有效送达的情况下，任何一方均可向对方登报公开送达，有关函件、通知的内容应刊登在全国公开发行的报纸上或者被送达方所在地全省（自治区、直辖市）公开发行的报纸上。</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 xml:space="preserve">25.8 保密义务 </w:t>
      </w:r>
    </w:p>
    <w:p>
      <w:pPr>
        <w:shd w:val="clear" w:color="auto" w:fill="auto"/>
        <w:ind w:firstLine="420"/>
        <w:outlineLvl w:val="9"/>
        <w:rPr>
          <w:color w:val="auto"/>
          <w:szCs w:val="21"/>
          <w:highlight w:val="none"/>
        </w:rPr>
      </w:pPr>
      <w:r>
        <w:rPr>
          <w:color w:val="auto"/>
          <w:szCs w:val="21"/>
          <w:highlight w:val="none"/>
        </w:rPr>
        <w:t>25.8.1 未经发包人同意，承包人承诺不得将保密信息用于本项目目的以外的其他任何目的，不得引用、利用、公开发表，不得将任何保密信息泄露给任何第三方，否则均将视为对本协议项下保密义务的违反，需就此对发包人造成的一切损害承担赔偿责任。施工过程中形成的信息属于发包人知识产权，属于保密范围。</w:t>
      </w:r>
    </w:p>
    <w:p>
      <w:pPr>
        <w:shd w:val="clear" w:color="auto" w:fill="auto"/>
        <w:ind w:firstLine="420"/>
        <w:outlineLvl w:val="9"/>
        <w:rPr>
          <w:color w:val="auto"/>
          <w:szCs w:val="21"/>
          <w:highlight w:val="none"/>
        </w:rPr>
      </w:pPr>
      <w:r>
        <w:rPr>
          <w:color w:val="auto"/>
          <w:szCs w:val="21"/>
          <w:highlight w:val="none"/>
        </w:rPr>
        <w:t xml:space="preserve">25.8.2 前款“保密信息”指发包人或其任何关联方就本项目以任何方式提供给承包人及其关联方（包括但不限于承包人管理人员、工作人员、分包方、设备供应商等）的任何信息（该等信息包括但不限于任何发包人及其关联方的商业秘密、技术秘密、地质资料、测风数据、海洋水文数据以及其他具有保密性质的信息），包括该等信息或由该等信息衍生或复制的口头信息、任何书面文件、电子文档、或任何其他表现或记录信息的方式。承包人或其关联方违反本协议约定的保密义务，均视为承包人违反本协议约定的保密义务，承包人需就此对发包人造成的一切损害承担赔偿责任。 </w:t>
      </w:r>
    </w:p>
    <w:p>
      <w:pPr>
        <w:shd w:val="clear" w:color="auto" w:fill="auto"/>
        <w:ind w:firstLine="420"/>
        <w:outlineLvl w:val="9"/>
        <w:rPr>
          <w:color w:val="auto"/>
          <w:szCs w:val="21"/>
          <w:highlight w:val="none"/>
        </w:rPr>
      </w:pPr>
      <w:r>
        <w:rPr>
          <w:color w:val="auto"/>
          <w:szCs w:val="21"/>
          <w:highlight w:val="none"/>
        </w:rPr>
        <w:t xml:space="preserve">25.8.3 本协议终止或解除均不影响保密条款的效力。协议终止后，经发包人要求，承包人从发包人或其关联方获取的保密信息均应依照发包人要求的方式处理。 </w:t>
      </w:r>
    </w:p>
    <w:p>
      <w:pPr>
        <w:pStyle w:val="482"/>
        <w:shd w:val="clear" w:color="auto" w:fill="auto"/>
        <w:ind w:firstLine="422"/>
        <w:outlineLvl w:val="9"/>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25.9 安全生产费</w:t>
      </w:r>
    </w:p>
    <w:p>
      <w:pPr>
        <w:shd w:val="clear" w:color="auto" w:fill="auto"/>
        <w:ind w:firstLine="420"/>
        <w:outlineLvl w:val="9"/>
        <w:rPr>
          <w:color w:val="auto"/>
          <w:szCs w:val="21"/>
          <w:highlight w:val="none"/>
        </w:rPr>
      </w:pPr>
      <w:r>
        <w:rPr>
          <w:color w:val="auto"/>
          <w:szCs w:val="21"/>
          <w:highlight w:val="none"/>
        </w:rPr>
        <w:t>25.9.1 安全生产费用应当按照以下规定范围使用：</w:t>
      </w:r>
    </w:p>
    <w:p>
      <w:pPr>
        <w:shd w:val="clear" w:color="auto" w:fill="auto"/>
        <w:ind w:firstLine="420"/>
        <w:outlineLvl w:val="9"/>
        <w:rPr>
          <w:color w:val="auto"/>
          <w:szCs w:val="21"/>
          <w:highlight w:val="none"/>
        </w:rPr>
      </w:pPr>
      <w:r>
        <w:rPr>
          <w:color w:val="auto"/>
          <w:szCs w:val="21"/>
          <w:highlight w:val="none"/>
        </w:rPr>
        <w:t>a) 完善、改造和维护安全防护设施设备支出（不含“三同时”要求初期投入的安全设施），包括施工现 场临时用电系统、机械设备、高处作业防护、交叉作业防护、防火、防爆、防尘、防毒、防雷、防台风 、防地质灾害、临时安全防护等设施设备支出；</w:t>
      </w:r>
    </w:p>
    <w:p>
      <w:pPr>
        <w:shd w:val="clear" w:color="auto" w:fill="auto"/>
        <w:ind w:firstLine="420"/>
        <w:outlineLvl w:val="9"/>
        <w:rPr>
          <w:color w:val="auto"/>
          <w:szCs w:val="21"/>
          <w:highlight w:val="none"/>
        </w:rPr>
      </w:pPr>
      <w:r>
        <w:rPr>
          <w:color w:val="auto"/>
          <w:szCs w:val="21"/>
          <w:highlight w:val="none"/>
        </w:rPr>
        <w:t>b) 配备、维护、保养应急救援器材、设备支出和应急演练支出；</w:t>
      </w:r>
    </w:p>
    <w:p>
      <w:pPr>
        <w:shd w:val="clear" w:color="auto" w:fill="auto"/>
        <w:ind w:firstLine="420"/>
        <w:outlineLvl w:val="9"/>
        <w:rPr>
          <w:color w:val="auto"/>
          <w:szCs w:val="21"/>
          <w:highlight w:val="none"/>
        </w:rPr>
      </w:pPr>
      <w:r>
        <w:rPr>
          <w:color w:val="auto"/>
          <w:szCs w:val="21"/>
          <w:highlight w:val="none"/>
        </w:rPr>
        <w:t>c) 开展重大危险源和事故隐患评估、监控和整改支出；</w:t>
      </w:r>
    </w:p>
    <w:p>
      <w:pPr>
        <w:shd w:val="clear" w:color="auto" w:fill="auto"/>
        <w:ind w:firstLine="420"/>
        <w:outlineLvl w:val="9"/>
        <w:rPr>
          <w:color w:val="auto"/>
          <w:szCs w:val="21"/>
          <w:highlight w:val="none"/>
        </w:rPr>
      </w:pPr>
      <w:r>
        <w:rPr>
          <w:color w:val="auto"/>
          <w:szCs w:val="21"/>
          <w:highlight w:val="none"/>
        </w:rPr>
        <w:t>d) 安全生产检查、评价（不包括新建、改建、扩建项目安全评价）、咨询和标准化建设支出；</w:t>
      </w:r>
    </w:p>
    <w:p>
      <w:pPr>
        <w:shd w:val="clear" w:color="auto" w:fill="auto"/>
        <w:ind w:firstLine="420"/>
        <w:outlineLvl w:val="9"/>
        <w:rPr>
          <w:color w:val="auto"/>
          <w:szCs w:val="21"/>
          <w:highlight w:val="none"/>
        </w:rPr>
      </w:pPr>
      <w:r>
        <w:rPr>
          <w:color w:val="auto"/>
          <w:szCs w:val="21"/>
          <w:highlight w:val="none"/>
        </w:rPr>
        <w:t>e) 配备和更新现场作业人员安全防护用品支出；</w:t>
      </w:r>
    </w:p>
    <w:p>
      <w:pPr>
        <w:shd w:val="clear" w:color="auto" w:fill="auto"/>
        <w:ind w:firstLine="420"/>
        <w:outlineLvl w:val="9"/>
        <w:rPr>
          <w:color w:val="auto"/>
          <w:szCs w:val="21"/>
          <w:highlight w:val="none"/>
        </w:rPr>
      </w:pPr>
      <w:r>
        <w:rPr>
          <w:color w:val="auto"/>
          <w:szCs w:val="21"/>
          <w:highlight w:val="none"/>
        </w:rPr>
        <w:t>f) 安全生产宣传、教育、培训支出；</w:t>
      </w:r>
    </w:p>
    <w:p>
      <w:pPr>
        <w:shd w:val="clear" w:color="auto" w:fill="auto"/>
        <w:ind w:firstLine="420"/>
        <w:outlineLvl w:val="9"/>
        <w:rPr>
          <w:color w:val="auto"/>
          <w:szCs w:val="21"/>
          <w:highlight w:val="none"/>
        </w:rPr>
      </w:pPr>
      <w:r>
        <w:rPr>
          <w:color w:val="auto"/>
          <w:szCs w:val="21"/>
          <w:highlight w:val="none"/>
        </w:rPr>
        <w:t>g) 安全生产适用的新技术、新标准、新工艺、新装备的推广应用支出；</w:t>
      </w:r>
    </w:p>
    <w:p>
      <w:pPr>
        <w:shd w:val="clear" w:color="auto" w:fill="auto"/>
        <w:ind w:firstLine="420"/>
        <w:outlineLvl w:val="9"/>
        <w:rPr>
          <w:color w:val="auto"/>
          <w:szCs w:val="21"/>
          <w:highlight w:val="none"/>
        </w:rPr>
      </w:pPr>
      <w:r>
        <w:rPr>
          <w:color w:val="auto"/>
          <w:szCs w:val="21"/>
          <w:highlight w:val="none"/>
        </w:rPr>
        <w:t>h) 安全设施及特种设备检测检验支出；</w:t>
      </w:r>
    </w:p>
    <w:p>
      <w:pPr>
        <w:shd w:val="clear" w:color="auto" w:fill="auto"/>
        <w:ind w:firstLine="420"/>
        <w:outlineLvl w:val="9"/>
        <w:rPr>
          <w:color w:val="auto"/>
          <w:szCs w:val="21"/>
          <w:highlight w:val="none"/>
        </w:rPr>
      </w:pPr>
      <w:r>
        <w:rPr>
          <w:color w:val="auto"/>
          <w:szCs w:val="21"/>
          <w:highlight w:val="none"/>
        </w:rPr>
        <w:t>i) 其他与安全生产直接相关的支出。</w:t>
      </w:r>
    </w:p>
    <w:p>
      <w:pPr>
        <w:shd w:val="clear" w:color="auto" w:fill="auto"/>
        <w:ind w:firstLine="420"/>
        <w:outlineLvl w:val="9"/>
        <w:rPr>
          <w:color w:val="auto"/>
          <w:szCs w:val="21"/>
          <w:highlight w:val="none"/>
        </w:rPr>
      </w:pPr>
      <w:r>
        <w:rPr>
          <w:color w:val="auto"/>
          <w:szCs w:val="21"/>
          <w:highlight w:val="none"/>
        </w:rPr>
        <w:t>在上述使用范围内，承包人应当将安全生产费用优先用于满足政府有关部门、发包人和监理人对承包人安全生产提出的整改措施或者达到安全生产标准所需的支出。</w:t>
      </w:r>
    </w:p>
    <w:p>
      <w:pPr>
        <w:shd w:val="clear" w:color="auto" w:fill="auto"/>
        <w:ind w:firstLine="420"/>
        <w:outlineLvl w:val="9"/>
        <w:rPr>
          <w:color w:val="auto"/>
          <w:szCs w:val="21"/>
          <w:highlight w:val="none"/>
        </w:rPr>
      </w:pPr>
      <w:r>
        <w:rPr>
          <w:color w:val="auto"/>
          <w:szCs w:val="21"/>
          <w:highlight w:val="none"/>
        </w:rPr>
        <w:t>25.9.2 发包人认为在承包人安全生产费用实施范围内有必要实施的安全生产措施，但承包人未履行职责实施的，根据工程施工实际情况，必要时可由发包人组织实施，所产生的费用计入该承包人的项目安全生产费用。</w:t>
      </w:r>
    </w:p>
    <w:p>
      <w:pPr>
        <w:shd w:val="clear" w:color="auto" w:fill="auto"/>
        <w:ind w:firstLine="420"/>
        <w:outlineLvl w:val="9"/>
        <w:rPr>
          <w:color w:val="auto"/>
          <w:szCs w:val="21"/>
          <w:highlight w:val="none"/>
        </w:rPr>
      </w:pPr>
      <w:r>
        <w:rPr>
          <w:color w:val="auto"/>
          <w:szCs w:val="21"/>
          <w:highlight w:val="none"/>
        </w:rPr>
        <w:t>25.9.3 承包人为职工提供的职业病防治、工伤保险、医疗保险以及为高危作业人员办理人身意外伤害保险所需费用，不在安全生产费用中列支。</w:t>
      </w:r>
    </w:p>
    <w:p>
      <w:pPr>
        <w:shd w:val="clear" w:color="auto" w:fill="auto"/>
        <w:ind w:firstLine="420"/>
        <w:outlineLvl w:val="9"/>
        <w:rPr>
          <w:color w:val="auto"/>
          <w:szCs w:val="21"/>
          <w:highlight w:val="none"/>
        </w:rPr>
      </w:pPr>
      <w:r>
        <w:rPr>
          <w:color w:val="auto"/>
          <w:szCs w:val="21"/>
          <w:highlight w:val="none"/>
        </w:rPr>
        <w:t>25.9.4 承包人应及时投入安全生产相关费用，单个安全生产费用项目实施后，监理单位再对承包人安全生产费用项目实际完成情况进行复核，报发包人予以结算。</w:t>
      </w:r>
    </w:p>
    <w:p>
      <w:pPr>
        <w:shd w:val="clear" w:color="auto" w:fill="auto"/>
        <w:ind w:firstLine="422"/>
        <w:outlineLvl w:val="9"/>
        <w:rPr>
          <w:color w:val="auto"/>
          <w:szCs w:val="21"/>
          <w:highlight w:val="none"/>
        </w:rPr>
      </w:pPr>
      <w:r>
        <w:rPr>
          <w:b/>
          <w:color w:val="auto"/>
          <w:highlight w:val="none"/>
        </w:rPr>
        <w:br w:type="page"/>
      </w:r>
      <w:r>
        <w:rPr>
          <w:color w:val="auto"/>
          <w:szCs w:val="21"/>
          <w:highlight w:val="none"/>
        </w:rPr>
        <w:t>附件</w:t>
      </w:r>
      <w:r>
        <w:rPr>
          <w:rFonts w:hint="eastAsia"/>
          <w:color w:val="auto"/>
          <w:szCs w:val="21"/>
          <w:highlight w:val="none"/>
        </w:rPr>
        <w:t>一</w:t>
      </w:r>
      <w:r>
        <w:rPr>
          <w:color w:val="auto"/>
          <w:szCs w:val="21"/>
          <w:highlight w:val="none"/>
        </w:rPr>
        <w:t xml:space="preserve">  安全生产协议</w:t>
      </w:r>
    </w:p>
    <w:p>
      <w:pPr>
        <w:shd w:val="clear" w:color="auto" w:fill="auto"/>
        <w:ind w:firstLine="420"/>
        <w:jc w:val="center"/>
        <w:outlineLvl w:val="9"/>
        <w:rPr>
          <w:rFonts w:eastAsia="黑体"/>
          <w:color w:val="auto"/>
          <w:szCs w:val="21"/>
          <w:highlight w:val="none"/>
        </w:rPr>
      </w:pPr>
      <w:r>
        <w:rPr>
          <w:rFonts w:eastAsia="黑体"/>
          <w:color w:val="auto"/>
          <w:szCs w:val="21"/>
          <w:highlight w:val="none"/>
        </w:rPr>
        <w:t>安全生产协议</w:t>
      </w:r>
    </w:p>
    <w:p>
      <w:pPr>
        <w:shd w:val="clear" w:color="auto" w:fill="auto"/>
        <w:snapToGrid/>
        <w:ind w:firstLine="510" w:firstLineChars="0"/>
        <w:outlineLvl w:val="9"/>
        <w:rPr>
          <w:bCs/>
          <w:color w:val="auto"/>
          <w:szCs w:val="21"/>
          <w:highlight w:val="none"/>
        </w:rPr>
      </w:pPr>
      <w:r>
        <w:rPr>
          <w:bCs/>
          <w:color w:val="auto"/>
          <w:szCs w:val="21"/>
          <w:highlight w:val="none"/>
        </w:rPr>
        <w:t>甲  方（发包人）：</w:t>
      </w:r>
      <w:r>
        <w:rPr>
          <w:bCs/>
          <w:color w:val="auto"/>
          <w:szCs w:val="21"/>
          <w:highlight w:val="none"/>
          <w:u w:val="single"/>
        </w:rPr>
        <w:t xml:space="preserve">                               </w:t>
      </w:r>
    </w:p>
    <w:p>
      <w:pPr>
        <w:shd w:val="clear" w:color="auto" w:fill="auto"/>
        <w:snapToGrid/>
        <w:ind w:firstLine="510" w:firstLineChars="0"/>
        <w:outlineLvl w:val="9"/>
        <w:rPr>
          <w:bCs/>
          <w:color w:val="auto"/>
          <w:szCs w:val="21"/>
          <w:highlight w:val="none"/>
        </w:rPr>
      </w:pPr>
      <w:r>
        <w:rPr>
          <w:bCs/>
          <w:color w:val="auto"/>
          <w:szCs w:val="21"/>
          <w:highlight w:val="none"/>
        </w:rPr>
        <w:t>乙  方（承包人）：</w:t>
      </w:r>
      <w:r>
        <w:rPr>
          <w:bCs/>
          <w:color w:val="auto"/>
          <w:szCs w:val="21"/>
          <w:highlight w:val="none"/>
          <w:u w:val="single"/>
        </w:rPr>
        <w:t xml:space="preserve">                               </w:t>
      </w:r>
    </w:p>
    <w:p>
      <w:pPr>
        <w:shd w:val="clear" w:color="auto" w:fill="auto"/>
        <w:snapToGrid/>
        <w:ind w:firstLine="495" w:firstLineChars="236"/>
        <w:outlineLvl w:val="9"/>
        <w:rPr>
          <w:bCs/>
          <w:color w:val="auto"/>
          <w:szCs w:val="21"/>
          <w:highlight w:val="none"/>
        </w:rPr>
      </w:pPr>
    </w:p>
    <w:p>
      <w:pPr>
        <w:shd w:val="clear" w:color="auto" w:fill="auto"/>
        <w:snapToGrid/>
        <w:ind w:firstLine="495" w:firstLineChars="236"/>
        <w:outlineLvl w:val="9"/>
        <w:rPr>
          <w:bCs/>
          <w:color w:val="auto"/>
          <w:szCs w:val="21"/>
          <w:highlight w:val="none"/>
        </w:rPr>
      </w:pPr>
      <w:r>
        <w:rPr>
          <w:bCs/>
          <w:color w:val="auto"/>
          <w:szCs w:val="21"/>
          <w:highlight w:val="none"/>
        </w:rPr>
        <w:t>为贯彻“安全第一、预防为主、综合治理”的方针，明确双方安全生产责任，确保工程施工安全，依据《中华人民共和国安全生产法》等法律、法规，签订本协议。</w:t>
      </w:r>
      <w:r>
        <w:rPr>
          <w:color w:val="auto"/>
          <w:szCs w:val="21"/>
          <w:highlight w:val="none"/>
        </w:rPr>
        <w:t>本协议作为</w:t>
      </w:r>
      <w:r>
        <w:rPr>
          <w:color w:val="auto"/>
          <w:szCs w:val="21"/>
          <w:highlight w:val="none"/>
          <w:u w:val="single"/>
        </w:rPr>
        <w:t xml:space="preserve">                </w:t>
      </w:r>
      <w:r>
        <w:rPr>
          <w:color w:val="auto"/>
          <w:szCs w:val="21"/>
          <w:highlight w:val="none"/>
        </w:rPr>
        <w:t>合同(合同编号：</w:t>
      </w:r>
      <w:r>
        <w:rPr>
          <w:color w:val="auto"/>
          <w:szCs w:val="21"/>
          <w:highlight w:val="none"/>
          <w:u w:val="single"/>
        </w:rPr>
        <w:t xml:space="preserve">        ，以下简称“主合同”</w:t>
      </w:r>
      <w:r>
        <w:rPr>
          <w:color w:val="auto"/>
          <w:szCs w:val="21"/>
          <w:highlight w:val="none"/>
        </w:rPr>
        <w:t>)的组成部分，与主合同具有同等法律效力。</w:t>
      </w:r>
    </w:p>
    <w:p>
      <w:pPr>
        <w:shd w:val="clear" w:color="auto" w:fill="auto"/>
        <w:snapToGrid/>
        <w:ind w:firstLine="495" w:firstLineChars="236"/>
        <w:outlineLvl w:val="9"/>
        <w:rPr>
          <w:color w:val="auto"/>
          <w:szCs w:val="21"/>
          <w:highlight w:val="none"/>
        </w:rPr>
      </w:pPr>
      <w:r>
        <w:rPr>
          <w:color w:val="auto"/>
          <w:szCs w:val="21"/>
          <w:highlight w:val="none"/>
        </w:rPr>
        <w:t>第一条 安全生产目标</w:t>
      </w:r>
    </w:p>
    <w:p>
      <w:pPr>
        <w:shd w:val="clear" w:color="auto" w:fill="auto"/>
        <w:snapToGrid/>
        <w:ind w:firstLine="495" w:firstLineChars="236"/>
        <w:outlineLvl w:val="9"/>
        <w:rPr>
          <w:bCs/>
          <w:color w:val="auto"/>
          <w:szCs w:val="21"/>
          <w:highlight w:val="none"/>
        </w:rPr>
      </w:pPr>
      <w:r>
        <w:rPr>
          <w:color w:val="auto"/>
          <w:szCs w:val="21"/>
          <w:highlight w:val="none"/>
        </w:rPr>
        <w:t>（一）不发人员死亡生产安全事故</w:t>
      </w:r>
      <w:r>
        <w:rPr>
          <w:bCs/>
          <w:color w:val="auto"/>
          <w:szCs w:val="21"/>
          <w:highlight w:val="none"/>
        </w:rPr>
        <w:t>。</w:t>
      </w:r>
    </w:p>
    <w:p>
      <w:pPr>
        <w:shd w:val="clear" w:color="auto" w:fill="auto"/>
        <w:snapToGrid/>
        <w:ind w:firstLine="495" w:firstLineChars="236"/>
        <w:outlineLvl w:val="9"/>
        <w:rPr>
          <w:bCs/>
          <w:color w:val="auto"/>
          <w:szCs w:val="21"/>
          <w:highlight w:val="none"/>
        </w:rPr>
      </w:pPr>
      <w:r>
        <w:rPr>
          <w:bCs/>
          <w:color w:val="auto"/>
          <w:szCs w:val="21"/>
          <w:highlight w:val="none"/>
        </w:rPr>
        <w:t>（二）不发生人员重伤生产安全事故。</w:t>
      </w:r>
    </w:p>
    <w:p>
      <w:pPr>
        <w:shd w:val="clear" w:color="auto" w:fill="auto"/>
        <w:snapToGrid/>
        <w:ind w:firstLine="495" w:firstLineChars="236"/>
        <w:outlineLvl w:val="9"/>
        <w:rPr>
          <w:bCs/>
          <w:color w:val="auto"/>
          <w:szCs w:val="21"/>
          <w:highlight w:val="none"/>
        </w:rPr>
      </w:pPr>
      <w:r>
        <w:rPr>
          <w:bCs/>
          <w:color w:val="auto"/>
          <w:szCs w:val="21"/>
          <w:highlight w:val="none"/>
        </w:rPr>
        <w:t>（三）不发生直接经济损失30万元以上的生产安全事故。</w:t>
      </w:r>
    </w:p>
    <w:p>
      <w:pPr>
        <w:shd w:val="clear" w:color="auto" w:fill="auto"/>
        <w:snapToGrid/>
        <w:ind w:firstLine="495" w:firstLineChars="236"/>
        <w:outlineLvl w:val="9"/>
        <w:rPr>
          <w:bCs/>
          <w:color w:val="auto"/>
          <w:szCs w:val="21"/>
          <w:highlight w:val="none"/>
        </w:rPr>
      </w:pPr>
      <w:r>
        <w:rPr>
          <w:bCs/>
          <w:color w:val="auto"/>
          <w:szCs w:val="21"/>
          <w:highlight w:val="none"/>
        </w:rPr>
        <w:t>（四）不瞒报、谎报、迟报生产安全事故。</w:t>
      </w:r>
    </w:p>
    <w:p>
      <w:pPr>
        <w:shd w:val="clear" w:color="auto" w:fill="auto"/>
        <w:snapToGrid/>
        <w:ind w:firstLine="495" w:firstLineChars="236"/>
        <w:outlineLvl w:val="9"/>
        <w:rPr>
          <w:bCs/>
          <w:color w:val="auto"/>
          <w:szCs w:val="21"/>
          <w:highlight w:val="none"/>
        </w:rPr>
      </w:pPr>
      <w:r>
        <w:rPr>
          <w:bCs/>
          <w:color w:val="auto"/>
          <w:szCs w:val="21"/>
          <w:highlight w:val="none"/>
        </w:rPr>
        <w:t>（五）不发生职业病。</w:t>
      </w:r>
    </w:p>
    <w:p>
      <w:pPr>
        <w:shd w:val="clear" w:color="auto" w:fill="auto"/>
        <w:snapToGrid/>
        <w:ind w:firstLine="495" w:firstLineChars="236"/>
        <w:outlineLvl w:val="9"/>
        <w:rPr>
          <w:bCs/>
          <w:color w:val="auto"/>
          <w:szCs w:val="21"/>
          <w:highlight w:val="none"/>
        </w:rPr>
      </w:pPr>
      <w:r>
        <w:rPr>
          <w:bCs/>
          <w:color w:val="auto"/>
          <w:szCs w:val="21"/>
          <w:highlight w:val="none"/>
        </w:rPr>
        <w:t>第二条 甲方（发包人）安全责任与义务</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严格遵守国家有关安全生产的法律法规及</w:t>
      </w:r>
      <w:r>
        <w:rPr>
          <w:rFonts w:hint="eastAsia"/>
          <w:bCs/>
          <w:color w:val="auto"/>
          <w:szCs w:val="21"/>
          <w:highlight w:val="none"/>
        </w:rPr>
        <w:t>云南省能源投资集团有限公司</w:t>
      </w:r>
      <w:r>
        <w:rPr>
          <w:bCs/>
          <w:color w:val="auto"/>
          <w:szCs w:val="21"/>
          <w:highlight w:val="none"/>
        </w:rPr>
        <w:t>的各项安全管理规定，认真执行主合同中的有关安全要求。</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 xml:space="preserve">建立健全安全生产组织和管理机制，负责主合同约定工作任务实施过程中的安全生产组织、协调、监督职责。建立由发包人、设计人、监理人和施工承包人等参加的安全生产委员会。 </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建立健全主合同约定工作任务实施过程中的安全管理制度，包括安全生产责任制、安全生产投入、安全检查和隐患排查治理、职业病危害防治、安全教育培训、危险源辨识和风险管控、相关方管理、“三同时”管理、设备设施安全管理、安全考核奖惩、安全事故管理和应急管理等，组织开展制度的学习宣贯，规范参建各方的安全管理职责和工作程序。</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严格承包人准入管理，查验承包人的生产经营范围和有关资质，履行工程分包管理监督责任，严禁施工单位发生转包、违法分包及挂靠等违法行为，督促承包人将分包单位纳入工程安全管理体系，严禁以包代管、包而不管。</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向承包人提供施工现场及毗邻区域内各种地下管线、气象、水文、地质等相关资料，提供相邻建筑物和构筑物、地下工程等有关资料。</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按照国家有关安全生产费用投入和使用管理规定，根据施工进展情况，及时、足额向承包人支付安全生产费用。</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建立健全安全风险分级管控机制，组织承包人全面辨识其承揽的合同任务面临的安全风险，选择科学的方法评估风险等级、制定风险管控措施并有效组织实施。</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建立健全安全生产监督检查和隐患排查治理机制，实施施工现场全过程安全生产管理，定期组织对承包人开展安全生产检查，督促承包人落实安全责任，及时消除安全隐患，对承包人的安全管理进行监督考核。</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积极推进工程现场安全生产标准化工作，督促承包人实行现场安全标准化管理。</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建立工程应急管理体系，编制应急综合预案，组织设计人、监理人、承包人等制定各类安全事故应急预案，落实应急组织、程序、资源及措施，定期组织演练，建立与国家有关部门、地方政府应急体系的协调联动机制，确保应急工作有效实施。</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组织参建单位落实防灾减灾责任，建立健全自然灾害预警和应急响应机制，对重点区域、重要部位地质灾害情况进行评估检查。应当对营地选址布置方案进行风险分析和评估，合理选址。组织承包人对易发生泥石流、山体滑坡等地质灾害工程项目的生活办公营地、生产设备设施、施工现场及周边环境开展地质灾害隐患排查，制定和落实防范措施。</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建立健全安全生产应急响应和事故处置机制，实施突发事件应急抢险和事故救援，不得瞒报、谎报、迟报事故。</w:t>
      </w:r>
    </w:p>
    <w:p>
      <w:pPr>
        <w:numPr>
          <w:ilvl w:val="0"/>
          <w:numId w:val="3"/>
        </w:numPr>
        <w:shd w:val="clear" w:color="auto" w:fill="auto"/>
        <w:snapToGrid/>
        <w:ind w:firstLineChars="0"/>
        <w:outlineLvl w:val="9"/>
        <w:rPr>
          <w:bCs/>
          <w:color w:val="auto"/>
          <w:szCs w:val="21"/>
          <w:highlight w:val="none"/>
        </w:rPr>
      </w:pPr>
      <w:r>
        <w:rPr>
          <w:bCs/>
          <w:color w:val="auto"/>
          <w:szCs w:val="21"/>
          <w:highlight w:val="none"/>
        </w:rPr>
        <w:t>及时协调和解决影响安全生产的重大问题。</w:t>
      </w:r>
    </w:p>
    <w:p>
      <w:pPr>
        <w:numPr>
          <w:ilvl w:val="0"/>
          <w:numId w:val="3"/>
        </w:numPr>
        <w:shd w:val="clear" w:color="auto" w:fill="auto"/>
        <w:snapToGrid/>
        <w:ind w:firstLineChars="0"/>
        <w:outlineLvl w:val="9"/>
        <w:rPr>
          <w:color w:val="auto"/>
          <w:szCs w:val="21"/>
          <w:highlight w:val="none"/>
        </w:rPr>
      </w:pPr>
      <w:r>
        <w:rPr>
          <w:bCs/>
          <w:color w:val="auto"/>
          <w:szCs w:val="21"/>
          <w:highlight w:val="none"/>
        </w:rPr>
        <w:t>督导监理人监督承包人按照施工安全措施计划实施，甲方（发包人）与监理人应不定期对安全投入进行检查。</w:t>
      </w:r>
    </w:p>
    <w:p>
      <w:pPr>
        <w:shd w:val="clear" w:color="auto" w:fill="auto"/>
        <w:snapToGrid/>
        <w:ind w:firstLine="495" w:firstLineChars="236"/>
        <w:outlineLvl w:val="9"/>
        <w:rPr>
          <w:bCs/>
          <w:color w:val="auto"/>
          <w:szCs w:val="21"/>
          <w:highlight w:val="none"/>
        </w:rPr>
      </w:pPr>
      <w:r>
        <w:rPr>
          <w:bCs/>
          <w:color w:val="auto"/>
          <w:szCs w:val="21"/>
          <w:highlight w:val="none"/>
        </w:rPr>
        <w:t>第三条 乙方（承包人）安全责任与义务</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严格遵守国家有关安全生产的法律法规及</w:t>
      </w:r>
      <w:r>
        <w:rPr>
          <w:rFonts w:hint="eastAsia"/>
          <w:bCs/>
          <w:color w:val="auto"/>
          <w:szCs w:val="21"/>
          <w:highlight w:val="none"/>
        </w:rPr>
        <w:t>云南省能源投资集团有限公司</w:t>
      </w:r>
      <w:r>
        <w:rPr>
          <w:bCs/>
          <w:color w:val="auto"/>
          <w:szCs w:val="21"/>
          <w:highlight w:val="none"/>
        </w:rPr>
        <w:t>、发包人的各项安全管理规定，认真执行工程承包合同中的有关安全要求。</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对施工现场的安全生产负责，应按照“党政同责、一岗双责、齐抓共管、失职追责”的原则，建立健全纵向到底，横向到边的安全生产责任制，规定从项目总负责人、书记、分管生产经营副经理、分管安全副经理、总工程师等管理人员到基层员工的岗位安全生产职责，并将分包商纳入本单位统一的安全生产管理体系，确保层层落实安全生产责任。</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设置独立的安全生产管理机构，配备专职分管安全生产工作的项目副经理及专职安全管理人员，专职安全管理人员数量不低于施工总人数2%，专职负责安全生产管理工作。</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建立健全安全生产管理制度和操作规程，并将相关要求列入进场人员的培训内容，在主合同任务执行过程中加强制度和操作规程执行情况的检查，确保制度和操作规程执行到位。</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按国家有关规定和合同约定计列和使用安全生产费用。应当编制安全生产费用使用计划，报监理人审批，实施后需计量支付，确保专款专用。</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自行完成主体工程的施工，除可依法对劳务作业进行劳务分包外，不得对主体工程进行其他形式的分包；严禁发生《建筑工程施工发包与承包违法行为认定查处管理办法》中认定的转包、违法分包及挂靠等违法行为。</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依法将主体工程以外项目进行专业分包的，分包单位必须具有相应资质和安全生产许可证。承包人应履行工程安全生产监督管理职责，严格分包单位准入，承担工程安全生产连带管理责任，分包单位对其承包的施工现场安全生产负责。</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实行劳务分包的，承包人应当履行劳务分包安全管理责任，派驻专职安全管理人员对劳务分包单位进行安全管理，将劳务派遣人员、临时用工人员纳入本单位的安全管理体系，严格执行带班制度，落实安全措施，加强作业现场管理和控制，并对施工现场的安全生产承担主体责任。</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强化准入管理，建立涉及人员、设备、材料、船舶、施工机械等内容的进场管理制度，明确准入管理要求并有效组织实施。</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在工程开工前，承包人应当开展现场查勘，编制安全预评价报告、施工组织设计、施工方案和安全技术措施并按相关管理规定报发包人、监理人同意。</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在施工组织设计中编制安全技术措施和施工现场临时用电方案，对达到一定规模的危险性较大的分部分项工程（基坑支护与降水工程、土方开挖工程、模板工程、</w:t>
      </w:r>
      <w:r>
        <w:rPr>
          <w:color w:val="auto"/>
          <w:kern w:val="0"/>
          <w:szCs w:val="21"/>
          <w:highlight w:val="none"/>
        </w:rPr>
        <w:t>起重吊装工程、脚手架工程、拆除、爆破工程、海上大件吊装、沉桩施工、导管架吊装、水下灌浆施工、风电机组安装、海缆敷设等</w:t>
      </w:r>
      <w:r>
        <w:rPr>
          <w:bCs/>
          <w:color w:val="auto"/>
          <w:szCs w:val="21"/>
          <w:highlight w:val="none"/>
        </w:rPr>
        <w:t>）编制专项施工方案，并附具安全验算结果，经承包人技术负责人、监理人总监理工程师签字后实施，由专职安全生产管理人员进行现场监督；对复杂自然条件、复杂结构、技术难度大及危险性较大的分部分项工程，承包人应组织专家进行论证、审查。</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 xml:space="preserve">分部分项工程开工前，承包人负责项目管理的技术人员应当向作业人员进行安全技术交底，如实告知作业场所和工作岗位可能存在的风险因素、防范措施以及现场应急处置方案，并由双方签字确认。 </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承包人进行有限空间作业、临近高压输电线路作业、危险场所动火作业、爆破作业、吊装作业等危险作业时，应当制定作业方案，经本单位技术负责人审查同意，确认现场作业条件符合安全作业要求，确认作业人员的上岗资格、身体状况及配备的劳动防护用品符合安全作业要求，向作业人员说明现场危险因素、作业安全要求及应急措施，安排专门人员进行现场安全管理，发现危及人身安全的紧急情况时，采取应急措施，立即停止作业并撤出作业人员。</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建立风险分级管控机制，定期开展安全风险辨识，科学评定安全风险等级，建立分部分项工程风险清单，制定针对性措施有效管控安全风险，对存在较大安全风险的工作场所，要设置明显警示标识，强化危险源监测和预警。</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建立隐患排查治理长效机制，定期组织施工现场安全检查和隐患排查治理活动。施工班组每天开展日常安全检查，施工队每周至少开展一次安全生产综合大检查，承包人每月至少组织一次安全生产综合大检查，每季度开展一次有关消防、道路交通安全、设备安全、防坍塌安全等类型的专项检查，对检查出的隐患承包人应下达书面隐患整改通知书，限期整改闭合。同时，承包人应积极配合发包人的安全生产检查，对发包人签发的安全隐患整改通知书应及时进行整改。</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承包人应积极推进安全生产标准化，确保施工现场标准化施工，严格按照行业标准开展安全生产标准化达标评级；按规定设置安全标志牌，安全标识标牌准确、醒目并满足现场要求。</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按照相关规定组织开展安全生产教育培训工作。项目主要负责人、专职安全生产管理人员、特种作业人员需经培训合格后持证上岗，新入场人员特别是农民工应经过三级安全教育，考试合格后持证上岗作业。新入场人员（含农民工）安全培训和每年再培训学时应不少于法律法规要求。每个施工人员都应熟悉安全管理制度和安全操作规程。</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应当按照规定召开班前会和危险预知活动，明确当班任务，分析存在的风险，制定有效的防范措施。承包人必须按规定为现场作业人员配备劳动防护用品，不按规定穿戴防护用品的人员不得上岗。</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负责管辖范围内的防洪度汛防台风工作，应编制年度防洪度汛防台风方案和应急预案，经监理人批准后实施。</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负责管辖范围内的地质灾害防治工作，加强施工区域内和附近有可能对施工造成影响的冲沟、变形体的监测和防护，采取必要的工程措施，对山洪、泥石流、崩塌等地质灾害点按设计方案进行疏导、拦挡、清理，确保施工安全。</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对工程施工可能造成损害和影响的毗邻建筑物、构筑物、地下管线、架空线缆、设计及周边环境采取专项防护措施。对施工现场出入口、通道口、孔洞口、邻近带电区、易燃易爆及危险化学品存放处等危险区域和部位采取防护措施并设置明显的安全警示标志。</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负责管辖范围内的消防工作，制定用火、用电、易燃易爆材料使用等安全管理制度，建立消防管理机构，配备相应人员，确定消防安全责任人；按规定设置消防通道、消防水源、消防设施和消防器材，并定期进行消防安全检查。</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按照国家有关规定采购、租赁、验收、检测、发放、使用、维护和管理施工机械、特种设备，建立施工设备安全管理制度、安全操作规程及相应的管理台账、维保记录档案。应配置专门的机构和人员负责施工设备（包括其辖区内发包人的施工设备）的安全管理工作。严格遵守各类设备的安全操作规程，确保设备所有安全保护装置、机构的齐备、完好、可靠。采取有效的预防控制措施，防止设备的碰撞、倾覆、失控。</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承包人使用的特种设备应是取得许可生产并经检验合格的特种设备。特种设备的登记标志、检测合格标志应置于该特种设备的显著位置。</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在进行调试、试运行前，应当按照法律法规和工程建设强制性标准，编制调试大纲、试验方案，对各项试验方案制定安全技术措施并严格实施。</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为履行本合同，需要使用、运输并贮存炸药、雷管、导爆索等民爆物品时，应事先采取必要的安排或预防措施，并应遵守民爆物品有关安全管理规定。对于其他易燃易爆品或其他在使用、运输或贮存中的危险物品，也应遵守有关的法律、条例和规定。承包人应对施工爆破产生的振动、冲击波、飞石等对承包的工程结构（包括围岩）相邻或附近的已建建筑物与设备设施承担安全责任。</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承包人应加强职业健康管理，要采取有效措施防范职业病发生，尤其要落实防尘、防毒措施。对从事具有职业危害的施工生产人员应在岗前、岗中、离岗时进行职业病体检，岗中体检每年不少于一次。</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施工中采用新技术、新工艺、新设备、新材料时，必须制定相应的安全技术措施和安全操作规程。</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根据工程施工特点、范围，制定应急救援预案、现场处置方案，并组织开展应急培训和演练。应将分包单位纳入应急管理体系，组织分包单位开展应急管理工作。</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对其工程以及其管辖范围内的人员、材料和设备（包括在其辖区内发包人的人员、材料和设备）的安全负责。应负责做好辖区工作场所和居住区的日常治安保护工作。</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若发生安全事故，承包人应积极采取有效措施，救治受伤人员、保护事故现场、防止事故扩大或发生衍生事故，并及时、如实向发包人和行业、地方负有安全生产监督管理的部门报告，不得隐瞒不报、谎报、迟报。承包人应处理好事故善后事宜，并按照“四不放过”的原则进行事故调查与处理。当发生人员死亡事故，应由承包人上级主管部门成立事故调查组，认真开展事故调查和处理工作，并及时向发包人报送事故调查和处理报告。承包人应服从发包人的统一指挥，积极配合发包人及其上级主管单位事故调查组开展事故调查，根据发包人提出的事故处理意见对事故责任人进行处罚和整改措施落实，并按规定发包人支付违约金。</w:t>
      </w:r>
    </w:p>
    <w:p>
      <w:pPr>
        <w:numPr>
          <w:ilvl w:val="0"/>
          <w:numId w:val="4"/>
        </w:numPr>
        <w:shd w:val="clear" w:color="auto" w:fill="auto"/>
        <w:snapToGrid/>
        <w:ind w:firstLineChars="0"/>
        <w:outlineLvl w:val="9"/>
        <w:rPr>
          <w:bCs/>
          <w:color w:val="auto"/>
          <w:szCs w:val="21"/>
          <w:highlight w:val="none"/>
        </w:rPr>
      </w:pPr>
      <w:r>
        <w:rPr>
          <w:bCs/>
          <w:color w:val="auto"/>
          <w:szCs w:val="21"/>
          <w:highlight w:val="none"/>
        </w:rPr>
        <w:t>承包人应按照国家法律法规要求确保安全投入，安全投入应根据施工安全措施计划等据实开展，并定期向监理人和发包人报告安全投入项及对应安全投入费用，承包人对其所报告内容的真实性负责，并随时接受甲方（发包人）与监理人对承包人安全投入的检查。</w:t>
      </w:r>
    </w:p>
    <w:p>
      <w:pPr>
        <w:shd w:val="clear" w:color="auto" w:fill="auto"/>
        <w:snapToGrid/>
        <w:ind w:firstLine="495" w:firstLineChars="236"/>
        <w:outlineLvl w:val="9"/>
        <w:rPr>
          <w:bCs/>
          <w:color w:val="auto"/>
          <w:szCs w:val="21"/>
          <w:highlight w:val="none"/>
        </w:rPr>
      </w:pPr>
      <w:r>
        <w:rPr>
          <w:bCs/>
          <w:color w:val="auto"/>
          <w:szCs w:val="21"/>
          <w:highlight w:val="none"/>
        </w:rPr>
        <w:t>第四条 违约责任</w:t>
      </w:r>
    </w:p>
    <w:p>
      <w:pPr>
        <w:numPr>
          <w:ilvl w:val="0"/>
          <w:numId w:val="5"/>
        </w:numPr>
        <w:shd w:val="clear" w:color="auto" w:fill="auto"/>
        <w:snapToGrid/>
        <w:ind w:firstLineChars="0"/>
        <w:outlineLvl w:val="9"/>
        <w:rPr>
          <w:bCs/>
          <w:color w:val="auto"/>
          <w:szCs w:val="21"/>
          <w:highlight w:val="none"/>
        </w:rPr>
      </w:pPr>
      <w:r>
        <w:rPr>
          <w:bCs/>
          <w:color w:val="auto"/>
          <w:szCs w:val="21"/>
          <w:highlight w:val="none"/>
        </w:rPr>
        <w:t>发包人有权对承包人合同履行</w:t>
      </w:r>
      <w:r>
        <w:rPr>
          <w:color w:val="auto"/>
          <w:szCs w:val="21"/>
          <w:highlight w:val="none"/>
        </w:rPr>
        <w:t>期间的安全生产落实情况进行定期监督考核，并将考核结果在全工地通报。</w:t>
      </w:r>
    </w:p>
    <w:p>
      <w:pPr>
        <w:numPr>
          <w:ilvl w:val="0"/>
          <w:numId w:val="5"/>
        </w:numPr>
        <w:shd w:val="clear" w:color="auto" w:fill="auto"/>
        <w:snapToGrid/>
        <w:ind w:firstLineChars="0"/>
        <w:outlineLvl w:val="9"/>
        <w:rPr>
          <w:color w:val="auto"/>
          <w:szCs w:val="21"/>
          <w:highlight w:val="none"/>
        </w:rPr>
      </w:pPr>
      <w:r>
        <w:rPr>
          <w:color w:val="auto"/>
          <w:szCs w:val="21"/>
          <w:highlight w:val="none"/>
        </w:rPr>
        <w:t>合同履行期间，承包人在发包人组织的安全生产考核中，连续两次考核后两名的，发包人有权约谈承包人项目总负责人；连续两次考核不合格的，</w:t>
      </w:r>
      <w:r>
        <w:rPr>
          <w:bCs/>
          <w:color w:val="auto"/>
          <w:szCs w:val="21"/>
          <w:highlight w:val="none"/>
        </w:rPr>
        <w:t>发包人</w:t>
      </w:r>
      <w:r>
        <w:rPr>
          <w:color w:val="auto"/>
          <w:szCs w:val="21"/>
          <w:highlight w:val="none"/>
        </w:rPr>
        <w:t>有权清退承包人项目总负责人甚至</w:t>
      </w:r>
      <w:r>
        <w:rPr>
          <w:bCs/>
          <w:color w:val="auto"/>
          <w:szCs w:val="21"/>
          <w:highlight w:val="none"/>
        </w:rPr>
        <w:t>终止工程合同</w:t>
      </w:r>
      <w:r>
        <w:rPr>
          <w:color w:val="auto"/>
          <w:szCs w:val="21"/>
          <w:highlight w:val="none"/>
        </w:rPr>
        <w:t>，并由承包人承担由此造成的全部损失。</w:t>
      </w:r>
    </w:p>
    <w:p>
      <w:pPr>
        <w:numPr>
          <w:ilvl w:val="0"/>
          <w:numId w:val="5"/>
        </w:numPr>
        <w:shd w:val="clear" w:color="auto" w:fill="auto"/>
        <w:snapToGrid/>
        <w:ind w:firstLineChars="0"/>
        <w:outlineLvl w:val="9"/>
        <w:rPr>
          <w:color w:val="auto"/>
          <w:szCs w:val="21"/>
          <w:highlight w:val="none"/>
        </w:rPr>
      </w:pPr>
      <w:r>
        <w:rPr>
          <w:color w:val="auto"/>
          <w:szCs w:val="21"/>
          <w:highlight w:val="none"/>
        </w:rPr>
        <w:t>承包人发生未有效履行本协议第三条约定的相关义务的情况后，发包人应及时发出书面通知，明确承包人存在的问题，提出改进要求及整改时限。若承包人未按要求组织整改，应按1~2万元/次向发包人支付违约金。</w:t>
      </w:r>
    </w:p>
    <w:p>
      <w:pPr>
        <w:numPr>
          <w:ilvl w:val="0"/>
          <w:numId w:val="5"/>
        </w:numPr>
        <w:shd w:val="clear" w:color="auto" w:fill="auto"/>
        <w:snapToGrid/>
        <w:ind w:firstLineChars="0"/>
        <w:outlineLvl w:val="9"/>
        <w:rPr>
          <w:color w:val="auto"/>
          <w:szCs w:val="21"/>
          <w:highlight w:val="none"/>
        </w:rPr>
      </w:pPr>
      <w:r>
        <w:rPr>
          <w:color w:val="auto"/>
          <w:szCs w:val="21"/>
          <w:highlight w:val="none"/>
        </w:rPr>
        <w:t>承包人对员工安全培训不到位，未对新入场人员进行岗前培训、岗前培训或再培训不满足学时要求的，应按500元/人次向发包人支付违约金。</w:t>
      </w:r>
    </w:p>
    <w:p>
      <w:pPr>
        <w:numPr>
          <w:ilvl w:val="0"/>
          <w:numId w:val="5"/>
        </w:numPr>
        <w:shd w:val="clear" w:color="auto" w:fill="auto"/>
        <w:snapToGrid/>
        <w:ind w:firstLineChars="0"/>
        <w:outlineLvl w:val="9"/>
        <w:rPr>
          <w:color w:val="auto"/>
          <w:szCs w:val="21"/>
          <w:highlight w:val="none"/>
        </w:rPr>
      </w:pPr>
      <w:r>
        <w:rPr>
          <w:color w:val="auto"/>
          <w:szCs w:val="21"/>
          <w:highlight w:val="none"/>
        </w:rPr>
        <w:t>承包人未落实安全生产法律法规标准和合同约定的有关规定，造成重大安全生产隐患或同类安全生产隐患重复发生的，应按1~2万元/次向发包人支付违约金。</w:t>
      </w:r>
    </w:p>
    <w:p>
      <w:pPr>
        <w:numPr>
          <w:ilvl w:val="0"/>
          <w:numId w:val="5"/>
        </w:numPr>
        <w:shd w:val="clear" w:color="auto" w:fill="auto"/>
        <w:snapToGrid/>
        <w:ind w:firstLineChars="0"/>
        <w:outlineLvl w:val="9"/>
        <w:rPr>
          <w:color w:val="auto"/>
          <w:szCs w:val="21"/>
          <w:highlight w:val="none"/>
        </w:rPr>
      </w:pPr>
      <w:r>
        <w:rPr>
          <w:bCs/>
          <w:color w:val="auto"/>
          <w:szCs w:val="21"/>
          <w:highlight w:val="none"/>
        </w:rPr>
        <w:t>承包人不按期整改且无正当理由或拒不整改发包人指出的安全隐患的，按2~5万元/次向发包人支付违约金，同时，发包人有权安排第三方消除安全隐患，所需费用由承包人承担。</w:t>
      </w:r>
    </w:p>
    <w:p>
      <w:pPr>
        <w:numPr>
          <w:ilvl w:val="0"/>
          <w:numId w:val="5"/>
        </w:numPr>
        <w:shd w:val="clear" w:color="auto" w:fill="auto"/>
        <w:snapToGrid/>
        <w:ind w:firstLineChars="0"/>
        <w:outlineLvl w:val="9"/>
        <w:rPr>
          <w:color w:val="auto"/>
          <w:szCs w:val="21"/>
          <w:highlight w:val="none"/>
        </w:rPr>
      </w:pPr>
      <w:r>
        <w:rPr>
          <w:color w:val="auto"/>
          <w:szCs w:val="21"/>
          <w:highlight w:val="none"/>
        </w:rPr>
        <w:t>承包人违反安全生产管理规定导致安全生产事故发生，死亡按50万元/人向发包人支付违约金，重伤按10万元/人向发包人支付违约金，同时，发包人有权对承包人进行全工地通报、通报承包人上级主管部门，并约谈承包人上级主管单位负责人；发生较大及以上生产安全事故的、累计年度死亡人数达到3人或发生瞒报、谎报或迟报生产安全事故的，发包人有权清退承包人项目总负责人，将承包人纳入发包人供应商黑名单，甚至终止工程合同，并由承包人承担由此造成的全部损失。</w:t>
      </w:r>
    </w:p>
    <w:p>
      <w:pPr>
        <w:shd w:val="clear" w:color="auto" w:fill="auto"/>
        <w:snapToGrid/>
        <w:ind w:firstLine="495" w:firstLineChars="236"/>
        <w:outlineLvl w:val="9"/>
        <w:rPr>
          <w:color w:val="auto"/>
          <w:szCs w:val="21"/>
          <w:highlight w:val="none"/>
        </w:rPr>
      </w:pPr>
      <w:r>
        <w:rPr>
          <w:color w:val="auto"/>
          <w:szCs w:val="21"/>
          <w:highlight w:val="none"/>
        </w:rPr>
        <w:t>第五条 附则</w:t>
      </w:r>
    </w:p>
    <w:p>
      <w:pPr>
        <w:shd w:val="clear" w:color="auto" w:fill="auto"/>
        <w:snapToGrid/>
        <w:ind w:firstLine="495" w:firstLineChars="236"/>
        <w:outlineLvl w:val="9"/>
        <w:rPr>
          <w:color w:val="auto"/>
          <w:szCs w:val="21"/>
          <w:highlight w:val="none"/>
        </w:rPr>
      </w:pPr>
      <w:r>
        <w:rPr>
          <w:bCs/>
          <w:color w:val="auto"/>
          <w:szCs w:val="21"/>
          <w:highlight w:val="none"/>
        </w:rPr>
        <w:t>（一）</w:t>
      </w:r>
      <w:r>
        <w:rPr>
          <w:rFonts w:hint="eastAsia"/>
          <w:bCs/>
          <w:color w:val="auto"/>
          <w:szCs w:val="21"/>
          <w:highlight w:val="none"/>
        </w:rPr>
        <w:t>承包人</w:t>
      </w:r>
      <w:r>
        <w:rPr>
          <w:bCs/>
          <w:color w:val="auto"/>
          <w:szCs w:val="21"/>
          <w:highlight w:val="none"/>
        </w:rPr>
        <w:t>承诺安全生产费用满足乙方履行合同需要，安全生产费应当用于施工安全防护用品及设施的采购和更新、安全施工措施的落实、安全生产条件的改善等相关内容，不得挪作他用。</w:t>
      </w:r>
    </w:p>
    <w:p>
      <w:pPr>
        <w:shd w:val="clear" w:color="auto" w:fill="auto"/>
        <w:ind w:firstLine="420"/>
        <w:outlineLvl w:val="9"/>
        <w:rPr>
          <w:color w:val="auto"/>
          <w:szCs w:val="21"/>
          <w:highlight w:val="none"/>
        </w:rPr>
      </w:pPr>
      <w:r>
        <w:rPr>
          <w:bCs/>
          <w:color w:val="auto"/>
          <w:szCs w:val="21"/>
          <w:highlight w:val="none"/>
        </w:rPr>
        <w:t>（二）</w:t>
      </w:r>
      <w:r>
        <w:rPr>
          <w:color w:val="auto"/>
          <w:szCs w:val="21"/>
          <w:highlight w:val="none"/>
        </w:rPr>
        <w:t>由双方法定代表人或其授权代表签字并盖章后与主合同同时生效，主合同全部义务履行完毕后终止。</w:t>
      </w:r>
    </w:p>
    <w:p>
      <w:pPr>
        <w:shd w:val="clear" w:color="auto" w:fill="auto"/>
        <w:ind w:firstLine="420"/>
        <w:outlineLvl w:val="9"/>
        <w:rPr>
          <w:color w:val="auto"/>
          <w:szCs w:val="21"/>
          <w:highlight w:val="none"/>
        </w:rPr>
      </w:pPr>
    </w:p>
    <w:p>
      <w:pPr>
        <w:shd w:val="clear" w:color="auto" w:fill="auto"/>
        <w:spacing w:after="120"/>
        <w:ind w:firstLine="420"/>
        <w:outlineLvl w:val="9"/>
        <w:rPr>
          <w:color w:val="auto"/>
          <w:szCs w:val="21"/>
          <w:highlight w:val="none"/>
        </w:rPr>
      </w:pPr>
    </w:p>
    <w:p>
      <w:pPr>
        <w:shd w:val="clear" w:color="auto" w:fill="auto"/>
        <w:spacing w:line="440" w:lineRule="exact"/>
        <w:ind w:left="5250" w:leftChars="2500" w:firstLine="420"/>
        <w:outlineLvl w:val="9"/>
        <w:rPr>
          <w:color w:val="auto"/>
          <w:szCs w:val="21"/>
          <w:highlight w:val="none"/>
        </w:rPr>
      </w:pPr>
    </w:p>
    <w:p>
      <w:pPr>
        <w:shd w:val="clear" w:color="auto" w:fill="auto"/>
        <w:snapToGrid/>
        <w:ind w:firstLine="0" w:firstLineChars="0"/>
        <w:outlineLvl w:val="9"/>
        <w:rPr>
          <w:color w:val="auto"/>
          <w:szCs w:val="21"/>
          <w:highlight w:val="none"/>
        </w:rPr>
      </w:pPr>
      <w:r>
        <w:rPr>
          <w:color w:val="auto"/>
          <w:szCs w:val="21"/>
          <w:highlight w:val="none"/>
        </w:rPr>
        <w:t>发包人</w:t>
      </w:r>
      <w:r>
        <w:rPr>
          <w:rFonts w:hint="eastAsia"/>
          <w:color w:val="auto"/>
          <w:szCs w:val="21"/>
          <w:highlight w:val="none"/>
        </w:rPr>
        <w:t>（盖单位章）</w:t>
      </w:r>
      <w:r>
        <w:rPr>
          <w:color w:val="auto"/>
          <w:szCs w:val="21"/>
          <w:highlight w:val="none"/>
        </w:rPr>
        <w:t>：                      承包人</w:t>
      </w:r>
      <w:r>
        <w:rPr>
          <w:rFonts w:hint="eastAsia"/>
          <w:color w:val="auto"/>
          <w:szCs w:val="21"/>
          <w:highlight w:val="none"/>
        </w:rPr>
        <w:t>（盖单位章）</w:t>
      </w:r>
      <w:r>
        <w:rPr>
          <w:color w:val="auto"/>
          <w:szCs w:val="21"/>
          <w:highlight w:val="none"/>
        </w:rPr>
        <w:t>：</w:t>
      </w:r>
    </w:p>
    <w:p>
      <w:pPr>
        <w:shd w:val="clear" w:color="auto" w:fill="auto"/>
        <w:snapToGrid/>
        <w:ind w:firstLine="0" w:firstLineChars="0"/>
        <w:outlineLvl w:val="9"/>
        <w:rPr>
          <w:color w:val="auto"/>
          <w:szCs w:val="21"/>
          <w:highlight w:val="none"/>
        </w:rPr>
      </w:pPr>
    </w:p>
    <w:p>
      <w:pPr>
        <w:shd w:val="clear" w:color="auto" w:fill="auto"/>
        <w:snapToGrid/>
        <w:ind w:firstLine="0" w:firstLineChars="0"/>
        <w:outlineLvl w:val="9"/>
        <w:rPr>
          <w:color w:val="auto"/>
          <w:szCs w:val="21"/>
          <w:highlight w:val="none"/>
        </w:rPr>
      </w:pPr>
      <w:r>
        <w:rPr>
          <w:color w:val="auto"/>
          <w:szCs w:val="21"/>
          <w:highlight w:val="none"/>
        </w:rPr>
        <w:t xml:space="preserve">法定代表人/其委托代理人：（签字）       </w:t>
      </w:r>
      <w:r>
        <w:rPr>
          <w:rFonts w:hint="eastAsia"/>
          <w:color w:val="auto"/>
          <w:szCs w:val="21"/>
          <w:highlight w:val="none"/>
        </w:rPr>
        <w:t xml:space="preserve">  </w:t>
      </w:r>
      <w:r>
        <w:rPr>
          <w:color w:val="auto"/>
          <w:szCs w:val="21"/>
          <w:highlight w:val="none"/>
        </w:rPr>
        <w:t>法定代表人/其委托代理人：（签字）</w:t>
      </w:r>
    </w:p>
    <w:p>
      <w:pPr>
        <w:shd w:val="clear" w:color="auto" w:fill="auto"/>
        <w:spacing w:after="120"/>
        <w:ind w:firstLine="420"/>
        <w:outlineLvl w:val="9"/>
        <w:rPr>
          <w:color w:val="auto"/>
          <w:szCs w:val="21"/>
          <w:highlight w:val="none"/>
        </w:rPr>
      </w:pPr>
    </w:p>
    <w:p>
      <w:pPr>
        <w:shd w:val="clear" w:color="auto" w:fill="auto"/>
        <w:snapToGrid/>
        <w:ind w:firstLine="1575" w:firstLineChars="750"/>
        <w:outlineLvl w:val="9"/>
        <w:rPr>
          <w:color w:val="auto"/>
          <w:szCs w:val="21"/>
          <w:highlight w:val="none"/>
        </w:rPr>
      </w:pPr>
      <w:r>
        <w:rPr>
          <w:color w:val="auto"/>
          <w:szCs w:val="21"/>
          <w:highlight w:val="none"/>
        </w:rPr>
        <w:t>年    月     日                        年    月    日</w:t>
      </w:r>
    </w:p>
    <w:p>
      <w:pPr>
        <w:shd w:val="clear" w:color="auto" w:fill="auto"/>
        <w:snapToGrid/>
        <w:ind w:firstLine="0" w:firstLineChars="0"/>
        <w:outlineLvl w:val="9"/>
        <w:rPr>
          <w:color w:val="auto"/>
          <w:szCs w:val="21"/>
          <w:highlight w:val="none"/>
        </w:rPr>
      </w:pPr>
    </w:p>
    <w:p>
      <w:pPr>
        <w:pStyle w:val="483"/>
        <w:shd w:val="clear" w:color="auto" w:fill="auto"/>
        <w:spacing w:before="60" w:after="60"/>
        <w:ind w:firstLine="602"/>
        <w:jc w:val="both"/>
        <w:outlineLvl w:val="9"/>
        <w:rPr>
          <w:rFonts w:ascii="Times New Roman" w:hAnsi="Times New Roman" w:cs="Times New Roman"/>
          <w:color w:val="auto"/>
          <w:sz w:val="21"/>
          <w:highlight w:val="none"/>
        </w:rPr>
      </w:pPr>
      <w:r>
        <w:rPr>
          <w:bCs w:val="0"/>
          <w:color w:val="auto"/>
          <w:highlight w:val="none"/>
        </w:rPr>
        <w:br w:type="page"/>
      </w:r>
      <w:bookmarkStart w:id="507" w:name="_Toc2560"/>
      <w:bookmarkStart w:id="508" w:name="_Toc3142"/>
      <w:bookmarkStart w:id="509" w:name="_Toc144327119"/>
      <w:r>
        <w:rPr>
          <w:rFonts w:ascii="Times New Roman" w:hAnsi="Times New Roman" w:cs="Times New Roman"/>
          <w:color w:val="auto"/>
          <w:sz w:val="21"/>
          <w:highlight w:val="none"/>
        </w:rPr>
        <w:t>附件</w:t>
      </w:r>
      <w:r>
        <w:rPr>
          <w:rFonts w:hint="eastAsia" w:ascii="Times New Roman" w:hAnsi="Times New Roman" w:cs="Times New Roman"/>
          <w:color w:val="auto"/>
          <w:sz w:val="21"/>
          <w:highlight w:val="none"/>
        </w:rPr>
        <w:t>二</w:t>
      </w:r>
      <w:r>
        <w:rPr>
          <w:rFonts w:ascii="Times New Roman" w:hAnsi="Times New Roman" w:cs="Times New Roman"/>
          <w:color w:val="auto"/>
          <w:sz w:val="21"/>
          <w:highlight w:val="none"/>
        </w:rPr>
        <w:t xml:space="preserve">  工程质量保修书</w:t>
      </w:r>
      <w:bookmarkEnd w:id="507"/>
      <w:bookmarkEnd w:id="508"/>
      <w:bookmarkEnd w:id="509"/>
    </w:p>
    <w:p>
      <w:pPr>
        <w:shd w:val="clear" w:color="auto" w:fill="auto"/>
        <w:ind w:firstLine="420"/>
        <w:jc w:val="center"/>
        <w:outlineLvl w:val="9"/>
        <w:rPr>
          <w:rFonts w:eastAsia="黑体"/>
          <w:color w:val="auto"/>
          <w:szCs w:val="21"/>
          <w:highlight w:val="none"/>
        </w:rPr>
      </w:pPr>
      <w:r>
        <w:rPr>
          <w:rFonts w:eastAsia="黑体"/>
          <w:color w:val="auto"/>
          <w:szCs w:val="21"/>
          <w:highlight w:val="none"/>
        </w:rPr>
        <w:t>工程质量保修书</w:t>
      </w:r>
    </w:p>
    <w:p>
      <w:pPr>
        <w:shd w:val="clear" w:color="auto" w:fill="auto"/>
        <w:ind w:firstLine="420"/>
        <w:outlineLvl w:val="9"/>
        <w:rPr>
          <w:color w:val="auto"/>
          <w:szCs w:val="21"/>
          <w:highlight w:val="none"/>
        </w:rPr>
      </w:pPr>
      <w:r>
        <w:rPr>
          <w:color w:val="auto"/>
          <w:szCs w:val="21"/>
          <w:highlight w:val="none"/>
        </w:rPr>
        <w:t>发包人（全称）：</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u w:val="single"/>
        </w:rPr>
        <w:tab/>
      </w:r>
    </w:p>
    <w:p>
      <w:pPr>
        <w:shd w:val="clear" w:color="auto" w:fill="auto"/>
        <w:ind w:firstLine="420"/>
        <w:outlineLvl w:val="9"/>
        <w:rPr>
          <w:color w:val="auto"/>
          <w:szCs w:val="21"/>
          <w:highlight w:val="none"/>
          <w:u w:val="single"/>
        </w:rPr>
      </w:pPr>
      <w:r>
        <w:rPr>
          <w:color w:val="auto"/>
          <w:szCs w:val="21"/>
          <w:highlight w:val="none"/>
        </w:rPr>
        <w:t>承包人（全称）：</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p>
    <w:p>
      <w:pPr>
        <w:shd w:val="clear" w:color="auto" w:fill="auto"/>
        <w:ind w:firstLine="420"/>
        <w:outlineLvl w:val="9"/>
        <w:rPr>
          <w:color w:val="auto"/>
          <w:szCs w:val="21"/>
          <w:highlight w:val="none"/>
        </w:rPr>
      </w:pPr>
      <w:r>
        <w:rPr>
          <w:color w:val="auto"/>
          <w:szCs w:val="21"/>
          <w:highlight w:val="none"/>
        </w:rPr>
        <w:t>发包人、承包人根据《中华人民共和国建筑法》、《建设工程质量管理条例》和《房屋建筑工程质量保修办法》等法律法规，经协商一致，对</w:t>
      </w:r>
      <w:r>
        <w:rPr>
          <w:color w:val="auto"/>
          <w:szCs w:val="21"/>
          <w:highlight w:val="none"/>
          <w:u w:val="single"/>
        </w:rPr>
        <w:t xml:space="preserve">       </w:t>
      </w:r>
      <w:r>
        <w:rPr>
          <w:color w:val="auto"/>
          <w:szCs w:val="21"/>
          <w:highlight w:val="none"/>
        </w:rPr>
        <w:t>（项目名称）签订工程质量保修书。</w:t>
      </w:r>
    </w:p>
    <w:p>
      <w:pPr>
        <w:pStyle w:val="36"/>
        <w:shd w:val="clear" w:color="auto" w:fill="auto"/>
        <w:ind w:left="0" w:leftChars="0" w:firstLine="420"/>
        <w:outlineLvl w:val="9"/>
        <w:rPr>
          <w:iCs/>
          <w:color w:val="auto"/>
          <w:szCs w:val="21"/>
          <w:highlight w:val="none"/>
        </w:rPr>
      </w:pPr>
      <w:bookmarkStart w:id="510" w:name="_Toc144327120"/>
      <w:bookmarkStart w:id="511" w:name="_Toc9547"/>
      <w:bookmarkStart w:id="512" w:name="_Toc3374"/>
      <w:r>
        <w:rPr>
          <w:iCs/>
          <w:color w:val="auto"/>
          <w:szCs w:val="21"/>
          <w:highlight w:val="none"/>
        </w:rPr>
        <w:t>1．工程质量保修范围和内容</w:t>
      </w:r>
      <w:bookmarkEnd w:id="510"/>
      <w:bookmarkEnd w:id="511"/>
      <w:bookmarkEnd w:id="512"/>
    </w:p>
    <w:p>
      <w:pPr>
        <w:shd w:val="clear" w:color="auto" w:fill="auto"/>
        <w:ind w:firstLine="420"/>
        <w:outlineLvl w:val="9"/>
        <w:rPr>
          <w:color w:val="auto"/>
          <w:szCs w:val="21"/>
          <w:highlight w:val="none"/>
        </w:rPr>
      </w:pPr>
      <w:r>
        <w:rPr>
          <w:color w:val="auto"/>
          <w:szCs w:val="21"/>
          <w:highlight w:val="none"/>
        </w:rPr>
        <w:t>承包人在质量保修期内，按照有关法律、法规、规章规定和双方约定，承担本工程质量保修责任。</w:t>
      </w:r>
    </w:p>
    <w:p>
      <w:pPr>
        <w:shd w:val="clear" w:color="auto" w:fill="auto"/>
        <w:ind w:firstLine="420"/>
        <w:outlineLvl w:val="9"/>
        <w:rPr>
          <w:color w:val="auto"/>
          <w:szCs w:val="21"/>
          <w:highlight w:val="none"/>
        </w:rPr>
      </w:pPr>
      <w:r>
        <w:rPr>
          <w:color w:val="auto"/>
          <w:szCs w:val="21"/>
          <w:highlight w:val="none"/>
        </w:rPr>
        <w:t>质量保修内容，双方约定如下：</w:t>
      </w:r>
    </w:p>
    <w:p>
      <w:pPr>
        <w:shd w:val="clear" w:color="auto" w:fill="auto"/>
        <w:ind w:firstLine="420"/>
        <w:outlineLvl w:val="9"/>
        <w:rPr>
          <w:color w:val="auto"/>
          <w:szCs w:val="21"/>
          <w:highlight w:val="none"/>
          <w:u w:val="single"/>
        </w:rPr>
      </w:pPr>
      <w:r>
        <w:rPr>
          <w:color w:val="auto"/>
          <w:szCs w:val="21"/>
          <w:highlight w:val="none"/>
          <w:u w:val="single"/>
        </w:rPr>
        <w:t xml:space="preserve">《            （项目名称）合同》（合同编号：           ）（以下简称“原合同”）中约定的承包人全部工作内容。 </w:t>
      </w:r>
      <w:r>
        <w:rPr>
          <w:color w:val="auto"/>
          <w:szCs w:val="21"/>
          <w:highlight w:val="none"/>
        </w:rPr>
        <w:t xml:space="preserve"> </w:t>
      </w:r>
    </w:p>
    <w:p>
      <w:pPr>
        <w:pStyle w:val="36"/>
        <w:shd w:val="clear" w:color="auto" w:fill="auto"/>
        <w:ind w:left="0" w:leftChars="0" w:firstLine="420"/>
        <w:outlineLvl w:val="9"/>
        <w:rPr>
          <w:iCs/>
          <w:color w:val="auto"/>
          <w:szCs w:val="21"/>
          <w:highlight w:val="none"/>
        </w:rPr>
      </w:pPr>
      <w:bookmarkStart w:id="513" w:name="_Toc13500"/>
      <w:bookmarkStart w:id="514" w:name="_Toc5333"/>
      <w:bookmarkStart w:id="515" w:name="_Toc144327121"/>
      <w:r>
        <w:rPr>
          <w:iCs/>
          <w:color w:val="auto"/>
          <w:szCs w:val="21"/>
          <w:highlight w:val="none"/>
        </w:rPr>
        <w:t>2．质量保修期</w:t>
      </w:r>
      <w:bookmarkEnd w:id="513"/>
      <w:bookmarkEnd w:id="514"/>
      <w:bookmarkEnd w:id="515"/>
    </w:p>
    <w:p>
      <w:pPr>
        <w:pStyle w:val="487"/>
        <w:shd w:val="clear" w:color="auto" w:fill="auto"/>
        <w:tabs>
          <w:tab w:val="clear" w:pos="420"/>
        </w:tabs>
        <w:snapToGrid w:val="0"/>
        <w:ind w:firstLine="420" w:firstLineChars="200"/>
        <w:outlineLvl w:val="9"/>
        <w:rPr>
          <w:rFonts w:ascii="Times New Roman" w:hAnsi="Times New Roman"/>
          <w:color w:val="auto"/>
          <w:sz w:val="21"/>
          <w:szCs w:val="21"/>
          <w:highlight w:val="none"/>
        </w:rPr>
      </w:pPr>
      <w:r>
        <w:rPr>
          <w:rFonts w:ascii="Times New Roman" w:hAnsi="Times New Roman"/>
          <w:color w:val="auto"/>
          <w:sz w:val="21"/>
          <w:szCs w:val="21"/>
          <w:highlight w:val="none"/>
        </w:rPr>
        <w:t>根据《建设工程质量管理条例》及有关规定，工程的质量保修期如下：</w:t>
      </w:r>
    </w:p>
    <w:p>
      <w:pPr>
        <w:pStyle w:val="487"/>
        <w:shd w:val="clear" w:color="auto" w:fill="auto"/>
        <w:tabs>
          <w:tab w:val="clear" w:pos="420"/>
        </w:tabs>
        <w:snapToGrid w:val="0"/>
        <w:ind w:firstLine="420" w:firstLineChars="200"/>
        <w:outlineLvl w:val="9"/>
        <w:rPr>
          <w:rFonts w:ascii="Times New Roman" w:hAnsi="Times New Roman"/>
          <w:color w:val="auto"/>
          <w:sz w:val="21"/>
          <w:szCs w:val="21"/>
          <w:highlight w:val="none"/>
        </w:rPr>
      </w:pPr>
      <w:r>
        <w:rPr>
          <w:rFonts w:ascii="Times New Roman" w:hAnsi="Times New Roman"/>
          <w:color w:val="auto"/>
          <w:sz w:val="21"/>
          <w:szCs w:val="21"/>
          <w:highlight w:val="none"/>
        </w:rPr>
        <w:t>质量保修期自工程接收证书签发之日起计算。</w:t>
      </w:r>
    </w:p>
    <w:p>
      <w:pPr>
        <w:pStyle w:val="487"/>
        <w:shd w:val="clear" w:color="auto" w:fill="auto"/>
        <w:tabs>
          <w:tab w:val="clear" w:pos="420"/>
        </w:tabs>
        <w:snapToGrid w:val="0"/>
        <w:ind w:firstLine="420" w:firstLineChars="200"/>
        <w:outlineLvl w:val="9"/>
        <w:rPr>
          <w:rFonts w:ascii="Times New Roman" w:hAnsi="Times New Roman"/>
          <w:color w:val="auto"/>
          <w:sz w:val="21"/>
          <w:szCs w:val="21"/>
          <w:highlight w:val="none"/>
        </w:rPr>
      </w:pPr>
      <w:r>
        <w:rPr>
          <w:rFonts w:ascii="Times New Roman" w:hAnsi="Times New Roman"/>
          <w:color w:val="auto"/>
          <w:sz w:val="21"/>
          <w:szCs w:val="21"/>
          <w:highlight w:val="none"/>
        </w:rPr>
        <w:t>缺陷责任期为工程接收证书签发之日起</w:t>
      </w:r>
      <w:r>
        <w:rPr>
          <w:rFonts w:hint="eastAsia" w:ascii="Times New Roman" w:hAnsi="Times New Roman"/>
          <w:color w:val="auto"/>
          <w:sz w:val="21"/>
          <w:szCs w:val="21"/>
          <w:highlight w:val="none"/>
          <w:lang w:val="en-US" w:eastAsia="zh-CN"/>
        </w:rPr>
        <w:t>12</w:t>
      </w:r>
      <w:r>
        <w:rPr>
          <w:rFonts w:ascii="Times New Roman" w:hAnsi="Times New Roman"/>
          <w:color w:val="auto"/>
          <w:sz w:val="21"/>
          <w:szCs w:val="21"/>
          <w:highlight w:val="none"/>
        </w:rPr>
        <w:t>个月。</w:t>
      </w:r>
    </w:p>
    <w:p>
      <w:pPr>
        <w:pStyle w:val="487"/>
        <w:shd w:val="clear" w:color="auto" w:fill="auto"/>
        <w:tabs>
          <w:tab w:val="clear" w:pos="420"/>
        </w:tabs>
        <w:snapToGrid w:val="0"/>
        <w:ind w:firstLine="420" w:firstLineChars="200"/>
        <w:outlineLvl w:val="9"/>
        <w:rPr>
          <w:rFonts w:ascii="Times New Roman" w:hAnsi="Times New Roman"/>
          <w:color w:val="auto"/>
          <w:sz w:val="21"/>
          <w:szCs w:val="21"/>
          <w:highlight w:val="none"/>
        </w:rPr>
      </w:pPr>
      <w:r>
        <w:rPr>
          <w:rFonts w:ascii="Times New Roman" w:hAnsi="Times New Roman"/>
          <w:color w:val="auto"/>
          <w:sz w:val="21"/>
          <w:szCs w:val="21"/>
          <w:highlight w:val="none"/>
        </w:rPr>
        <w:t>设备质量保修期为</w:t>
      </w:r>
      <w:r>
        <w:rPr>
          <w:rFonts w:ascii="Times New Roman" w:hAnsi="Times New Roman"/>
          <w:color w:val="auto"/>
          <w:sz w:val="21"/>
          <w:szCs w:val="21"/>
          <w:highlight w:val="none"/>
        </w:rPr>
        <w:t>从工程接收证书签发之日起</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年。国家法律、法规明确规定质量保修期大于上述约定的，以法律、法规规定为准</w:t>
      </w:r>
      <w:r>
        <w:rPr>
          <w:rFonts w:ascii="Times New Roman" w:hAnsi="Times New Roman"/>
          <w:color w:val="auto"/>
          <w:sz w:val="21"/>
          <w:szCs w:val="21"/>
          <w:highlight w:val="none"/>
        </w:rPr>
        <w:t>。</w:t>
      </w:r>
    </w:p>
    <w:p>
      <w:pPr>
        <w:pStyle w:val="487"/>
        <w:shd w:val="clear" w:color="auto" w:fill="auto"/>
        <w:tabs>
          <w:tab w:val="clear" w:pos="420"/>
        </w:tabs>
        <w:snapToGrid w:val="0"/>
        <w:ind w:firstLine="420" w:firstLineChars="200"/>
        <w:outlineLvl w:val="9"/>
        <w:rPr>
          <w:rFonts w:ascii="Times New Roman" w:hAnsi="Times New Roman"/>
          <w:color w:val="auto"/>
          <w:sz w:val="21"/>
          <w:szCs w:val="21"/>
          <w:highlight w:val="none"/>
        </w:rPr>
      </w:pPr>
      <w:r>
        <w:rPr>
          <w:rFonts w:ascii="Times New Roman" w:hAnsi="Times New Roman"/>
          <w:color w:val="auto"/>
          <w:sz w:val="21"/>
          <w:szCs w:val="21"/>
          <w:highlight w:val="none"/>
        </w:rPr>
        <w:t>建筑安装工程质量保修期为从工程接收证书签发之日起</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年。国家法律、法规明确规定质量保修期大于上述约定的，以法律、法规规定为准。</w:t>
      </w:r>
    </w:p>
    <w:p>
      <w:pPr>
        <w:pStyle w:val="36"/>
        <w:shd w:val="clear" w:color="auto" w:fill="auto"/>
        <w:ind w:left="0" w:leftChars="0" w:firstLine="420"/>
        <w:outlineLvl w:val="9"/>
        <w:rPr>
          <w:iCs/>
          <w:color w:val="auto"/>
          <w:szCs w:val="21"/>
          <w:highlight w:val="none"/>
        </w:rPr>
      </w:pPr>
      <w:bookmarkStart w:id="516" w:name="_Toc28134"/>
      <w:bookmarkStart w:id="517" w:name="_Toc23665"/>
      <w:bookmarkStart w:id="518" w:name="_Toc144327122"/>
      <w:r>
        <w:rPr>
          <w:iCs/>
          <w:color w:val="auto"/>
          <w:szCs w:val="21"/>
          <w:highlight w:val="none"/>
        </w:rPr>
        <w:t>3．质量保修责任</w:t>
      </w:r>
      <w:bookmarkEnd w:id="516"/>
      <w:bookmarkEnd w:id="517"/>
      <w:bookmarkEnd w:id="518"/>
    </w:p>
    <w:p>
      <w:pPr>
        <w:shd w:val="clear" w:color="auto" w:fill="auto"/>
        <w:tabs>
          <w:tab w:val="left" w:pos="1740"/>
        </w:tabs>
        <w:ind w:firstLine="420"/>
        <w:outlineLvl w:val="9"/>
        <w:rPr>
          <w:color w:val="auto"/>
          <w:szCs w:val="21"/>
          <w:highlight w:val="none"/>
        </w:rPr>
      </w:pPr>
      <w:r>
        <w:rPr>
          <w:color w:val="auto"/>
          <w:szCs w:val="21"/>
          <w:highlight w:val="none"/>
        </w:rPr>
        <w:t>3.1 属于保修范围、内容的项目，承包人应当在接到保修通知之日起7天内派人保修。承包人不在约定期限内派人保修的，发包人可以委托他人修理。</w:t>
      </w:r>
    </w:p>
    <w:p>
      <w:pPr>
        <w:shd w:val="clear" w:color="auto" w:fill="auto"/>
        <w:tabs>
          <w:tab w:val="left" w:pos="1740"/>
        </w:tabs>
        <w:ind w:firstLine="420"/>
        <w:outlineLvl w:val="9"/>
        <w:rPr>
          <w:color w:val="auto"/>
          <w:szCs w:val="21"/>
          <w:highlight w:val="none"/>
        </w:rPr>
      </w:pPr>
      <w:r>
        <w:rPr>
          <w:color w:val="auto"/>
          <w:szCs w:val="21"/>
          <w:highlight w:val="none"/>
        </w:rPr>
        <w:t>3.2 发生紧急抢修事故的，承包人在接到事故通知后，应当立即到达事故现场抢修。</w:t>
      </w:r>
    </w:p>
    <w:p>
      <w:pPr>
        <w:shd w:val="clear" w:color="auto" w:fill="auto"/>
        <w:tabs>
          <w:tab w:val="left" w:pos="1740"/>
        </w:tabs>
        <w:ind w:firstLine="420"/>
        <w:outlineLvl w:val="9"/>
        <w:rPr>
          <w:color w:val="auto"/>
          <w:szCs w:val="21"/>
          <w:highlight w:val="none"/>
        </w:rPr>
      </w:pPr>
      <w:r>
        <w:rPr>
          <w:color w:val="auto"/>
          <w:szCs w:val="21"/>
          <w:highlight w:val="none"/>
        </w:rPr>
        <w:t>3.3 对于涉及结构安全的质量问题，应当按照相关法律法规的规定，立即向当地建设行政主管部门报告，采取安全防范措施；由原设计单位或者具有相应资质等级的设计单位提出保修方案，承包人实施保修。</w:t>
      </w:r>
    </w:p>
    <w:p>
      <w:pPr>
        <w:shd w:val="clear" w:color="auto" w:fill="auto"/>
        <w:tabs>
          <w:tab w:val="left" w:pos="1740"/>
        </w:tabs>
        <w:ind w:firstLine="420"/>
        <w:outlineLvl w:val="9"/>
        <w:rPr>
          <w:color w:val="auto"/>
          <w:szCs w:val="21"/>
          <w:highlight w:val="none"/>
        </w:rPr>
      </w:pPr>
      <w:r>
        <w:rPr>
          <w:color w:val="auto"/>
          <w:szCs w:val="21"/>
          <w:highlight w:val="none"/>
        </w:rPr>
        <w:t>3.4 质量保修完成后，由发包人组织验收。</w:t>
      </w:r>
    </w:p>
    <w:p>
      <w:pPr>
        <w:pStyle w:val="36"/>
        <w:shd w:val="clear" w:color="auto" w:fill="auto"/>
        <w:ind w:left="0" w:leftChars="0" w:firstLine="420"/>
        <w:outlineLvl w:val="9"/>
        <w:rPr>
          <w:iCs/>
          <w:color w:val="auto"/>
          <w:szCs w:val="21"/>
          <w:highlight w:val="none"/>
        </w:rPr>
      </w:pPr>
      <w:bookmarkStart w:id="519" w:name="_Toc26576"/>
      <w:bookmarkStart w:id="520" w:name="_Toc144327123"/>
      <w:bookmarkStart w:id="521" w:name="_Toc29347"/>
      <w:r>
        <w:rPr>
          <w:iCs/>
          <w:color w:val="auto"/>
          <w:szCs w:val="21"/>
          <w:highlight w:val="none"/>
        </w:rPr>
        <w:t>4．保修费用</w:t>
      </w:r>
      <w:bookmarkEnd w:id="519"/>
      <w:bookmarkEnd w:id="520"/>
      <w:bookmarkEnd w:id="521"/>
    </w:p>
    <w:p>
      <w:pPr>
        <w:shd w:val="clear" w:color="auto" w:fill="auto"/>
        <w:ind w:firstLine="420"/>
        <w:outlineLvl w:val="9"/>
        <w:rPr>
          <w:color w:val="auto"/>
          <w:szCs w:val="21"/>
          <w:highlight w:val="none"/>
          <w:u w:val="single"/>
        </w:rPr>
      </w:pPr>
      <w:r>
        <w:rPr>
          <w:color w:val="auto"/>
          <w:szCs w:val="21"/>
          <w:highlight w:val="none"/>
        </w:rPr>
        <w:t>4.1 保修费用由造成质量缺陷的责任方承担。</w:t>
      </w:r>
    </w:p>
    <w:p>
      <w:pPr>
        <w:shd w:val="clear" w:color="auto" w:fill="auto"/>
        <w:ind w:firstLine="420"/>
        <w:outlineLvl w:val="9"/>
        <w:rPr>
          <w:color w:val="auto"/>
          <w:szCs w:val="21"/>
          <w:highlight w:val="none"/>
        </w:rPr>
      </w:pPr>
      <w:r>
        <w:rPr>
          <w:color w:val="auto"/>
          <w:szCs w:val="21"/>
          <w:highlight w:val="none"/>
        </w:rPr>
        <w:t>本工程质量保修书，由施工合同发包人、承包人双方在竣工验收前共同签署，作为施工合同附件，其有效期限至保修期满。</w:t>
      </w:r>
    </w:p>
    <w:p>
      <w:pPr>
        <w:shd w:val="clear" w:color="auto" w:fill="auto"/>
        <w:tabs>
          <w:tab w:val="left" w:pos="5000"/>
        </w:tabs>
        <w:adjustRightInd w:val="0"/>
        <w:ind w:firstLine="420"/>
        <w:jc w:val="left"/>
        <w:outlineLvl w:val="9"/>
        <w:rPr>
          <w:color w:val="auto"/>
          <w:szCs w:val="21"/>
          <w:highlight w:val="none"/>
        </w:rPr>
      </w:pPr>
      <w:r>
        <w:rPr>
          <w:color w:val="auto"/>
          <w:szCs w:val="21"/>
          <w:highlight w:val="none"/>
        </w:rPr>
        <w:t>发包人（</w:t>
      </w:r>
      <w:r>
        <w:rPr>
          <w:rFonts w:hint="eastAsia"/>
          <w:color w:val="auto"/>
          <w:szCs w:val="21"/>
          <w:highlight w:val="none"/>
        </w:rPr>
        <w:t>盖</w:t>
      </w:r>
      <w:r>
        <w:rPr>
          <w:color w:val="auto"/>
          <w:szCs w:val="21"/>
          <w:highlight w:val="none"/>
        </w:rPr>
        <w:t>单位章）：</w:t>
      </w:r>
      <w:r>
        <w:rPr>
          <w:color w:val="auto"/>
          <w:szCs w:val="21"/>
          <w:highlight w:val="none"/>
        </w:rPr>
        <w:tab/>
      </w:r>
      <w:r>
        <w:rPr>
          <w:color w:val="auto"/>
          <w:szCs w:val="21"/>
          <w:highlight w:val="none"/>
        </w:rPr>
        <w:t>承包人（</w:t>
      </w:r>
      <w:r>
        <w:rPr>
          <w:rFonts w:hint="eastAsia"/>
          <w:color w:val="auto"/>
          <w:szCs w:val="21"/>
          <w:highlight w:val="none"/>
        </w:rPr>
        <w:t>盖</w:t>
      </w:r>
      <w:r>
        <w:rPr>
          <w:color w:val="auto"/>
          <w:szCs w:val="21"/>
          <w:highlight w:val="none"/>
        </w:rPr>
        <w:t>单位章）：</w:t>
      </w:r>
    </w:p>
    <w:p>
      <w:pPr>
        <w:shd w:val="clear" w:color="auto" w:fill="auto"/>
        <w:tabs>
          <w:tab w:val="left" w:pos="5000"/>
        </w:tabs>
        <w:adjustRightInd w:val="0"/>
        <w:ind w:firstLine="420"/>
        <w:jc w:val="left"/>
        <w:outlineLvl w:val="9"/>
        <w:rPr>
          <w:color w:val="auto"/>
          <w:szCs w:val="21"/>
          <w:highlight w:val="none"/>
        </w:rPr>
      </w:pPr>
      <w:r>
        <w:rPr>
          <w:color w:val="auto"/>
          <w:szCs w:val="21"/>
          <w:highlight w:val="none"/>
        </w:rPr>
        <w:t>法定代表人（签字）：</w:t>
      </w:r>
      <w:r>
        <w:rPr>
          <w:color w:val="auto"/>
          <w:szCs w:val="21"/>
          <w:highlight w:val="none"/>
        </w:rPr>
        <w:tab/>
      </w:r>
      <w:r>
        <w:rPr>
          <w:color w:val="auto"/>
          <w:szCs w:val="21"/>
          <w:highlight w:val="none"/>
        </w:rPr>
        <w:tab/>
      </w:r>
      <w:r>
        <w:rPr>
          <w:color w:val="auto"/>
          <w:szCs w:val="21"/>
          <w:highlight w:val="none"/>
        </w:rPr>
        <w:t>法定代表人（签字）：</w:t>
      </w:r>
    </w:p>
    <w:p>
      <w:pPr>
        <w:shd w:val="clear" w:color="auto" w:fill="auto"/>
        <w:tabs>
          <w:tab w:val="left" w:pos="5235"/>
        </w:tabs>
        <w:adjustRightInd w:val="0"/>
        <w:ind w:firstLine="420"/>
        <w:jc w:val="left"/>
        <w:outlineLvl w:val="9"/>
        <w:rPr>
          <w:color w:val="auto"/>
          <w:szCs w:val="21"/>
          <w:highlight w:val="none"/>
        </w:rPr>
      </w:pPr>
      <w:r>
        <w:rPr>
          <w:color w:val="auto"/>
          <w:szCs w:val="21"/>
          <w:highlight w:val="none"/>
        </w:rPr>
        <w:t>年  月  日</w:t>
      </w:r>
      <w:r>
        <w:rPr>
          <w:color w:val="auto"/>
          <w:szCs w:val="21"/>
          <w:highlight w:val="none"/>
        </w:rPr>
        <w:tab/>
      </w:r>
      <w:r>
        <w:rPr>
          <w:color w:val="auto"/>
          <w:szCs w:val="21"/>
          <w:highlight w:val="none"/>
        </w:rPr>
        <w:t>年  月  日</w:t>
      </w:r>
    </w:p>
    <w:p>
      <w:pPr>
        <w:shd w:val="clear" w:color="auto" w:fill="auto"/>
        <w:ind w:right="480" w:firstLine="420"/>
        <w:outlineLvl w:val="9"/>
        <w:rPr>
          <w:color w:val="auto"/>
          <w:kern w:val="0"/>
          <w:szCs w:val="21"/>
          <w:highlight w:val="none"/>
        </w:rPr>
      </w:pPr>
    </w:p>
    <w:p>
      <w:pPr>
        <w:shd w:val="clear" w:color="auto" w:fill="auto"/>
        <w:ind w:right="480" w:firstLine="420"/>
        <w:outlineLvl w:val="9"/>
        <w:rPr>
          <w:color w:val="auto"/>
          <w:kern w:val="0"/>
          <w:szCs w:val="21"/>
          <w:highlight w:val="none"/>
        </w:rPr>
      </w:pPr>
    </w:p>
    <w:p>
      <w:pPr>
        <w:pStyle w:val="481"/>
        <w:shd w:val="clear" w:color="auto" w:fill="auto"/>
        <w:spacing w:before="60" w:after="60"/>
        <w:ind w:firstLine="422"/>
        <w:outlineLvl w:val="9"/>
        <w:rPr>
          <w:rFonts w:ascii="Times New Roman" w:hAnsi="Times New Roman" w:eastAsia="黑体" w:cs="Times New Roman"/>
          <w:bCs/>
          <w:color w:val="auto"/>
          <w:kern w:val="44"/>
          <w:sz w:val="21"/>
          <w:szCs w:val="21"/>
          <w:highlight w:val="none"/>
        </w:rPr>
      </w:pPr>
      <w:r>
        <w:rPr>
          <w:rFonts w:ascii="Times New Roman" w:hAnsi="Times New Roman" w:cs="Times New Roman"/>
          <w:color w:val="auto"/>
          <w:sz w:val="21"/>
          <w:szCs w:val="21"/>
          <w:highlight w:val="none"/>
        </w:rPr>
        <w:br w:type="page"/>
      </w:r>
      <w:r>
        <w:rPr>
          <w:rFonts w:ascii="Times New Roman" w:hAnsi="Times New Roman" w:eastAsia="黑体" w:cs="Times New Roman"/>
          <w:bCs/>
          <w:color w:val="auto"/>
          <w:kern w:val="44"/>
          <w:sz w:val="21"/>
          <w:szCs w:val="21"/>
          <w:highlight w:val="none"/>
        </w:rPr>
        <w:t>附件</w:t>
      </w:r>
      <w:r>
        <w:rPr>
          <w:rFonts w:hint="eastAsia" w:ascii="Times New Roman" w:hAnsi="Times New Roman" w:eastAsia="黑体" w:cs="Times New Roman"/>
          <w:bCs/>
          <w:color w:val="auto"/>
          <w:kern w:val="44"/>
          <w:sz w:val="21"/>
          <w:szCs w:val="21"/>
          <w:highlight w:val="none"/>
          <w:lang w:val="en-US" w:eastAsia="zh-CN"/>
        </w:rPr>
        <w:t>三</w:t>
      </w:r>
      <w:r>
        <w:rPr>
          <w:rFonts w:ascii="Times New Roman" w:hAnsi="Times New Roman" w:eastAsia="黑体" w:cs="Times New Roman"/>
          <w:bCs/>
          <w:color w:val="auto"/>
          <w:kern w:val="44"/>
          <w:sz w:val="21"/>
          <w:szCs w:val="21"/>
          <w:highlight w:val="none"/>
        </w:rPr>
        <w:t xml:space="preserve">  廉洁协议</w:t>
      </w:r>
    </w:p>
    <w:p>
      <w:pPr>
        <w:widowControl/>
        <w:shd w:val="clear" w:color="auto" w:fill="auto"/>
        <w:spacing w:line="580" w:lineRule="exact"/>
        <w:ind w:firstLine="422"/>
        <w:jc w:val="center"/>
        <w:outlineLvl w:val="9"/>
        <w:rPr>
          <w:rFonts w:eastAsia="黑体"/>
          <w:b/>
          <w:bCs/>
          <w:color w:val="auto"/>
          <w:szCs w:val="21"/>
          <w:highlight w:val="none"/>
        </w:rPr>
      </w:pPr>
      <w:r>
        <w:rPr>
          <w:rFonts w:eastAsia="黑体"/>
          <w:b/>
          <w:bCs/>
          <w:color w:val="auto"/>
          <w:szCs w:val="21"/>
          <w:highlight w:val="none"/>
        </w:rPr>
        <w:t>廉洁协议</w:t>
      </w:r>
    </w:p>
    <w:p>
      <w:pPr>
        <w:shd w:val="clear" w:color="auto" w:fill="auto"/>
        <w:spacing w:line="580" w:lineRule="exact"/>
        <w:ind w:firstLine="422"/>
        <w:jc w:val="center"/>
        <w:outlineLvl w:val="9"/>
        <w:rPr>
          <w:rFonts w:eastAsia="黑体"/>
          <w:b/>
          <w:bCs/>
          <w:color w:val="auto"/>
          <w:szCs w:val="21"/>
          <w:highlight w:val="none"/>
        </w:rPr>
      </w:pPr>
    </w:p>
    <w:p>
      <w:pPr>
        <w:shd w:val="clear" w:color="auto" w:fill="auto"/>
        <w:tabs>
          <w:tab w:val="left" w:pos="950"/>
        </w:tabs>
        <w:ind w:firstLine="420"/>
        <w:textAlignment w:val="baseline"/>
        <w:outlineLvl w:val="9"/>
        <w:rPr>
          <w:color w:val="auto"/>
          <w:szCs w:val="21"/>
          <w:highlight w:val="none"/>
          <w:u w:val="single"/>
        </w:rPr>
      </w:pPr>
      <w:r>
        <w:rPr>
          <w:color w:val="auto"/>
          <w:szCs w:val="21"/>
          <w:highlight w:val="none"/>
        </w:rPr>
        <w:t xml:space="preserve">甲方（发包人）： </w:t>
      </w:r>
      <w:r>
        <w:rPr>
          <w:color w:val="auto"/>
          <w:szCs w:val="21"/>
          <w:highlight w:val="none"/>
          <w:u w:val="single"/>
        </w:rPr>
        <w:t xml:space="preserve">                   </w:t>
      </w:r>
    </w:p>
    <w:p>
      <w:pPr>
        <w:shd w:val="clear" w:color="auto" w:fill="auto"/>
        <w:tabs>
          <w:tab w:val="left" w:pos="950"/>
        </w:tabs>
        <w:ind w:firstLine="420"/>
        <w:textAlignment w:val="baseline"/>
        <w:outlineLvl w:val="9"/>
        <w:rPr>
          <w:color w:val="auto"/>
          <w:szCs w:val="21"/>
          <w:highlight w:val="none"/>
          <w:u w:val="single"/>
        </w:rPr>
      </w:pPr>
      <w:r>
        <w:rPr>
          <w:color w:val="auto"/>
          <w:szCs w:val="21"/>
          <w:highlight w:val="none"/>
        </w:rPr>
        <w:t xml:space="preserve">乙方（承包人）： </w:t>
      </w:r>
      <w:r>
        <w:rPr>
          <w:color w:val="auto"/>
          <w:szCs w:val="21"/>
          <w:highlight w:val="none"/>
          <w:u w:val="single"/>
        </w:rPr>
        <w:t xml:space="preserve">                   </w:t>
      </w:r>
    </w:p>
    <w:p>
      <w:pPr>
        <w:shd w:val="clear" w:color="auto" w:fill="auto"/>
        <w:tabs>
          <w:tab w:val="left" w:pos="950"/>
        </w:tabs>
        <w:ind w:firstLine="420"/>
        <w:textAlignment w:val="baseline"/>
        <w:outlineLvl w:val="9"/>
        <w:rPr>
          <w:color w:val="auto"/>
          <w:szCs w:val="21"/>
          <w:highlight w:val="none"/>
        </w:rPr>
      </w:pPr>
      <w:r>
        <w:rPr>
          <w:color w:val="auto"/>
          <w:szCs w:val="21"/>
          <w:highlight w:val="none"/>
        </w:rPr>
        <w:t>为了防范和控制</w:t>
      </w:r>
      <w:r>
        <w:rPr>
          <w:color w:val="auto"/>
          <w:szCs w:val="21"/>
          <w:highlight w:val="none"/>
          <w:u w:val="single"/>
        </w:rPr>
        <w:t xml:space="preserve">                     </w:t>
      </w:r>
      <w:r>
        <w:rPr>
          <w:color w:val="auto"/>
          <w:szCs w:val="21"/>
          <w:highlight w:val="none"/>
        </w:rPr>
        <w:t>合同（合同编号：</w:t>
      </w:r>
      <w:r>
        <w:rPr>
          <w:color w:val="auto"/>
          <w:szCs w:val="21"/>
          <w:highlight w:val="none"/>
          <w:u w:val="single"/>
        </w:rPr>
        <w:t xml:space="preserve">                </w:t>
      </w:r>
      <w:r>
        <w:rPr>
          <w:color w:val="auto"/>
          <w:szCs w:val="21"/>
          <w:highlight w:val="none"/>
        </w:rPr>
        <w:t>）商订及履行过程中的廉洁风险，维护正常的市场秩序和双方的合法权益，根据反腐倡廉相关规定，经双方商议，特签订本协议。</w:t>
      </w:r>
    </w:p>
    <w:p>
      <w:pPr>
        <w:shd w:val="clear" w:color="auto" w:fill="auto"/>
        <w:tabs>
          <w:tab w:val="left" w:pos="950"/>
        </w:tabs>
        <w:ind w:firstLine="422"/>
        <w:textAlignment w:val="baseline"/>
        <w:outlineLvl w:val="9"/>
        <w:rPr>
          <w:b/>
          <w:color w:val="auto"/>
          <w:szCs w:val="21"/>
          <w:highlight w:val="none"/>
        </w:rPr>
      </w:pPr>
      <w:r>
        <w:rPr>
          <w:b/>
          <w:color w:val="auto"/>
          <w:szCs w:val="21"/>
          <w:highlight w:val="none"/>
        </w:rPr>
        <w:t>一、 甲乙双方责任</w:t>
      </w:r>
    </w:p>
    <w:p>
      <w:pPr>
        <w:shd w:val="clear" w:color="auto" w:fill="auto"/>
        <w:tabs>
          <w:tab w:val="left" w:pos="950"/>
        </w:tabs>
        <w:ind w:firstLine="420"/>
        <w:textAlignment w:val="baseline"/>
        <w:outlineLvl w:val="9"/>
        <w:rPr>
          <w:color w:val="auto"/>
          <w:szCs w:val="21"/>
          <w:highlight w:val="none"/>
        </w:rPr>
      </w:pPr>
      <w:bookmarkStart w:id="522" w:name="_Toc13872"/>
      <w:bookmarkStart w:id="523" w:name="_Toc144327124"/>
      <w:bookmarkStart w:id="524" w:name="_Toc3785"/>
      <w:r>
        <w:rPr>
          <w:color w:val="auto"/>
          <w:szCs w:val="21"/>
          <w:highlight w:val="none"/>
        </w:rPr>
        <w:t>1．严格遵守国家的法律法规和廉洁从业有关规定。</w:t>
      </w:r>
      <w:bookmarkEnd w:id="522"/>
      <w:bookmarkEnd w:id="523"/>
      <w:bookmarkEnd w:id="524"/>
    </w:p>
    <w:p>
      <w:pPr>
        <w:shd w:val="clear" w:color="auto" w:fill="auto"/>
        <w:tabs>
          <w:tab w:val="left" w:pos="950"/>
        </w:tabs>
        <w:ind w:firstLine="420"/>
        <w:textAlignment w:val="baseline"/>
        <w:outlineLvl w:val="9"/>
        <w:rPr>
          <w:color w:val="auto"/>
          <w:szCs w:val="21"/>
          <w:highlight w:val="none"/>
        </w:rPr>
      </w:pPr>
      <w:r>
        <w:rPr>
          <w:color w:val="auto"/>
          <w:szCs w:val="21"/>
          <w:highlight w:val="none"/>
        </w:rPr>
        <w:t>2．坚持公开、公正、诚信、透明的原则（国家秘密、商业秘密和合同文件另有规定的除外），不得损害国家、集体和双方的正当利益。</w:t>
      </w:r>
    </w:p>
    <w:p>
      <w:pPr>
        <w:shd w:val="clear" w:color="auto" w:fill="auto"/>
        <w:tabs>
          <w:tab w:val="left" w:pos="950"/>
        </w:tabs>
        <w:ind w:firstLine="420"/>
        <w:textAlignment w:val="baseline"/>
        <w:outlineLvl w:val="9"/>
        <w:rPr>
          <w:color w:val="auto"/>
          <w:szCs w:val="21"/>
          <w:highlight w:val="none"/>
        </w:rPr>
      </w:pPr>
      <w:r>
        <w:rPr>
          <w:color w:val="auto"/>
          <w:szCs w:val="21"/>
          <w:highlight w:val="none"/>
        </w:rPr>
        <w:t>3．定期开展党风廉政宣传教育活动，提高从业人员的廉洁意识。</w:t>
      </w:r>
    </w:p>
    <w:p>
      <w:pPr>
        <w:shd w:val="clear" w:color="auto" w:fill="auto"/>
        <w:tabs>
          <w:tab w:val="left" w:pos="950"/>
        </w:tabs>
        <w:ind w:firstLine="420"/>
        <w:textAlignment w:val="baseline"/>
        <w:outlineLvl w:val="9"/>
        <w:rPr>
          <w:color w:val="auto"/>
          <w:szCs w:val="21"/>
          <w:highlight w:val="none"/>
        </w:rPr>
      </w:pPr>
      <w:r>
        <w:rPr>
          <w:color w:val="auto"/>
          <w:szCs w:val="21"/>
          <w:highlight w:val="none"/>
        </w:rPr>
        <w:t>4．规范招标及采购管理，加强廉洁风险防范。</w:t>
      </w:r>
    </w:p>
    <w:p>
      <w:pPr>
        <w:shd w:val="clear" w:color="auto" w:fill="auto"/>
        <w:tabs>
          <w:tab w:val="left" w:pos="950"/>
        </w:tabs>
        <w:ind w:firstLine="420"/>
        <w:textAlignment w:val="baseline"/>
        <w:outlineLvl w:val="9"/>
        <w:rPr>
          <w:color w:val="auto"/>
          <w:szCs w:val="21"/>
          <w:highlight w:val="none"/>
        </w:rPr>
      </w:pPr>
      <w:r>
        <w:rPr>
          <w:color w:val="auto"/>
          <w:szCs w:val="21"/>
          <w:highlight w:val="none"/>
        </w:rPr>
        <w:t>5．开展多种形式的监督检查。</w:t>
      </w:r>
    </w:p>
    <w:p>
      <w:pPr>
        <w:shd w:val="clear" w:color="auto" w:fill="auto"/>
        <w:tabs>
          <w:tab w:val="left" w:pos="950"/>
        </w:tabs>
        <w:ind w:firstLine="420"/>
        <w:textAlignment w:val="baseline"/>
        <w:outlineLvl w:val="9"/>
        <w:rPr>
          <w:color w:val="auto"/>
          <w:szCs w:val="21"/>
          <w:highlight w:val="none"/>
        </w:rPr>
      </w:pPr>
      <w:r>
        <w:rPr>
          <w:color w:val="auto"/>
          <w:szCs w:val="21"/>
          <w:highlight w:val="none"/>
        </w:rPr>
        <w:t>6．发生涉及本项目的不廉洁问题，及时按规定向双方纪检监察部门或司法机关举报或通报，并积极配合查处。</w:t>
      </w:r>
    </w:p>
    <w:p>
      <w:pPr>
        <w:shd w:val="clear" w:color="auto" w:fill="auto"/>
        <w:ind w:firstLine="422"/>
        <w:textAlignment w:val="baseline"/>
        <w:outlineLvl w:val="9"/>
        <w:rPr>
          <w:b/>
          <w:color w:val="auto"/>
          <w:szCs w:val="21"/>
          <w:highlight w:val="none"/>
        </w:rPr>
      </w:pPr>
      <w:r>
        <w:rPr>
          <w:b/>
          <w:color w:val="auto"/>
          <w:szCs w:val="21"/>
          <w:highlight w:val="none"/>
        </w:rPr>
        <w:t>二、</w:t>
      </w:r>
      <w:r>
        <w:rPr>
          <w:rFonts w:hint="eastAsia"/>
          <w:b/>
          <w:color w:val="auto"/>
          <w:szCs w:val="21"/>
          <w:highlight w:val="none"/>
        </w:rPr>
        <w:t>发包人</w:t>
      </w:r>
      <w:r>
        <w:rPr>
          <w:b/>
          <w:color w:val="auto"/>
          <w:szCs w:val="21"/>
          <w:highlight w:val="none"/>
        </w:rPr>
        <w:t>人员义务</w:t>
      </w:r>
    </w:p>
    <w:p>
      <w:pPr>
        <w:shd w:val="clear" w:color="auto" w:fill="auto"/>
        <w:ind w:firstLine="420"/>
        <w:textAlignment w:val="baseline"/>
        <w:outlineLvl w:val="9"/>
        <w:rPr>
          <w:color w:val="auto"/>
          <w:szCs w:val="21"/>
          <w:highlight w:val="none"/>
        </w:rPr>
      </w:pPr>
      <w:bookmarkStart w:id="525" w:name="_Toc29804"/>
      <w:bookmarkStart w:id="526" w:name="_Toc144327125"/>
      <w:bookmarkStart w:id="527" w:name="_Toc18969"/>
      <w:r>
        <w:rPr>
          <w:color w:val="auto"/>
          <w:szCs w:val="21"/>
          <w:highlight w:val="none"/>
        </w:rPr>
        <w:t>1．不得索取或接受</w:t>
      </w:r>
      <w:r>
        <w:rPr>
          <w:rFonts w:hint="eastAsia"/>
          <w:color w:val="auto"/>
          <w:szCs w:val="21"/>
          <w:highlight w:val="none"/>
        </w:rPr>
        <w:t>承包人</w:t>
      </w:r>
      <w:r>
        <w:rPr>
          <w:color w:val="auto"/>
          <w:szCs w:val="21"/>
          <w:highlight w:val="none"/>
        </w:rPr>
        <w:t>提供的利益和方便。</w:t>
      </w:r>
      <w:bookmarkEnd w:id="525"/>
      <w:bookmarkEnd w:id="526"/>
      <w:bookmarkEnd w:id="527"/>
    </w:p>
    <w:p>
      <w:pPr>
        <w:shd w:val="clear" w:color="auto" w:fill="auto"/>
        <w:ind w:firstLine="420"/>
        <w:textAlignment w:val="baseline"/>
        <w:outlineLvl w:val="9"/>
        <w:rPr>
          <w:color w:val="auto"/>
          <w:szCs w:val="21"/>
          <w:highlight w:val="none"/>
        </w:rPr>
      </w:pPr>
      <w:r>
        <w:rPr>
          <w:color w:val="auto"/>
          <w:szCs w:val="21"/>
          <w:highlight w:val="none"/>
        </w:rPr>
        <w:t>（1）不得索取或接受</w:t>
      </w:r>
      <w:r>
        <w:rPr>
          <w:rFonts w:hint="eastAsia"/>
          <w:color w:val="auto"/>
          <w:szCs w:val="21"/>
          <w:highlight w:val="none"/>
        </w:rPr>
        <w:t>承包人</w:t>
      </w:r>
      <w:r>
        <w:rPr>
          <w:color w:val="auto"/>
          <w:szCs w:val="21"/>
          <w:highlight w:val="none"/>
        </w:rPr>
        <w:t>的礼品、礼金、有价证券、支付凭证和商业预付卡等（以下简称礼品礼金）；</w:t>
      </w:r>
    </w:p>
    <w:p>
      <w:pPr>
        <w:shd w:val="clear" w:color="auto" w:fill="auto"/>
        <w:ind w:firstLine="420"/>
        <w:textAlignment w:val="baseline"/>
        <w:outlineLvl w:val="9"/>
        <w:rPr>
          <w:color w:val="auto"/>
          <w:szCs w:val="21"/>
          <w:highlight w:val="none"/>
        </w:rPr>
      </w:pPr>
      <w:r>
        <w:rPr>
          <w:color w:val="auto"/>
          <w:szCs w:val="21"/>
          <w:highlight w:val="none"/>
        </w:rPr>
        <w:t>（2）不得参加</w:t>
      </w:r>
      <w:r>
        <w:rPr>
          <w:rFonts w:hint="eastAsia"/>
          <w:color w:val="auto"/>
          <w:szCs w:val="21"/>
          <w:highlight w:val="none"/>
        </w:rPr>
        <w:t>承包人</w:t>
      </w:r>
      <w:r>
        <w:rPr>
          <w:color w:val="auto"/>
          <w:szCs w:val="21"/>
          <w:highlight w:val="none"/>
        </w:rPr>
        <w:t>安排的宴请和娱乐活动；不得接受</w:t>
      </w:r>
      <w:r>
        <w:rPr>
          <w:rFonts w:hint="eastAsia"/>
          <w:color w:val="auto"/>
          <w:szCs w:val="21"/>
          <w:highlight w:val="none"/>
        </w:rPr>
        <w:t>承包人</w:t>
      </w:r>
      <w:r>
        <w:rPr>
          <w:color w:val="auto"/>
          <w:szCs w:val="21"/>
          <w:highlight w:val="none"/>
        </w:rPr>
        <w:t>提供的通讯工具、交通工具及其他服务；</w:t>
      </w:r>
    </w:p>
    <w:p>
      <w:pPr>
        <w:shd w:val="clear" w:color="auto" w:fill="auto"/>
        <w:ind w:firstLine="420"/>
        <w:textAlignment w:val="baseline"/>
        <w:outlineLvl w:val="9"/>
        <w:rPr>
          <w:color w:val="auto"/>
          <w:szCs w:val="21"/>
          <w:highlight w:val="none"/>
        </w:rPr>
      </w:pPr>
      <w:r>
        <w:rPr>
          <w:color w:val="auto"/>
          <w:szCs w:val="21"/>
          <w:highlight w:val="none"/>
        </w:rPr>
        <w:t>（3）不得在个人住房装修、婚丧嫁娶、配偶、子女和其他亲属就业、旅游等事宜中索取或接受</w:t>
      </w:r>
      <w:r>
        <w:rPr>
          <w:rFonts w:hint="eastAsia"/>
          <w:color w:val="auto"/>
          <w:szCs w:val="21"/>
          <w:highlight w:val="none"/>
        </w:rPr>
        <w:t>承包人</w:t>
      </w:r>
      <w:r>
        <w:rPr>
          <w:color w:val="auto"/>
          <w:szCs w:val="21"/>
          <w:highlight w:val="none"/>
        </w:rPr>
        <w:t>提供的利益和便利；不得在</w:t>
      </w:r>
      <w:r>
        <w:rPr>
          <w:rFonts w:hint="eastAsia"/>
          <w:color w:val="auto"/>
          <w:szCs w:val="21"/>
          <w:highlight w:val="none"/>
        </w:rPr>
        <w:t>承包人</w:t>
      </w:r>
      <w:r>
        <w:rPr>
          <w:color w:val="auto"/>
          <w:szCs w:val="21"/>
          <w:highlight w:val="none"/>
        </w:rPr>
        <w:t>报销任何应由</w:t>
      </w:r>
      <w:r>
        <w:rPr>
          <w:rFonts w:hint="eastAsia"/>
          <w:color w:val="auto"/>
          <w:szCs w:val="21"/>
          <w:highlight w:val="none"/>
        </w:rPr>
        <w:t>发包人</w:t>
      </w:r>
      <w:r>
        <w:rPr>
          <w:color w:val="auto"/>
          <w:szCs w:val="21"/>
          <w:highlight w:val="none"/>
        </w:rPr>
        <w:t>负担或支付的费用；</w:t>
      </w:r>
    </w:p>
    <w:p>
      <w:pPr>
        <w:shd w:val="clear" w:color="auto" w:fill="auto"/>
        <w:ind w:firstLine="420"/>
        <w:textAlignment w:val="baseline"/>
        <w:outlineLvl w:val="9"/>
        <w:rPr>
          <w:color w:val="auto"/>
          <w:szCs w:val="21"/>
          <w:highlight w:val="none"/>
        </w:rPr>
      </w:pPr>
      <w:bookmarkStart w:id="528" w:name="_Toc144327126"/>
      <w:bookmarkStart w:id="529" w:name="_Toc25745"/>
      <w:bookmarkStart w:id="530" w:name="_Toc9491"/>
      <w:r>
        <w:rPr>
          <w:color w:val="auto"/>
          <w:szCs w:val="21"/>
          <w:highlight w:val="none"/>
        </w:rPr>
        <w:t>2．不得利用职权从事各种有偿中介活动，不得营私舞弊。</w:t>
      </w:r>
      <w:bookmarkEnd w:id="528"/>
      <w:bookmarkEnd w:id="529"/>
      <w:bookmarkEnd w:id="530"/>
    </w:p>
    <w:p>
      <w:pPr>
        <w:shd w:val="clear" w:color="auto" w:fill="auto"/>
        <w:ind w:firstLine="420"/>
        <w:textAlignment w:val="baseline"/>
        <w:outlineLvl w:val="9"/>
        <w:rPr>
          <w:color w:val="auto"/>
          <w:szCs w:val="21"/>
          <w:highlight w:val="none"/>
        </w:rPr>
      </w:pPr>
      <w:r>
        <w:rPr>
          <w:color w:val="auto"/>
          <w:szCs w:val="21"/>
          <w:highlight w:val="none"/>
        </w:rPr>
        <w:t>3．</w:t>
      </w:r>
      <w:r>
        <w:rPr>
          <w:rFonts w:hint="eastAsia"/>
          <w:color w:val="auto"/>
          <w:szCs w:val="21"/>
          <w:highlight w:val="none"/>
        </w:rPr>
        <w:t>发包人</w:t>
      </w:r>
      <w:r>
        <w:rPr>
          <w:color w:val="auto"/>
          <w:szCs w:val="21"/>
          <w:highlight w:val="none"/>
        </w:rPr>
        <w:t>人员的配偶、子女、近亲属不得从事与</w:t>
      </w:r>
      <w:r>
        <w:rPr>
          <w:rFonts w:hint="eastAsia"/>
          <w:color w:val="auto"/>
          <w:szCs w:val="21"/>
          <w:highlight w:val="none"/>
        </w:rPr>
        <w:t>发包人</w:t>
      </w:r>
      <w:r>
        <w:rPr>
          <w:color w:val="auto"/>
          <w:szCs w:val="21"/>
          <w:highlight w:val="none"/>
        </w:rPr>
        <w:t>项目有关的物资供应、工程分包、劳务等经济活动。</w:t>
      </w:r>
    </w:p>
    <w:p>
      <w:pPr>
        <w:shd w:val="clear" w:color="auto" w:fill="auto"/>
        <w:ind w:firstLine="420"/>
        <w:textAlignment w:val="baseline"/>
        <w:outlineLvl w:val="9"/>
        <w:rPr>
          <w:color w:val="auto"/>
          <w:szCs w:val="21"/>
          <w:highlight w:val="none"/>
        </w:rPr>
      </w:pPr>
      <w:r>
        <w:rPr>
          <w:color w:val="auto"/>
          <w:szCs w:val="21"/>
          <w:highlight w:val="none"/>
        </w:rPr>
        <w:t>4．不得违反规定向</w:t>
      </w:r>
      <w:r>
        <w:rPr>
          <w:rFonts w:hint="eastAsia"/>
          <w:color w:val="auto"/>
          <w:szCs w:val="21"/>
          <w:highlight w:val="none"/>
        </w:rPr>
        <w:t>承包人</w:t>
      </w:r>
      <w:r>
        <w:rPr>
          <w:color w:val="auto"/>
          <w:szCs w:val="21"/>
          <w:highlight w:val="none"/>
        </w:rPr>
        <w:t>推荐分包商或供应商。</w:t>
      </w:r>
    </w:p>
    <w:p>
      <w:pPr>
        <w:shd w:val="clear" w:color="auto" w:fill="auto"/>
        <w:ind w:firstLine="420"/>
        <w:textAlignment w:val="baseline"/>
        <w:outlineLvl w:val="9"/>
        <w:rPr>
          <w:color w:val="auto"/>
          <w:szCs w:val="21"/>
          <w:highlight w:val="none"/>
        </w:rPr>
      </w:pPr>
      <w:r>
        <w:rPr>
          <w:color w:val="auto"/>
          <w:szCs w:val="21"/>
          <w:highlight w:val="none"/>
        </w:rPr>
        <w:t>5．不得有其他不廉洁行为。</w:t>
      </w:r>
    </w:p>
    <w:p>
      <w:pPr>
        <w:shd w:val="clear" w:color="auto" w:fill="auto"/>
        <w:ind w:firstLine="422"/>
        <w:textAlignment w:val="baseline"/>
        <w:outlineLvl w:val="9"/>
        <w:rPr>
          <w:b/>
          <w:color w:val="auto"/>
          <w:szCs w:val="21"/>
          <w:highlight w:val="none"/>
        </w:rPr>
      </w:pPr>
      <w:r>
        <w:rPr>
          <w:b/>
          <w:color w:val="auto"/>
          <w:szCs w:val="21"/>
          <w:highlight w:val="none"/>
        </w:rPr>
        <w:t>三、</w:t>
      </w:r>
      <w:r>
        <w:rPr>
          <w:rFonts w:hint="eastAsia"/>
          <w:b/>
          <w:color w:val="auto"/>
          <w:szCs w:val="21"/>
          <w:highlight w:val="none"/>
        </w:rPr>
        <w:t>承包人</w:t>
      </w:r>
      <w:r>
        <w:rPr>
          <w:b/>
          <w:color w:val="auto"/>
          <w:szCs w:val="21"/>
          <w:highlight w:val="none"/>
        </w:rPr>
        <w:t>人员义务</w:t>
      </w:r>
    </w:p>
    <w:p>
      <w:pPr>
        <w:shd w:val="clear" w:color="auto" w:fill="auto"/>
        <w:ind w:firstLine="420"/>
        <w:textAlignment w:val="baseline"/>
        <w:outlineLvl w:val="9"/>
        <w:rPr>
          <w:color w:val="auto"/>
          <w:szCs w:val="21"/>
          <w:highlight w:val="none"/>
        </w:rPr>
      </w:pPr>
      <w:bookmarkStart w:id="531" w:name="_Toc24262"/>
      <w:bookmarkStart w:id="532" w:name="_Toc30929"/>
      <w:bookmarkStart w:id="533" w:name="_Toc144327127"/>
      <w:r>
        <w:rPr>
          <w:color w:val="auto"/>
          <w:szCs w:val="21"/>
          <w:highlight w:val="none"/>
        </w:rPr>
        <w:t>1．不得以任何形式向</w:t>
      </w:r>
      <w:r>
        <w:rPr>
          <w:rFonts w:hint="eastAsia"/>
          <w:color w:val="auto"/>
          <w:szCs w:val="21"/>
          <w:highlight w:val="none"/>
        </w:rPr>
        <w:t>发包人</w:t>
      </w:r>
      <w:r>
        <w:rPr>
          <w:color w:val="auto"/>
          <w:szCs w:val="21"/>
          <w:highlight w:val="none"/>
        </w:rPr>
        <w:t>及相关人员输送利益和方便。</w:t>
      </w:r>
      <w:bookmarkEnd w:id="531"/>
      <w:bookmarkEnd w:id="532"/>
      <w:bookmarkEnd w:id="533"/>
    </w:p>
    <w:p>
      <w:pPr>
        <w:shd w:val="clear" w:color="auto" w:fill="auto"/>
        <w:ind w:firstLine="420"/>
        <w:textAlignment w:val="baseline"/>
        <w:outlineLvl w:val="9"/>
        <w:rPr>
          <w:color w:val="auto"/>
          <w:szCs w:val="21"/>
          <w:highlight w:val="none"/>
        </w:rPr>
      </w:pPr>
      <w:r>
        <w:rPr>
          <w:color w:val="auto"/>
          <w:szCs w:val="21"/>
          <w:highlight w:val="none"/>
        </w:rPr>
        <w:t>（1）不得向</w:t>
      </w:r>
      <w:r>
        <w:rPr>
          <w:rFonts w:hint="eastAsia"/>
          <w:color w:val="auto"/>
          <w:szCs w:val="21"/>
          <w:highlight w:val="none"/>
        </w:rPr>
        <w:t>发包人</w:t>
      </w:r>
      <w:r>
        <w:rPr>
          <w:color w:val="auto"/>
          <w:szCs w:val="21"/>
          <w:highlight w:val="none"/>
        </w:rPr>
        <w:t>及相关人员行贿或馈赠礼品礼金；</w:t>
      </w:r>
    </w:p>
    <w:p>
      <w:pPr>
        <w:shd w:val="clear" w:color="auto" w:fill="auto"/>
        <w:ind w:firstLine="420"/>
        <w:textAlignment w:val="baseline"/>
        <w:outlineLvl w:val="9"/>
        <w:rPr>
          <w:color w:val="auto"/>
          <w:szCs w:val="21"/>
          <w:highlight w:val="none"/>
        </w:rPr>
      </w:pPr>
      <w:r>
        <w:rPr>
          <w:color w:val="auto"/>
          <w:szCs w:val="21"/>
          <w:highlight w:val="none"/>
        </w:rPr>
        <w:t>（2）不得向</w:t>
      </w:r>
      <w:r>
        <w:rPr>
          <w:rFonts w:hint="eastAsia"/>
          <w:color w:val="auto"/>
          <w:szCs w:val="21"/>
          <w:highlight w:val="none"/>
        </w:rPr>
        <w:t>发包人</w:t>
      </w:r>
      <w:r>
        <w:rPr>
          <w:color w:val="auto"/>
          <w:szCs w:val="21"/>
          <w:highlight w:val="none"/>
        </w:rPr>
        <w:t>及相关人员提供宴请和娱乐活动；不得为其购置或提供通讯工具、交通工具及其他服务；</w:t>
      </w:r>
    </w:p>
    <w:p>
      <w:pPr>
        <w:shd w:val="clear" w:color="auto" w:fill="auto"/>
        <w:ind w:firstLine="420"/>
        <w:textAlignment w:val="baseline"/>
        <w:outlineLvl w:val="9"/>
        <w:rPr>
          <w:color w:val="auto"/>
          <w:szCs w:val="21"/>
          <w:highlight w:val="none"/>
        </w:rPr>
      </w:pPr>
      <w:r>
        <w:rPr>
          <w:color w:val="auto"/>
          <w:szCs w:val="21"/>
          <w:highlight w:val="none"/>
        </w:rPr>
        <w:t>（3）不得为</w:t>
      </w:r>
      <w:r>
        <w:rPr>
          <w:rFonts w:hint="eastAsia"/>
          <w:color w:val="auto"/>
          <w:szCs w:val="21"/>
          <w:highlight w:val="none"/>
        </w:rPr>
        <w:t>发包人</w:t>
      </w:r>
      <w:r>
        <w:rPr>
          <w:color w:val="auto"/>
          <w:szCs w:val="21"/>
          <w:highlight w:val="none"/>
        </w:rPr>
        <w:t>及相关人员在住房装修、婚丧嫁娶、配偶、子女和其他亲属就业、旅游等事宜中提供利益和便利；不得以任何名义报销应由甲方及相关人员负担或支付的费用。</w:t>
      </w:r>
    </w:p>
    <w:p>
      <w:pPr>
        <w:shd w:val="clear" w:color="auto" w:fill="auto"/>
        <w:ind w:firstLine="420"/>
        <w:textAlignment w:val="baseline"/>
        <w:outlineLvl w:val="9"/>
        <w:rPr>
          <w:color w:val="auto"/>
          <w:szCs w:val="21"/>
          <w:highlight w:val="none"/>
        </w:rPr>
      </w:pPr>
      <w:bookmarkStart w:id="534" w:name="_Toc144327128"/>
      <w:bookmarkStart w:id="535" w:name="_Toc28329"/>
      <w:bookmarkStart w:id="536" w:name="_Toc27973"/>
      <w:r>
        <w:rPr>
          <w:color w:val="auto"/>
          <w:szCs w:val="21"/>
          <w:highlight w:val="none"/>
        </w:rPr>
        <w:t>2．不得有其他不廉洁行为。</w:t>
      </w:r>
      <w:bookmarkEnd w:id="534"/>
      <w:bookmarkEnd w:id="535"/>
      <w:bookmarkEnd w:id="536"/>
    </w:p>
    <w:p>
      <w:pPr>
        <w:shd w:val="clear" w:color="auto" w:fill="auto"/>
        <w:ind w:firstLine="420"/>
        <w:textAlignment w:val="baseline"/>
        <w:outlineLvl w:val="9"/>
        <w:rPr>
          <w:color w:val="auto"/>
          <w:szCs w:val="21"/>
          <w:highlight w:val="none"/>
        </w:rPr>
      </w:pPr>
      <w:r>
        <w:rPr>
          <w:color w:val="auto"/>
          <w:szCs w:val="21"/>
          <w:highlight w:val="none"/>
        </w:rPr>
        <w:t>3．积极支持配合</w:t>
      </w:r>
      <w:r>
        <w:rPr>
          <w:rFonts w:hint="eastAsia"/>
          <w:color w:val="auto"/>
          <w:szCs w:val="21"/>
          <w:highlight w:val="none"/>
        </w:rPr>
        <w:t>发包人</w:t>
      </w:r>
      <w:r>
        <w:rPr>
          <w:color w:val="auto"/>
          <w:szCs w:val="21"/>
          <w:highlight w:val="none"/>
        </w:rPr>
        <w:t>调查问题，不得隐瞒、袒护甲方及相关人员的不廉洁问题。</w:t>
      </w:r>
    </w:p>
    <w:p>
      <w:pPr>
        <w:shd w:val="clear" w:color="auto" w:fill="auto"/>
        <w:ind w:firstLine="422"/>
        <w:textAlignment w:val="baseline"/>
        <w:outlineLvl w:val="9"/>
        <w:rPr>
          <w:b/>
          <w:color w:val="auto"/>
          <w:szCs w:val="21"/>
          <w:highlight w:val="none"/>
        </w:rPr>
      </w:pPr>
      <w:r>
        <w:rPr>
          <w:b/>
          <w:color w:val="auto"/>
          <w:szCs w:val="21"/>
          <w:highlight w:val="none"/>
        </w:rPr>
        <w:t>四、 责任追究</w:t>
      </w:r>
    </w:p>
    <w:p>
      <w:pPr>
        <w:shd w:val="clear" w:color="auto" w:fill="auto"/>
        <w:ind w:firstLine="420"/>
        <w:textAlignment w:val="baseline"/>
        <w:outlineLvl w:val="9"/>
        <w:rPr>
          <w:color w:val="auto"/>
          <w:szCs w:val="21"/>
          <w:highlight w:val="none"/>
        </w:rPr>
      </w:pPr>
      <w:r>
        <w:rPr>
          <w:color w:val="auto"/>
          <w:szCs w:val="21"/>
          <w:highlight w:val="none"/>
        </w:rPr>
        <w:t>1．按照国家、上级机关和甲乙双方的有关制度和规定，以</w:t>
      </w:r>
      <w:r>
        <w:rPr>
          <w:rFonts w:hint="eastAsia"/>
          <w:color w:val="auto"/>
          <w:szCs w:val="21"/>
          <w:highlight w:val="none"/>
        </w:rPr>
        <w:t>发包人</w:t>
      </w:r>
      <w:r>
        <w:rPr>
          <w:color w:val="auto"/>
          <w:szCs w:val="21"/>
          <w:highlight w:val="none"/>
        </w:rPr>
        <w:t>为主、</w:t>
      </w:r>
      <w:r>
        <w:rPr>
          <w:rFonts w:hint="eastAsia"/>
          <w:color w:val="auto"/>
          <w:szCs w:val="21"/>
          <w:highlight w:val="none"/>
        </w:rPr>
        <w:t>承包人</w:t>
      </w:r>
      <w:r>
        <w:rPr>
          <w:color w:val="auto"/>
          <w:szCs w:val="21"/>
          <w:highlight w:val="none"/>
        </w:rPr>
        <w:t>配合，追究涉及本项目的不廉洁问题。</w:t>
      </w:r>
    </w:p>
    <w:p>
      <w:pPr>
        <w:shd w:val="clear" w:color="auto" w:fill="auto"/>
        <w:ind w:firstLine="420"/>
        <w:textAlignment w:val="baseline"/>
        <w:outlineLvl w:val="9"/>
        <w:rPr>
          <w:color w:val="auto"/>
          <w:szCs w:val="21"/>
          <w:highlight w:val="none"/>
        </w:rPr>
      </w:pPr>
      <w:r>
        <w:rPr>
          <w:color w:val="auto"/>
          <w:szCs w:val="21"/>
          <w:highlight w:val="none"/>
        </w:rPr>
        <w:t>2．建立廉洁违约罚金制度。廉洁违约罚金的额度为合同总额的</w:t>
      </w:r>
      <w:r>
        <w:rPr>
          <w:rFonts w:hint="eastAsia"/>
          <w:color w:val="auto"/>
          <w:szCs w:val="21"/>
          <w:highlight w:val="none"/>
          <w:lang w:val="en-US" w:eastAsia="zh-CN"/>
        </w:rPr>
        <w:t>10</w:t>
      </w:r>
      <w:r>
        <w:rPr>
          <w:color w:val="auto"/>
          <w:szCs w:val="21"/>
          <w:highlight w:val="none"/>
        </w:rPr>
        <w:t>%（不超过50万元）。如违反本协议，根据情节、损失和后果按以下规定在合同支付款中进行扣减。</w:t>
      </w:r>
    </w:p>
    <w:p>
      <w:pPr>
        <w:shd w:val="clear" w:color="auto" w:fill="auto"/>
        <w:ind w:firstLine="420"/>
        <w:textAlignment w:val="baseline"/>
        <w:outlineLvl w:val="9"/>
        <w:rPr>
          <w:color w:val="auto"/>
          <w:szCs w:val="21"/>
          <w:highlight w:val="none"/>
        </w:rPr>
      </w:pPr>
      <w:r>
        <w:rPr>
          <w:color w:val="auto"/>
          <w:szCs w:val="21"/>
          <w:highlight w:val="none"/>
        </w:rPr>
        <w:t>（1）造成直接损失或不良后果，情节较轻的，扣除10%-40%廉洁违约罚金；</w:t>
      </w:r>
    </w:p>
    <w:p>
      <w:pPr>
        <w:shd w:val="clear" w:color="auto" w:fill="auto"/>
        <w:ind w:firstLine="420"/>
        <w:textAlignment w:val="baseline"/>
        <w:outlineLvl w:val="9"/>
        <w:rPr>
          <w:color w:val="auto"/>
          <w:szCs w:val="21"/>
          <w:highlight w:val="none"/>
        </w:rPr>
      </w:pPr>
      <w:r>
        <w:rPr>
          <w:color w:val="auto"/>
          <w:szCs w:val="21"/>
          <w:highlight w:val="none"/>
        </w:rPr>
        <w:t>（2）情节较重的，扣除50%廉洁违约罚金；</w:t>
      </w:r>
    </w:p>
    <w:p>
      <w:pPr>
        <w:shd w:val="clear" w:color="auto" w:fill="auto"/>
        <w:ind w:firstLine="420"/>
        <w:textAlignment w:val="baseline"/>
        <w:outlineLvl w:val="9"/>
        <w:rPr>
          <w:color w:val="auto"/>
          <w:szCs w:val="21"/>
          <w:highlight w:val="none"/>
        </w:rPr>
      </w:pPr>
      <w:r>
        <w:rPr>
          <w:color w:val="auto"/>
          <w:szCs w:val="21"/>
          <w:highlight w:val="none"/>
        </w:rPr>
        <w:t>（3）情节严重的，扣除100%廉洁违约罚金。</w:t>
      </w:r>
    </w:p>
    <w:p>
      <w:pPr>
        <w:shd w:val="clear" w:color="auto" w:fill="auto"/>
        <w:ind w:firstLine="420"/>
        <w:textAlignment w:val="baseline"/>
        <w:outlineLvl w:val="9"/>
        <w:rPr>
          <w:color w:val="auto"/>
          <w:szCs w:val="21"/>
          <w:highlight w:val="none"/>
        </w:rPr>
      </w:pPr>
      <w:r>
        <w:rPr>
          <w:color w:val="auto"/>
          <w:szCs w:val="21"/>
          <w:highlight w:val="none"/>
        </w:rPr>
        <w:t>3．廉洁违约罚金的扣减：由合同管理单位根据纪检监察部门的处罚意见，与合同进度款的结算同步进行。</w:t>
      </w:r>
    </w:p>
    <w:p>
      <w:pPr>
        <w:shd w:val="clear" w:color="auto" w:fill="auto"/>
        <w:ind w:firstLine="420"/>
        <w:textAlignment w:val="baseline"/>
        <w:outlineLvl w:val="9"/>
        <w:rPr>
          <w:color w:val="auto"/>
          <w:szCs w:val="21"/>
          <w:highlight w:val="none"/>
        </w:rPr>
      </w:pPr>
      <w:r>
        <w:rPr>
          <w:color w:val="auto"/>
          <w:szCs w:val="21"/>
          <w:highlight w:val="none"/>
        </w:rPr>
        <w:t>4．对积极配合</w:t>
      </w:r>
      <w:r>
        <w:rPr>
          <w:rFonts w:hint="eastAsia"/>
          <w:color w:val="auto"/>
          <w:szCs w:val="21"/>
          <w:highlight w:val="none"/>
        </w:rPr>
        <w:t>发包人</w:t>
      </w:r>
      <w:r>
        <w:rPr>
          <w:color w:val="auto"/>
          <w:szCs w:val="21"/>
          <w:highlight w:val="none"/>
        </w:rPr>
        <w:t>调查，并确有立功表现或从轻、减轻违纪违规情节的，可根据相关规定履行审批手续后酌情减免处罚。</w:t>
      </w:r>
    </w:p>
    <w:p>
      <w:pPr>
        <w:shd w:val="clear" w:color="auto" w:fill="auto"/>
        <w:ind w:firstLine="420"/>
        <w:textAlignment w:val="baseline"/>
        <w:outlineLvl w:val="9"/>
        <w:rPr>
          <w:color w:val="auto"/>
          <w:szCs w:val="21"/>
          <w:highlight w:val="none"/>
        </w:rPr>
      </w:pPr>
      <w:r>
        <w:rPr>
          <w:color w:val="auto"/>
          <w:szCs w:val="21"/>
          <w:highlight w:val="none"/>
        </w:rPr>
        <w:t>5．上述处罚的同时，</w:t>
      </w:r>
      <w:r>
        <w:rPr>
          <w:rFonts w:hint="eastAsia"/>
          <w:color w:val="auto"/>
          <w:szCs w:val="21"/>
          <w:highlight w:val="none"/>
        </w:rPr>
        <w:t>发包人</w:t>
      </w:r>
      <w:r>
        <w:rPr>
          <w:color w:val="auto"/>
          <w:szCs w:val="21"/>
          <w:highlight w:val="none"/>
        </w:rPr>
        <w:t>可按照</w:t>
      </w:r>
      <w:r>
        <w:rPr>
          <w:rFonts w:hint="eastAsia"/>
          <w:color w:val="auto"/>
          <w:szCs w:val="21"/>
          <w:highlight w:val="none"/>
        </w:rPr>
        <w:t>云南省能源投资集团有限公司</w:t>
      </w:r>
      <w:r>
        <w:rPr>
          <w:color w:val="auto"/>
          <w:szCs w:val="21"/>
          <w:highlight w:val="none"/>
        </w:rPr>
        <w:t>有关规定另行给予</w:t>
      </w:r>
      <w:r>
        <w:rPr>
          <w:rFonts w:hint="eastAsia"/>
          <w:color w:val="auto"/>
          <w:szCs w:val="21"/>
          <w:highlight w:val="none"/>
        </w:rPr>
        <w:t>承包人</w:t>
      </w:r>
      <w:r>
        <w:rPr>
          <w:color w:val="auto"/>
          <w:szCs w:val="21"/>
          <w:highlight w:val="none"/>
        </w:rPr>
        <w:t>暂停合同履行、降低信用评级、禁止参加</w:t>
      </w:r>
      <w:r>
        <w:rPr>
          <w:rFonts w:hint="eastAsia"/>
          <w:color w:val="auto"/>
          <w:szCs w:val="21"/>
          <w:highlight w:val="none"/>
        </w:rPr>
        <w:t>发包人</w:t>
      </w:r>
      <w:r>
        <w:rPr>
          <w:color w:val="auto"/>
          <w:szCs w:val="21"/>
          <w:highlight w:val="none"/>
        </w:rPr>
        <w:t>其他项目等处理。</w:t>
      </w:r>
    </w:p>
    <w:p>
      <w:pPr>
        <w:shd w:val="clear" w:color="auto" w:fill="auto"/>
        <w:ind w:firstLine="420"/>
        <w:textAlignment w:val="baseline"/>
        <w:outlineLvl w:val="9"/>
        <w:rPr>
          <w:color w:val="auto"/>
          <w:szCs w:val="21"/>
          <w:highlight w:val="none"/>
        </w:rPr>
      </w:pPr>
      <w:r>
        <w:rPr>
          <w:color w:val="auto"/>
          <w:szCs w:val="21"/>
          <w:highlight w:val="none"/>
        </w:rPr>
        <w:t>6．任何一方违反本协议，影响守约方履行合同并造成损失的，违约方应承担赔偿责任。</w:t>
      </w:r>
    </w:p>
    <w:p>
      <w:pPr>
        <w:shd w:val="clear" w:color="auto" w:fill="auto"/>
        <w:ind w:firstLine="422"/>
        <w:textAlignment w:val="baseline"/>
        <w:outlineLvl w:val="9"/>
        <w:rPr>
          <w:b/>
          <w:color w:val="auto"/>
          <w:szCs w:val="21"/>
          <w:highlight w:val="none"/>
        </w:rPr>
      </w:pPr>
      <w:r>
        <w:rPr>
          <w:b/>
          <w:color w:val="auto"/>
          <w:szCs w:val="21"/>
          <w:highlight w:val="none"/>
        </w:rPr>
        <w:t>五、监督执行</w:t>
      </w:r>
    </w:p>
    <w:p>
      <w:pPr>
        <w:shd w:val="clear" w:color="auto" w:fill="auto"/>
        <w:ind w:firstLine="420"/>
        <w:textAlignment w:val="baseline"/>
        <w:outlineLvl w:val="9"/>
        <w:rPr>
          <w:color w:val="auto"/>
          <w:szCs w:val="21"/>
          <w:highlight w:val="none"/>
        </w:rPr>
      </w:pPr>
      <w:r>
        <w:rPr>
          <w:color w:val="auto"/>
          <w:szCs w:val="21"/>
          <w:highlight w:val="none"/>
        </w:rPr>
        <w:t>1．本协议作为项目合同的附件，由甲乙双方纪检监察部门联合监督执行。</w:t>
      </w:r>
    </w:p>
    <w:p>
      <w:pPr>
        <w:shd w:val="clear" w:color="auto" w:fill="auto"/>
        <w:ind w:firstLine="420"/>
        <w:textAlignment w:val="baseline"/>
        <w:outlineLvl w:val="9"/>
        <w:rPr>
          <w:color w:val="auto"/>
          <w:szCs w:val="21"/>
          <w:highlight w:val="none"/>
        </w:rPr>
      </w:pPr>
      <w:r>
        <w:rPr>
          <w:color w:val="auto"/>
          <w:szCs w:val="21"/>
          <w:highlight w:val="none"/>
        </w:rPr>
        <w:t>2．甲方举报电话：</w:t>
      </w:r>
      <w:r>
        <w:rPr>
          <w:color w:val="auto"/>
          <w:szCs w:val="21"/>
          <w:highlight w:val="none"/>
          <w:u w:val="single"/>
        </w:rPr>
        <w:t xml:space="preserve">              </w:t>
      </w:r>
      <w:r>
        <w:rPr>
          <w:color w:val="auto"/>
          <w:szCs w:val="21"/>
          <w:highlight w:val="none"/>
        </w:rPr>
        <w:t>；乙方举报电话：</w:t>
      </w:r>
      <w:r>
        <w:rPr>
          <w:color w:val="auto"/>
          <w:szCs w:val="21"/>
          <w:highlight w:val="none"/>
          <w:u w:val="single"/>
        </w:rPr>
        <w:t xml:space="preserve">                </w:t>
      </w:r>
      <w:r>
        <w:rPr>
          <w:color w:val="auto"/>
          <w:szCs w:val="21"/>
          <w:highlight w:val="none"/>
        </w:rPr>
        <w:t>。</w:t>
      </w:r>
    </w:p>
    <w:p>
      <w:pPr>
        <w:shd w:val="clear" w:color="auto" w:fill="auto"/>
        <w:ind w:firstLine="422"/>
        <w:textAlignment w:val="baseline"/>
        <w:outlineLvl w:val="9"/>
        <w:rPr>
          <w:b/>
          <w:color w:val="auto"/>
          <w:szCs w:val="21"/>
          <w:highlight w:val="none"/>
        </w:rPr>
      </w:pPr>
      <w:r>
        <w:rPr>
          <w:b/>
          <w:color w:val="auto"/>
          <w:szCs w:val="21"/>
          <w:highlight w:val="none"/>
        </w:rPr>
        <w:t>六、其他</w:t>
      </w:r>
    </w:p>
    <w:p>
      <w:pPr>
        <w:shd w:val="clear" w:color="auto" w:fill="auto"/>
        <w:ind w:firstLine="420"/>
        <w:textAlignment w:val="baseline"/>
        <w:outlineLvl w:val="9"/>
        <w:rPr>
          <w:color w:val="auto"/>
          <w:szCs w:val="21"/>
          <w:highlight w:val="none"/>
        </w:rPr>
      </w:pPr>
      <w:bookmarkStart w:id="537" w:name="_Toc10194"/>
      <w:bookmarkStart w:id="538" w:name="_Toc26669"/>
      <w:bookmarkStart w:id="539" w:name="_Toc144327129"/>
      <w:r>
        <w:rPr>
          <w:color w:val="auto"/>
          <w:szCs w:val="21"/>
          <w:highlight w:val="none"/>
        </w:rPr>
        <w:t>1．因执行本协议所发生的有关争议，适用主合同争议解决条款。</w:t>
      </w:r>
      <w:bookmarkEnd w:id="537"/>
      <w:bookmarkEnd w:id="538"/>
      <w:bookmarkEnd w:id="539"/>
    </w:p>
    <w:p>
      <w:pPr>
        <w:shd w:val="clear" w:color="auto" w:fill="auto"/>
        <w:ind w:firstLine="420"/>
        <w:textAlignment w:val="baseline"/>
        <w:outlineLvl w:val="9"/>
        <w:rPr>
          <w:color w:val="auto"/>
          <w:szCs w:val="21"/>
          <w:highlight w:val="none"/>
        </w:rPr>
      </w:pPr>
      <w:r>
        <w:rPr>
          <w:color w:val="auto"/>
          <w:szCs w:val="21"/>
          <w:highlight w:val="none"/>
        </w:rPr>
        <w:t>2．本协议作为</w:t>
      </w:r>
      <w:r>
        <w:rPr>
          <w:color w:val="auto"/>
          <w:szCs w:val="21"/>
          <w:highlight w:val="none"/>
          <w:u w:val="single"/>
        </w:rPr>
        <w:t xml:space="preserve">                </w:t>
      </w:r>
      <w:r>
        <w:rPr>
          <w:color w:val="auto"/>
          <w:szCs w:val="21"/>
          <w:highlight w:val="none"/>
        </w:rPr>
        <w:t>合同的附件，一式</w:t>
      </w:r>
      <w:r>
        <w:rPr>
          <w:color w:val="auto"/>
          <w:szCs w:val="21"/>
          <w:highlight w:val="none"/>
          <w:u w:val="single"/>
        </w:rPr>
        <w:t xml:space="preserve">   </w:t>
      </w:r>
      <w:r>
        <w:rPr>
          <w:color w:val="auto"/>
          <w:szCs w:val="21"/>
          <w:highlight w:val="none"/>
        </w:rPr>
        <w:t>份，双方各执</w:t>
      </w:r>
      <w:r>
        <w:rPr>
          <w:color w:val="auto"/>
          <w:szCs w:val="21"/>
          <w:highlight w:val="none"/>
          <w:u w:val="single"/>
        </w:rPr>
        <w:t xml:space="preserve">   </w:t>
      </w:r>
      <w:r>
        <w:rPr>
          <w:color w:val="auto"/>
          <w:szCs w:val="21"/>
          <w:highlight w:val="none"/>
        </w:rPr>
        <w:t>份。</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3．双方法定代表人或授权代表在此签字并加盖单位章，签字并盖章之日起本协议生效。</w:t>
      </w:r>
    </w:p>
    <w:p>
      <w:pPr>
        <w:pStyle w:val="484"/>
        <w:shd w:val="clear" w:color="auto" w:fill="auto"/>
        <w:spacing w:line="360" w:lineRule="auto"/>
        <w:ind w:firstLine="420"/>
        <w:outlineLvl w:val="9"/>
        <w:rPr>
          <w:rFonts w:ascii="Times New Roman" w:hAnsi="Times New Roman"/>
          <w:color w:val="auto"/>
          <w:sz w:val="21"/>
          <w:szCs w:val="21"/>
          <w:highlight w:val="none"/>
        </w:rPr>
      </w:pPr>
    </w:p>
    <w:p>
      <w:pPr>
        <w:shd w:val="clear" w:color="auto" w:fill="auto"/>
        <w:ind w:firstLine="420"/>
        <w:outlineLvl w:val="9"/>
        <w:rPr>
          <w:color w:val="auto"/>
          <w:szCs w:val="21"/>
          <w:highlight w:val="none"/>
        </w:rPr>
      </w:pPr>
      <w:r>
        <w:rPr>
          <w:color w:val="auto"/>
          <w:szCs w:val="21"/>
          <w:highlight w:val="none"/>
        </w:rPr>
        <w:t xml:space="preserve">发包人： </w:t>
      </w:r>
      <w:r>
        <w:rPr>
          <w:color w:val="auto"/>
          <w:szCs w:val="21"/>
          <w:highlight w:val="none"/>
          <w:u w:val="single"/>
        </w:rPr>
        <w:t xml:space="preserve">        </w:t>
      </w:r>
      <w:r>
        <w:rPr>
          <w:color w:val="auto"/>
          <w:szCs w:val="21"/>
          <w:highlight w:val="none"/>
        </w:rPr>
        <w:t xml:space="preserve">（盖单位章）          承包人： </w:t>
      </w:r>
      <w:r>
        <w:rPr>
          <w:color w:val="auto"/>
          <w:szCs w:val="21"/>
          <w:highlight w:val="none"/>
          <w:u w:val="single"/>
        </w:rPr>
        <w:t xml:space="preserve">        </w:t>
      </w:r>
      <w:r>
        <w:rPr>
          <w:color w:val="auto"/>
          <w:szCs w:val="21"/>
          <w:highlight w:val="none"/>
        </w:rPr>
        <w:t>（盖单位章）</w:t>
      </w:r>
    </w:p>
    <w:p>
      <w:pPr>
        <w:shd w:val="clear" w:color="auto" w:fill="auto"/>
        <w:tabs>
          <w:tab w:val="left" w:pos="4550"/>
        </w:tabs>
        <w:ind w:firstLine="420"/>
        <w:outlineLvl w:val="9"/>
        <w:rPr>
          <w:color w:val="auto"/>
          <w:szCs w:val="21"/>
          <w:highlight w:val="none"/>
        </w:rPr>
      </w:pPr>
      <w:r>
        <w:rPr>
          <w:color w:val="auto"/>
          <w:szCs w:val="21"/>
          <w:highlight w:val="none"/>
        </w:rPr>
        <w:t>法定代表人或</w:t>
      </w:r>
      <w:r>
        <w:rPr>
          <w:color w:val="auto"/>
          <w:szCs w:val="21"/>
          <w:highlight w:val="none"/>
        </w:rPr>
        <w:tab/>
      </w:r>
      <w:r>
        <w:rPr>
          <w:color w:val="auto"/>
          <w:szCs w:val="21"/>
          <w:highlight w:val="none"/>
        </w:rPr>
        <w:t>法定代表人或</w:t>
      </w:r>
    </w:p>
    <w:p>
      <w:pPr>
        <w:shd w:val="clear" w:color="auto" w:fill="auto"/>
        <w:tabs>
          <w:tab w:val="left" w:pos="4550"/>
        </w:tabs>
        <w:ind w:firstLine="420"/>
        <w:outlineLvl w:val="9"/>
        <w:rPr>
          <w:color w:val="auto"/>
          <w:szCs w:val="21"/>
          <w:highlight w:val="none"/>
        </w:rPr>
      </w:pPr>
      <w:r>
        <w:rPr>
          <w:color w:val="auto"/>
          <w:szCs w:val="21"/>
          <w:highlight w:val="none"/>
        </w:rPr>
        <w:t>其委托代理人：</w:t>
      </w:r>
      <w:r>
        <w:rPr>
          <w:color w:val="auto"/>
          <w:szCs w:val="21"/>
          <w:highlight w:val="none"/>
          <w:u w:val="single"/>
        </w:rPr>
        <w:t xml:space="preserve">      </w:t>
      </w:r>
      <w:r>
        <w:rPr>
          <w:color w:val="auto"/>
          <w:szCs w:val="21"/>
          <w:highlight w:val="none"/>
        </w:rPr>
        <w:t>（签字）</w:t>
      </w:r>
      <w:r>
        <w:rPr>
          <w:color w:val="auto"/>
          <w:szCs w:val="21"/>
          <w:highlight w:val="none"/>
        </w:rPr>
        <w:tab/>
      </w:r>
      <w:r>
        <w:rPr>
          <w:color w:val="auto"/>
          <w:szCs w:val="21"/>
          <w:highlight w:val="none"/>
        </w:rPr>
        <w:t>其委托代理人：</w:t>
      </w:r>
      <w:r>
        <w:rPr>
          <w:color w:val="auto"/>
          <w:szCs w:val="21"/>
          <w:highlight w:val="none"/>
          <w:u w:val="single"/>
        </w:rPr>
        <w:t xml:space="preserve">      </w:t>
      </w:r>
      <w:r>
        <w:rPr>
          <w:color w:val="auto"/>
          <w:szCs w:val="21"/>
          <w:highlight w:val="none"/>
        </w:rPr>
        <w:t>（签字）</w:t>
      </w:r>
    </w:p>
    <w:p>
      <w:pPr>
        <w:shd w:val="clear" w:color="auto" w:fill="auto"/>
        <w:ind w:firstLine="630" w:firstLineChars="300"/>
        <w:outlineLvl w:val="9"/>
        <w:rPr>
          <w:color w:val="auto"/>
          <w:szCs w:val="21"/>
          <w:highlight w:val="none"/>
        </w:rPr>
      </w:pP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 xml:space="preserve">日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pPr>
        <w:pStyle w:val="481"/>
        <w:shd w:val="clear" w:color="auto" w:fill="auto"/>
        <w:spacing w:before="60" w:after="60"/>
        <w:ind w:firstLine="0" w:firstLineChars="0"/>
        <w:outlineLvl w:val="9"/>
        <w:rPr>
          <w:rFonts w:ascii="Times New Roman" w:hAnsi="Times New Roman" w:eastAsia="黑体" w:cs="Times New Roman"/>
          <w:bCs/>
          <w:color w:val="auto"/>
          <w:kern w:val="44"/>
          <w:sz w:val="21"/>
          <w:szCs w:val="21"/>
          <w:highlight w:val="none"/>
        </w:rPr>
      </w:pPr>
      <w:r>
        <w:rPr>
          <w:color w:val="auto"/>
          <w:szCs w:val="21"/>
          <w:highlight w:val="none"/>
        </w:rPr>
        <w:br w:type="page"/>
      </w:r>
      <w:r>
        <w:rPr>
          <w:rFonts w:ascii="Times New Roman" w:hAnsi="Times New Roman" w:eastAsia="黑体" w:cs="Times New Roman"/>
          <w:bCs/>
          <w:color w:val="auto"/>
          <w:kern w:val="44"/>
          <w:sz w:val="21"/>
          <w:szCs w:val="21"/>
          <w:highlight w:val="none"/>
        </w:rPr>
        <w:t>附件</w:t>
      </w:r>
      <w:r>
        <w:rPr>
          <w:rFonts w:hint="eastAsia" w:ascii="Times New Roman" w:hAnsi="Times New Roman" w:eastAsia="黑体" w:cs="Times New Roman"/>
          <w:bCs/>
          <w:color w:val="auto"/>
          <w:kern w:val="44"/>
          <w:sz w:val="21"/>
          <w:szCs w:val="21"/>
          <w:highlight w:val="none"/>
        </w:rPr>
        <w:t>三</w:t>
      </w:r>
      <w:r>
        <w:rPr>
          <w:rFonts w:ascii="Times New Roman" w:hAnsi="Times New Roman" w:eastAsia="黑体" w:cs="Times New Roman"/>
          <w:bCs/>
          <w:color w:val="auto"/>
          <w:kern w:val="44"/>
          <w:sz w:val="21"/>
          <w:szCs w:val="21"/>
          <w:highlight w:val="none"/>
        </w:rPr>
        <w:t xml:space="preserve">  民工权益保障承诺书</w:t>
      </w:r>
    </w:p>
    <w:p>
      <w:pPr>
        <w:shd w:val="clear" w:color="auto" w:fill="auto"/>
        <w:ind w:firstLine="420"/>
        <w:jc w:val="center"/>
        <w:outlineLvl w:val="9"/>
        <w:rPr>
          <w:rFonts w:eastAsia="黑体"/>
          <w:color w:val="auto"/>
          <w:szCs w:val="21"/>
          <w:highlight w:val="none"/>
        </w:rPr>
      </w:pPr>
      <w:r>
        <w:rPr>
          <w:rFonts w:eastAsia="黑体"/>
          <w:color w:val="auto"/>
          <w:szCs w:val="21"/>
          <w:highlight w:val="none"/>
        </w:rPr>
        <w:t>民工权益保障承诺书</w:t>
      </w:r>
    </w:p>
    <w:p>
      <w:pPr>
        <w:shd w:val="clear" w:color="auto" w:fill="auto"/>
        <w:ind w:firstLine="420"/>
        <w:outlineLvl w:val="9"/>
        <w:rPr>
          <w:color w:val="auto"/>
          <w:szCs w:val="21"/>
          <w:highlight w:val="none"/>
        </w:rPr>
      </w:pPr>
      <w:r>
        <w:rPr>
          <w:color w:val="auto"/>
          <w:szCs w:val="21"/>
          <w:highlight w:val="none"/>
        </w:rPr>
        <w:t>致</w:t>
      </w:r>
      <w:r>
        <w:rPr>
          <w:color w:val="auto"/>
          <w:szCs w:val="21"/>
          <w:highlight w:val="none"/>
          <w:u w:val="single"/>
        </w:rPr>
        <w:t xml:space="preserve">                  （发包人名称）</w:t>
      </w:r>
      <w:r>
        <w:rPr>
          <w:color w:val="auto"/>
          <w:szCs w:val="21"/>
          <w:highlight w:val="none"/>
        </w:rPr>
        <w:t>:</w:t>
      </w:r>
    </w:p>
    <w:p>
      <w:pPr>
        <w:shd w:val="clear" w:color="auto" w:fill="auto"/>
        <w:ind w:firstLine="420"/>
        <w:outlineLvl w:val="9"/>
        <w:rPr>
          <w:color w:val="auto"/>
          <w:kern w:val="0"/>
          <w:szCs w:val="21"/>
          <w:highlight w:val="none"/>
        </w:rPr>
      </w:pPr>
      <w:r>
        <w:rPr>
          <w:color w:val="auto"/>
          <w:kern w:val="0"/>
          <w:szCs w:val="21"/>
          <w:highlight w:val="none"/>
        </w:rPr>
        <w:t>本公司已与贵司签订《</w:t>
      </w:r>
      <w:r>
        <w:rPr>
          <w:color w:val="auto"/>
          <w:szCs w:val="21"/>
          <w:highlight w:val="none"/>
          <w:u w:val="single"/>
        </w:rPr>
        <w:t xml:space="preserve">                </w:t>
      </w:r>
      <w:r>
        <w:rPr>
          <w:color w:val="auto"/>
          <w:kern w:val="0"/>
          <w:szCs w:val="21"/>
          <w:highlight w:val="none"/>
        </w:rPr>
        <w:t>合同》，我司同意在合同履行过程中，向贵司就民工权益保障工作做如下承诺：</w:t>
      </w:r>
    </w:p>
    <w:p>
      <w:pPr>
        <w:shd w:val="clear" w:color="auto" w:fill="auto"/>
        <w:adjustRightInd w:val="0"/>
        <w:ind w:firstLine="420"/>
        <w:jc w:val="left"/>
        <w:outlineLvl w:val="9"/>
        <w:rPr>
          <w:color w:val="auto"/>
          <w:kern w:val="0"/>
          <w:szCs w:val="21"/>
          <w:highlight w:val="none"/>
        </w:rPr>
      </w:pPr>
      <w:r>
        <w:rPr>
          <w:color w:val="auto"/>
          <w:kern w:val="0"/>
          <w:szCs w:val="21"/>
          <w:highlight w:val="none"/>
        </w:rPr>
        <w:t>1．我司承诺按劳动和社会保障部、住建部颁发的《建设领域农民工工资支付管理暂行办法》（劳社部发［2004］22号）（2011年已重新发文）</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人力资源社会保障部</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住房和城乡建设部</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交通运输部</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水利部</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银保监会</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铁路局</w:t>
      </w:r>
      <w:r>
        <w:rPr>
          <w:rFonts w:hint="default" w:ascii="Times New Roman" w:hAnsi="Times New Roman" w:eastAsia="宋体" w:cs="Times New Roman"/>
          <w:color w:val="auto"/>
          <w:kern w:val="0"/>
          <w:szCs w:val="21"/>
          <w:highlight w:val="none"/>
          <w:lang w:eastAsia="zh-CN"/>
        </w:rPr>
        <w:t>、</w:t>
      </w:r>
      <w:r>
        <w:rPr>
          <w:rFonts w:hint="eastAsia"/>
          <w:color w:val="auto"/>
          <w:kern w:val="0"/>
          <w:szCs w:val="21"/>
          <w:highlight w:val="none"/>
        </w:rPr>
        <w:t>民航局关于印发《工程建设领域农民工工资保证金规定》的通知</w:t>
      </w:r>
      <w:r>
        <w:rPr>
          <w:rFonts w:hint="default" w:ascii="Times New Roman" w:hAnsi="Times New Roman" w:eastAsia="宋体" w:cs="Times New Roman"/>
          <w:color w:val="auto"/>
          <w:kern w:val="0"/>
          <w:szCs w:val="21"/>
          <w:highlight w:val="none"/>
          <w:lang w:eastAsia="zh-CN"/>
        </w:rPr>
        <w:t>（</w:t>
      </w:r>
      <w:r>
        <w:rPr>
          <w:rFonts w:ascii="Times New Roman" w:hAnsi="Times New Roman" w:eastAsia="宋体" w:cs="Times New Roman"/>
          <w:color w:val="auto"/>
          <w:kern w:val="0"/>
          <w:sz w:val="21"/>
          <w:szCs w:val="21"/>
          <w:highlight w:val="none"/>
          <w:shd w:val="clear" w:color="auto" w:fill="auto"/>
        </w:rPr>
        <w:t>人社部发〔2021〕65号</w:t>
      </w:r>
      <w:r>
        <w:rPr>
          <w:rFonts w:hint="default" w:ascii="Times New Roman" w:hAnsi="Times New Roman" w:eastAsia="宋体" w:cs="Times New Roman"/>
          <w:color w:val="auto"/>
          <w:kern w:val="0"/>
          <w:szCs w:val="21"/>
          <w:highlight w:val="none"/>
          <w:lang w:eastAsia="zh-CN"/>
        </w:rPr>
        <w:t>）</w:t>
      </w:r>
      <w:r>
        <w:rPr>
          <w:color w:val="auto"/>
          <w:kern w:val="0"/>
          <w:szCs w:val="21"/>
          <w:highlight w:val="none"/>
        </w:rPr>
        <w:t>及</w:t>
      </w:r>
      <w:r>
        <w:rPr>
          <w:rFonts w:hint="default"/>
          <w:color w:val="auto"/>
          <w:kern w:val="0"/>
          <w:szCs w:val="21"/>
          <w:highlight w:val="none"/>
          <w:lang w:eastAsia="zh-CN"/>
        </w:rPr>
        <w:t>《</w:t>
      </w:r>
      <w:r>
        <w:rPr>
          <w:rFonts w:ascii="Times New Roman" w:hAnsi="Times New Roman" w:eastAsia="宋体" w:cs="Times New Roman"/>
          <w:color w:val="auto"/>
          <w:kern w:val="0"/>
          <w:sz w:val="21"/>
          <w:szCs w:val="21"/>
          <w:highlight w:val="none"/>
        </w:rPr>
        <w:t>关于印发云南省 ‹工程建设领域农民工工资保证金规定实施细则</w:t>
      </w:r>
      <w:r>
        <w:rPr>
          <w:rFonts w:hint="default" w:ascii="Times New Roman" w:hAnsi="Times New Roman" w:cs="Times New Roman"/>
          <w:color w:val="auto"/>
          <w:kern w:val="0"/>
          <w:sz w:val="21"/>
          <w:szCs w:val="21"/>
          <w:highlight w:val="none"/>
          <w:lang w:val="en-US" w:eastAsia="zh-CN"/>
        </w:rPr>
        <w:t>&gt;</w:t>
      </w:r>
      <w:r>
        <w:rPr>
          <w:rFonts w:ascii="Times New Roman" w:hAnsi="Times New Roman" w:eastAsia="宋体" w:cs="Times New Roman"/>
          <w:color w:val="auto"/>
          <w:kern w:val="0"/>
          <w:sz w:val="21"/>
          <w:szCs w:val="21"/>
          <w:highlight w:val="none"/>
        </w:rPr>
        <w:t>的通知</w:t>
      </w:r>
      <w:r>
        <w:rPr>
          <w:rFonts w:hint="default"/>
          <w:color w:val="auto"/>
          <w:kern w:val="0"/>
          <w:szCs w:val="21"/>
          <w:highlight w:val="none"/>
          <w:lang w:eastAsia="zh-CN"/>
        </w:rPr>
        <w:t>》</w:t>
      </w:r>
      <w:r>
        <w:rPr>
          <w:rFonts w:hint="default" w:ascii="Times New Roman" w:hAnsi="Times New Roman" w:eastAsia="宋体" w:cs="Times New Roman"/>
          <w:color w:val="auto"/>
          <w:kern w:val="0"/>
          <w:szCs w:val="21"/>
          <w:highlight w:val="none"/>
          <w:lang w:eastAsia="zh-CN"/>
        </w:rPr>
        <w:t>（</w:t>
      </w:r>
      <w:r>
        <w:rPr>
          <w:rFonts w:ascii="Times New Roman" w:hAnsi="Times New Roman" w:eastAsia="宋体" w:cs="Times New Roman"/>
          <w:color w:val="auto"/>
          <w:kern w:val="0"/>
          <w:sz w:val="21"/>
          <w:szCs w:val="21"/>
          <w:highlight w:val="none"/>
        </w:rPr>
        <w:t>云人社发〔</w:t>
      </w:r>
      <w:r>
        <w:rPr>
          <w:rFonts w:hint="eastAsia" w:ascii="Times New Roman" w:hAnsi="Times New Roman" w:eastAsia="宋体" w:cs="Times New Roman"/>
          <w:color w:val="auto"/>
          <w:kern w:val="0"/>
          <w:sz w:val="21"/>
          <w:szCs w:val="21"/>
          <w:highlight w:val="none"/>
          <w:lang w:eastAsia="zh-CN"/>
        </w:rPr>
        <w:t>2</w:t>
      </w:r>
      <w:r>
        <w:rPr>
          <w:rFonts w:hint="eastAsia" w:ascii="Times New Roman" w:hAnsi="Times New Roman" w:eastAsia="宋体" w:cs="Times New Roman"/>
          <w:color w:val="auto"/>
          <w:kern w:val="0"/>
          <w:sz w:val="21"/>
          <w:szCs w:val="21"/>
          <w:highlight w:val="none"/>
          <w:lang w:val="en-US" w:eastAsia="zh-CN"/>
        </w:rPr>
        <w:t>021</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2</w:t>
      </w:r>
      <w:r>
        <w:rPr>
          <w:rFonts w:hint="eastAsia" w:ascii="Times New Roman" w:hAnsi="Times New Roman" w:eastAsia="宋体" w:cs="Times New Roman"/>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号</w:t>
      </w:r>
      <w:r>
        <w:rPr>
          <w:rFonts w:hint="default"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以</w:t>
      </w:r>
      <w:r>
        <w:rPr>
          <w:color w:val="auto"/>
          <w:kern w:val="0"/>
          <w:szCs w:val="21"/>
          <w:highlight w:val="none"/>
        </w:rPr>
        <w:t>及工程所在地各级主管部门制定的相关文件要求，认真贯彻执行。</w:t>
      </w:r>
    </w:p>
    <w:p>
      <w:pPr>
        <w:shd w:val="clear" w:color="auto" w:fill="auto"/>
        <w:adjustRightInd w:val="0"/>
        <w:ind w:firstLine="420"/>
        <w:jc w:val="left"/>
        <w:outlineLvl w:val="9"/>
        <w:rPr>
          <w:color w:val="auto"/>
          <w:kern w:val="0"/>
          <w:szCs w:val="21"/>
          <w:highlight w:val="none"/>
        </w:rPr>
      </w:pPr>
      <w:r>
        <w:rPr>
          <w:color w:val="auto"/>
          <w:kern w:val="0"/>
          <w:szCs w:val="21"/>
          <w:highlight w:val="none"/>
        </w:rPr>
        <w:t>2.我司将成立有专人负责的民工权益保障专职部门，部门人员由项目经理、预算部经理、财务部经理、民工权益保障专员组成；项目经理兼任民工权益保障部门经理。</w:t>
      </w:r>
    </w:p>
    <w:p>
      <w:pPr>
        <w:shd w:val="clear" w:color="auto" w:fill="auto"/>
        <w:adjustRightInd w:val="0"/>
        <w:ind w:firstLine="420"/>
        <w:jc w:val="left"/>
        <w:outlineLvl w:val="9"/>
        <w:rPr>
          <w:color w:val="auto"/>
          <w:kern w:val="0"/>
          <w:szCs w:val="21"/>
          <w:highlight w:val="none"/>
        </w:rPr>
      </w:pPr>
      <w:r>
        <w:rPr>
          <w:color w:val="auto"/>
          <w:kern w:val="0"/>
          <w:szCs w:val="21"/>
          <w:highlight w:val="none"/>
        </w:rPr>
        <w:t>3．我司承诺认真履行职责，做好本公司在贵司承建的施工项目的民工用工和管理工作，足额支付劳务分包单位的工程款，确保按时足额将民工工资发放到民工本人，安排好本公司民工的生活，做好本公司民工的安全教育和管理工作，发放劳保和安全用品。</w:t>
      </w:r>
    </w:p>
    <w:p>
      <w:pPr>
        <w:shd w:val="clear" w:color="auto" w:fill="auto"/>
        <w:adjustRightInd w:val="0"/>
        <w:ind w:firstLine="420"/>
        <w:jc w:val="left"/>
        <w:outlineLvl w:val="9"/>
        <w:rPr>
          <w:color w:val="auto"/>
          <w:kern w:val="0"/>
          <w:szCs w:val="21"/>
          <w:highlight w:val="none"/>
        </w:rPr>
      </w:pPr>
      <w:r>
        <w:rPr>
          <w:color w:val="auto"/>
          <w:kern w:val="0"/>
          <w:szCs w:val="21"/>
          <w:highlight w:val="none"/>
        </w:rPr>
        <w:t>4．我司在合同履行过程中，将按贵司要求按时如实填报有关民工权益保障资料。如果我司违反承诺，则同意贵司的进度款分两步支付，先支付上月（期）民工工资，待我司发放民工工资完毕并提供相关凭证，再支付进度款的余额。</w:t>
      </w:r>
    </w:p>
    <w:p>
      <w:pPr>
        <w:shd w:val="clear" w:color="auto" w:fill="auto"/>
        <w:adjustRightInd w:val="0"/>
        <w:ind w:firstLine="420"/>
        <w:jc w:val="left"/>
        <w:outlineLvl w:val="9"/>
        <w:rPr>
          <w:color w:val="auto"/>
          <w:kern w:val="0"/>
          <w:szCs w:val="21"/>
          <w:highlight w:val="none"/>
        </w:rPr>
      </w:pPr>
      <w:r>
        <w:rPr>
          <w:color w:val="auto"/>
          <w:kern w:val="0"/>
          <w:szCs w:val="21"/>
          <w:highlight w:val="none"/>
        </w:rPr>
        <w:t>5．一旦出现本公司严重拖欠民工工资，导致民工因欠薪闹事，同意由贵司先行垫付民工工资，并在下期进度款中扣除，垫付范围建议以“我方应付未付工程款”为限。</w:t>
      </w:r>
    </w:p>
    <w:p>
      <w:pPr>
        <w:shd w:val="clear" w:color="auto" w:fill="auto"/>
        <w:adjustRightInd w:val="0"/>
        <w:ind w:firstLine="420"/>
        <w:jc w:val="left"/>
        <w:outlineLvl w:val="9"/>
        <w:rPr>
          <w:color w:val="auto"/>
          <w:kern w:val="0"/>
          <w:szCs w:val="21"/>
          <w:highlight w:val="none"/>
        </w:rPr>
      </w:pPr>
      <w:r>
        <w:rPr>
          <w:color w:val="auto"/>
          <w:kern w:val="0"/>
          <w:szCs w:val="21"/>
          <w:highlight w:val="none"/>
        </w:rPr>
        <w:t>6．一旦出现本公司因民工权益保障工作不到位，导致重大突发事件，并造成一定影响，本公司承担由此产生的全部责任，并承诺向贵司偿付违反承诺赔偿金</w:t>
      </w:r>
      <w:r>
        <w:rPr>
          <w:b/>
          <w:color w:val="auto"/>
          <w:kern w:val="0"/>
          <w:szCs w:val="21"/>
          <w:highlight w:val="none"/>
          <w:u w:val="single"/>
        </w:rPr>
        <w:t>壹拾万元整</w:t>
      </w:r>
      <w:r>
        <w:rPr>
          <w:color w:val="auto"/>
          <w:kern w:val="0"/>
          <w:szCs w:val="21"/>
          <w:highlight w:val="none"/>
        </w:rPr>
        <w:t>，由贵公司</w:t>
      </w:r>
      <w:r>
        <w:rPr>
          <w:color w:val="auto"/>
          <w:szCs w:val="21"/>
          <w:highlight w:val="none"/>
        </w:rPr>
        <w:t>直接从我公司当月工程进度款中扣除</w:t>
      </w:r>
      <w:r>
        <w:rPr>
          <w:color w:val="auto"/>
          <w:kern w:val="0"/>
          <w:szCs w:val="21"/>
          <w:highlight w:val="none"/>
        </w:rPr>
        <w:t>违反承诺赔偿金</w:t>
      </w:r>
      <w:r>
        <w:rPr>
          <w:color w:val="auto"/>
          <w:szCs w:val="21"/>
          <w:highlight w:val="none"/>
        </w:rPr>
        <w:t>。若当月工程进度款不足作为</w:t>
      </w:r>
      <w:r>
        <w:rPr>
          <w:color w:val="auto"/>
          <w:kern w:val="0"/>
          <w:szCs w:val="21"/>
          <w:highlight w:val="none"/>
        </w:rPr>
        <w:t>违反承诺赔偿金</w:t>
      </w:r>
      <w:r>
        <w:rPr>
          <w:color w:val="auto"/>
          <w:szCs w:val="21"/>
          <w:highlight w:val="none"/>
        </w:rPr>
        <w:t>的扣除，在次月工程进度款中继续补扣，若次月还不足，则由我方以现金补缴至贵公司</w:t>
      </w:r>
      <w:r>
        <w:rPr>
          <w:color w:val="auto"/>
          <w:kern w:val="0"/>
          <w:szCs w:val="21"/>
          <w:highlight w:val="none"/>
        </w:rPr>
        <w:t>。</w:t>
      </w:r>
    </w:p>
    <w:p>
      <w:pPr>
        <w:shd w:val="clear" w:color="auto" w:fill="auto"/>
        <w:ind w:firstLine="420"/>
        <w:outlineLvl w:val="9"/>
        <w:rPr>
          <w:color w:val="auto"/>
          <w:kern w:val="0"/>
          <w:szCs w:val="21"/>
          <w:highlight w:val="none"/>
        </w:rPr>
      </w:pPr>
      <w:r>
        <w:rPr>
          <w:color w:val="auto"/>
          <w:kern w:val="0"/>
          <w:szCs w:val="21"/>
          <w:highlight w:val="none"/>
        </w:rPr>
        <w:t>7．我司承诺无条件负责处理与民工、分包单位的一切纠纷，如因投标人与民工、分包单位的纠纷而对贵司造成影响的，我司立即解决，同时贵司有权延迟合同款的支付直至影响消除，并根据事件影响程度决定是否将我司列入不合格承包商名册。</w:t>
      </w:r>
    </w:p>
    <w:p>
      <w:pPr>
        <w:shd w:val="clear" w:color="auto" w:fill="auto"/>
        <w:ind w:right="480" w:firstLine="420"/>
        <w:jc w:val="center"/>
        <w:outlineLvl w:val="9"/>
        <w:rPr>
          <w:color w:val="auto"/>
          <w:kern w:val="0"/>
          <w:szCs w:val="21"/>
          <w:highlight w:val="none"/>
        </w:rPr>
      </w:pPr>
      <w:r>
        <w:rPr>
          <w:color w:val="auto"/>
          <w:kern w:val="0"/>
          <w:szCs w:val="21"/>
          <w:highlight w:val="none"/>
        </w:rPr>
        <w:t xml:space="preserve">           </w:t>
      </w:r>
    </w:p>
    <w:p>
      <w:pPr>
        <w:shd w:val="clear" w:color="auto" w:fill="auto"/>
        <w:ind w:right="480" w:firstLine="420"/>
        <w:jc w:val="center"/>
        <w:outlineLvl w:val="9"/>
        <w:rPr>
          <w:color w:val="auto"/>
          <w:kern w:val="0"/>
          <w:szCs w:val="21"/>
          <w:highlight w:val="none"/>
        </w:rPr>
      </w:pPr>
      <w:r>
        <w:rPr>
          <w:rFonts w:hint="eastAsia"/>
          <w:color w:val="auto"/>
          <w:kern w:val="0"/>
          <w:szCs w:val="21"/>
          <w:highlight w:val="none"/>
        </w:rPr>
        <w:t xml:space="preserve">             </w:t>
      </w:r>
      <w:r>
        <w:rPr>
          <w:color w:val="auto"/>
          <w:kern w:val="0"/>
          <w:szCs w:val="21"/>
          <w:highlight w:val="none"/>
        </w:rPr>
        <w:t>承诺人：</w:t>
      </w:r>
      <w:r>
        <w:rPr>
          <w:color w:val="auto"/>
          <w:szCs w:val="21"/>
          <w:highlight w:val="none"/>
        </w:rPr>
        <w:t xml:space="preserve">    （盖单位章）</w:t>
      </w:r>
    </w:p>
    <w:p>
      <w:pPr>
        <w:shd w:val="clear" w:color="auto" w:fill="auto"/>
        <w:ind w:right="960" w:firstLine="420"/>
        <w:jc w:val="center"/>
        <w:outlineLvl w:val="9"/>
        <w:rPr>
          <w:color w:val="auto"/>
          <w:kern w:val="0"/>
          <w:szCs w:val="21"/>
          <w:highlight w:val="none"/>
        </w:rPr>
      </w:pPr>
      <w:r>
        <w:rPr>
          <w:color w:val="auto"/>
          <w:kern w:val="0"/>
          <w:szCs w:val="21"/>
          <w:highlight w:val="none"/>
        </w:rPr>
        <w:t xml:space="preserve">                   法定代表人：（委托代理人）</w:t>
      </w:r>
    </w:p>
    <w:p>
      <w:pPr>
        <w:pStyle w:val="489"/>
        <w:shd w:val="clear" w:color="auto" w:fill="auto"/>
        <w:spacing w:before="60" w:after="60"/>
        <w:ind w:firstLine="560"/>
        <w:outlineLvl w:val="9"/>
        <w:rPr>
          <w:color w:val="auto"/>
          <w:kern w:val="0"/>
          <w:szCs w:val="21"/>
          <w:highlight w:val="none"/>
        </w:rPr>
        <w:sectPr>
          <w:headerReference r:id="rId9" w:type="default"/>
          <w:footerReference r:id="rId10" w:type="default"/>
          <w:pgSz w:w="11905" w:h="16838"/>
          <w:pgMar w:top="1417" w:right="1417" w:bottom="1417" w:left="1417" w:header="850" w:footer="680" w:gutter="0"/>
          <w:cols w:space="720" w:num="1"/>
          <w:docGrid w:type="linesAndChars" w:linePitch="318" w:charSpace="0"/>
        </w:sectPr>
      </w:pPr>
      <w:r>
        <w:rPr>
          <w:color w:val="auto"/>
          <w:kern w:val="0"/>
          <w:szCs w:val="21"/>
          <w:highlight w:val="none"/>
        </w:rPr>
        <w:t xml:space="preserve">    </w:t>
      </w:r>
      <w:r>
        <w:rPr>
          <w:rFonts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 xml:space="preserve">             </w:t>
      </w:r>
      <w:r>
        <w:rPr>
          <w:rFonts w:ascii="Times New Roman" w:hAnsi="Times New Roman" w:eastAsia="宋体" w:cs="Times New Roman"/>
          <w:color w:val="auto"/>
          <w:kern w:val="0"/>
          <w:sz w:val="21"/>
          <w:szCs w:val="21"/>
          <w:highlight w:val="none"/>
          <w:lang w:val="en-US" w:eastAsia="zh-CN" w:bidi="ar-SA"/>
        </w:rPr>
        <w:t>承诺日期：        年   月   日</w:t>
      </w:r>
    </w:p>
    <w:p>
      <w:pPr>
        <w:pStyle w:val="481"/>
        <w:shd w:val="clear" w:color="auto" w:fill="auto"/>
        <w:spacing w:before="60" w:after="60"/>
        <w:ind w:firstLine="0" w:firstLineChars="0"/>
        <w:outlineLvl w:val="9"/>
        <w:rPr>
          <w:rFonts w:ascii="Times New Roman" w:hAnsi="Times New Roman" w:eastAsia="黑体" w:cs="Times New Roman"/>
          <w:bCs/>
          <w:color w:val="auto"/>
          <w:kern w:val="44"/>
          <w:sz w:val="21"/>
          <w:szCs w:val="21"/>
          <w:highlight w:val="none"/>
        </w:rPr>
      </w:pPr>
      <w:r>
        <w:rPr>
          <w:rFonts w:ascii="Times New Roman" w:hAnsi="Times New Roman" w:eastAsia="黑体" w:cs="Times New Roman"/>
          <w:bCs/>
          <w:color w:val="auto"/>
          <w:kern w:val="44"/>
          <w:sz w:val="21"/>
          <w:szCs w:val="21"/>
          <w:highlight w:val="none"/>
        </w:rPr>
        <w:t>附件</w:t>
      </w:r>
      <w:r>
        <w:rPr>
          <w:rFonts w:hint="eastAsia" w:ascii="Times New Roman" w:hAnsi="Times New Roman" w:eastAsia="黑体" w:cs="Times New Roman"/>
          <w:bCs/>
          <w:color w:val="auto"/>
          <w:kern w:val="44"/>
          <w:sz w:val="21"/>
          <w:szCs w:val="21"/>
          <w:highlight w:val="none"/>
          <w:lang w:val="en-US" w:eastAsia="zh-CN"/>
        </w:rPr>
        <w:t>四</w:t>
      </w:r>
      <w:r>
        <w:rPr>
          <w:rFonts w:ascii="Times New Roman" w:hAnsi="Times New Roman" w:eastAsia="黑体" w:cs="Times New Roman"/>
          <w:bCs/>
          <w:color w:val="auto"/>
          <w:kern w:val="44"/>
          <w:sz w:val="21"/>
          <w:szCs w:val="21"/>
          <w:highlight w:val="none"/>
        </w:rPr>
        <w:t xml:space="preserve">  项目档案的收集、整理与归档要求</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承包人应当按照国家和</w:t>
      </w:r>
      <w:r>
        <w:rPr>
          <w:rFonts w:hint="eastAsia" w:ascii="Times New Roman" w:hAnsi="Times New Roman"/>
          <w:color w:val="auto"/>
          <w:sz w:val="21"/>
          <w:szCs w:val="21"/>
          <w:highlight w:val="none"/>
        </w:rPr>
        <w:t>云南能投</w:t>
      </w:r>
      <w:r>
        <w:rPr>
          <w:rFonts w:ascii="Times New Roman" w:hAnsi="Times New Roman"/>
          <w:color w:val="auto"/>
          <w:sz w:val="21"/>
          <w:szCs w:val="21"/>
          <w:highlight w:val="none"/>
        </w:rPr>
        <w:t>集团</w:t>
      </w:r>
      <w:r>
        <w:rPr>
          <w:rFonts w:hint="eastAsia" w:ascii="Times New Roman" w:hAnsi="Times New Roman"/>
          <w:color w:val="auto"/>
          <w:sz w:val="21"/>
          <w:szCs w:val="21"/>
          <w:highlight w:val="none"/>
        </w:rPr>
        <w:t>、绿能集团</w:t>
      </w:r>
      <w:r>
        <w:rPr>
          <w:rFonts w:hint="eastAsia" w:ascii="Times New Roman" w:hAnsi="Times New Roman"/>
          <w:color w:val="auto"/>
          <w:sz w:val="21"/>
          <w:szCs w:val="21"/>
          <w:highlight w:val="none"/>
          <w:lang w:val="en-US" w:eastAsia="zh-CN"/>
        </w:rPr>
        <w:t>及新能源</w:t>
      </w:r>
      <w:r>
        <w:rPr>
          <w:rFonts w:ascii="Times New Roman" w:hAnsi="Times New Roman"/>
          <w:color w:val="auto"/>
          <w:sz w:val="21"/>
          <w:szCs w:val="21"/>
          <w:highlight w:val="none"/>
        </w:rPr>
        <w:t>公司关于档案管理的标准和规范，对本项目实施过程中形成的档案资料进行收集、整理，并于项目完工后三个月内向发包人移交归档；承包人应根据项目工作具体内容，拟定本项目档案资料归档范围，经发包人审定后作为本项目档案收集、整理和归档的依据之一，并作为合同文本的附件之一；承包人应在工程完工后，按照发包人的档案管理办法进行完工资料编制，并办理档案资料移交和提交满足集团数字档案馆要求的数字化副本，费用已含在合同总价中。具体要求如下：</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（1）应当遵循的档案管理制度标准</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1）GB/T 11822 科学技术档案案卷构成的一般要求；</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2）DA/T 28 建设项目档案管理规范；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eastAsia" w:ascii="Times New Roman" w:hAnsi="Times New Roman"/>
          <w:color w:val="auto"/>
          <w:sz w:val="21"/>
          <w:szCs w:val="21"/>
          <w:highlight w:val="none"/>
        </w:rPr>
        <w:t>云南能投</w:t>
      </w:r>
      <w:r>
        <w:rPr>
          <w:rFonts w:ascii="Times New Roman" w:hAnsi="Times New Roman"/>
          <w:color w:val="auto"/>
          <w:sz w:val="21"/>
          <w:szCs w:val="21"/>
          <w:highlight w:val="none"/>
        </w:rPr>
        <w:t>集团</w:t>
      </w:r>
      <w:r>
        <w:rPr>
          <w:rFonts w:hint="eastAsia" w:ascii="Times New Roman" w:hAnsi="Times New Roman"/>
          <w:color w:val="auto"/>
          <w:sz w:val="21"/>
          <w:szCs w:val="21"/>
          <w:highlight w:val="none"/>
        </w:rPr>
        <w:t>、绿能集团</w:t>
      </w:r>
      <w:r>
        <w:rPr>
          <w:rFonts w:ascii="Times New Roman" w:hAnsi="Times New Roman"/>
          <w:color w:val="auto"/>
          <w:sz w:val="21"/>
          <w:szCs w:val="21"/>
          <w:highlight w:val="none"/>
        </w:rPr>
        <w:t>档案管理制度；</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6）QCTG 397—2021《档案分类规范》；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7）QCTG 398—2021《档案编号规范》；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8）QCTG 399—2021《档案著录规范》；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9）GB/T11821 《照片档案管理规范》；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10）GB/T 10609.3 《技术制图复制图的折叠方法》；</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11）DAT31《纸质档案数字化加工规范》；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12）发包人认为本项目应当遵循的其他标准和规范。</w:t>
      </w:r>
    </w:p>
    <w:p>
      <w:pPr>
        <w:pStyle w:val="484"/>
        <w:shd w:val="clear" w:color="auto" w:fill="auto"/>
        <w:spacing w:line="360" w:lineRule="auto"/>
        <w:ind w:firstLine="420"/>
        <w:outlineLvl w:val="9"/>
        <w:rPr>
          <w:rFonts w:ascii="Times New Roman" w:hAnsi="Times New Roman"/>
          <w:color w:val="auto"/>
          <w:sz w:val="21"/>
          <w:szCs w:val="21"/>
          <w:highlight w:val="none"/>
        </w:rPr>
      </w:pPr>
      <w:r>
        <w:rPr>
          <w:rFonts w:ascii="Times New Roman" w:hAnsi="Times New Roman"/>
          <w:color w:val="auto"/>
          <w:sz w:val="21"/>
          <w:szCs w:val="21"/>
          <w:highlight w:val="none"/>
        </w:rPr>
        <w:t>（2）项目档案归档范围</w:t>
      </w:r>
    </w:p>
    <w:p>
      <w:pPr>
        <w:shd w:val="clear" w:color="auto" w:fill="auto"/>
        <w:ind w:firstLine="420"/>
        <w:textAlignment w:val="baseline"/>
        <w:outlineLvl w:val="9"/>
        <w:rPr>
          <w:color w:val="auto"/>
          <w:highlight w:val="none"/>
        </w:rPr>
      </w:pPr>
      <w:r>
        <w:rPr>
          <w:color w:val="auto"/>
          <w:szCs w:val="21"/>
          <w:highlight w:val="none"/>
        </w:rPr>
        <w:t>承包人应当在遵循上述档案管理制度标准基础上，根据项目工作具体内容，拟定本项目档案资料归档范围，经发包人审定后作为本项目档案收集、整理和归档的依据之一，并作为合同文本的附件之一。</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r>
        <w:rPr>
          <w:rFonts w:hint="eastAsia"/>
          <w:color w:val="auto"/>
          <w:highlight w:val="none"/>
        </w:rPr>
        <w:br w:type="page"/>
      </w:r>
    </w:p>
    <w:p>
      <w:pPr>
        <w:rPr>
          <w:rFonts w:hint="eastAsia"/>
          <w:color w:val="auto"/>
          <w:highlight w:val="none"/>
        </w:rPr>
      </w:pPr>
    </w:p>
    <w:p>
      <w:pPr>
        <w:pStyle w:val="2"/>
        <w:bidi w:val="0"/>
        <w:rPr>
          <w:color w:val="auto"/>
          <w:highlight w:val="none"/>
        </w:rPr>
        <w:sectPr>
          <w:pgSz w:w="11906" w:h="16838"/>
          <w:pgMar w:top="1440" w:right="1800" w:bottom="1440" w:left="1800" w:header="720" w:footer="567" w:gutter="0"/>
          <w:cols w:space="720" w:num="1"/>
          <w:titlePg/>
          <w:docGrid w:type="lines" w:linePitch="331" w:charSpace="0"/>
        </w:sectPr>
      </w:pPr>
      <w:bookmarkStart w:id="540" w:name="_Toc24303"/>
      <w:bookmarkStart w:id="541" w:name="_Toc4821"/>
      <w:r>
        <w:rPr>
          <w:rFonts w:hint="eastAsia"/>
          <w:color w:val="auto"/>
          <w:highlight w:val="none"/>
        </w:rPr>
        <w:t xml:space="preserve">第四章 </w:t>
      </w:r>
      <w:r>
        <w:rPr>
          <w:color w:val="auto"/>
          <w:highlight w:val="none"/>
        </w:rPr>
        <w:t>响应文件格式</w:t>
      </w:r>
      <w:bookmarkEnd w:id="361"/>
      <w:bookmarkEnd w:id="364"/>
      <w:bookmarkEnd w:id="540"/>
      <w:bookmarkEnd w:id="541"/>
    </w:p>
    <w:p>
      <w:pPr>
        <w:rPr>
          <w:color w:val="auto"/>
          <w:highlight w:val="none"/>
        </w:rPr>
      </w:pPr>
    </w:p>
    <w:p>
      <w:pPr>
        <w:spacing w:line="360" w:lineRule="auto"/>
        <w:jc w:val="center"/>
        <w:rPr>
          <w:rFonts w:hint="eastAsia" w:asciiTheme="minorEastAsia" w:hAnsiTheme="minorEastAsia" w:eastAsiaTheme="minorEastAsia"/>
          <w:color w:val="auto"/>
          <w:kern w:val="0"/>
          <w:sz w:val="40"/>
          <w:szCs w:val="40"/>
          <w:highlight w:val="none"/>
          <w:lang w:eastAsia="zh-CN"/>
        </w:rPr>
      </w:pPr>
    </w:p>
    <w:p>
      <w:pPr>
        <w:spacing w:line="360" w:lineRule="auto"/>
        <w:jc w:val="center"/>
        <w:rPr>
          <w:rFonts w:hint="eastAsia" w:asciiTheme="minorEastAsia" w:hAnsiTheme="minorEastAsia" w:eastAsiaTheme="minorEastAsia"/>
          <w:color w:val="auto"/>
          <w:kern w:val="0"/>
          <w:sz w:val="40"/>
          <w:szCs w:val="40"/>
          <w:highlight w:val="none"/>
          <w:lang w:eastAsia="zh-CN"/>
        </w:rPr>
      </w:pPr>
      <w:r>
        <w:rPr>
          <w:rFonts w:hint="eastAsia" w:asciiTheme="minorEastAsia" w:hAnsiTheme="minorEastAsia" w:eastAsiaTheme="minorEastAsia"/>
          <w:color w:val="auto"/>
          <w:kern w:val="0"/>
          <w:sz w:val="40"/>
          <w:szCs w:val="40"/>
          <w:highlight w:val="none"/>
          <w:lang w:eastAsia="zh-CN"/>
        </w:rPr>
        <w:t>个旧云能投绿色能源开发有限公司</w:t>
      </w:r>
    </w:p>
    <w:p>
      <w:pPr>
        <w:spacing w:line="360" w:lineRule="auto"/>
        <w:jc w:val="center"/>
        <w:rPr>
          <w:rFonts w:hint="eastAsia" w:asciiTheme="minorEastAsia" w:hAnsiTheme="minorEastAsia" w:eastAsiaTheme="minorEastAsia"/>
          <w:color w:val="auto"/>
          <w:kern w:val="0"/>
          <w:sz w:val="40"/>
          <w:szCs w:val="40"/>
          <w:highlight w:val="none"/>
        </w:rPr>
      </w:pPr>
      <w:r>
        <w:rPr>
          <w:rFonts w:hint="eastAsia" w:asciiTheme="minorEastAsia" w:hAnsiTheme="minorEastAsia" w:eastAsiaTheme="minorEastAsia"/>
          <w:color w:val="auto"/>
          <w:kern w:val="0"/>
          <w:sz w:val="40"/>
          <w:szCs w:val="40"/>
          <w:highlight w:val="none"/>
        </w:rPr>
        <w:t>背阴山尾矿库分布式光伏发电项目送出线路</w:t>
      </w:r>
    </w:p>
    <w:p>
      <w:pPr>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40"/>
          <w:szCs w:val="40"/>
          <w:highlight w:val="none"/>
          <w:lang w:eastAsia="zh-CN"/>
        </w:rPr>
        <w:t>总承包</w:t>
      </w:r>
      <w:r>
        <w:rPr>
          <w:rFonts w:hint="eastAsia" w:asciiTheme="minorEastAsia" w:hAnsiTheme="minorEastAsia" w:eastAsiaTheme="minorEastAsia"/>
          <w:color w:val="auto"/>
          <w:kern w:val="0"/>
          <w:sz w:val="40"/>
          <w:szCs w:val="40"/>
          <w:highlight w:val="none"/>
        </w:rPr>
        <w:t>工程</w:t>
      </w: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autoSpaceDE w:val="0"/>
        <w:autoSpaceDN w:val="0"/>
        <w:adjustRightInd w:val="0"/>
        <w:spacing w:line="360" w:lineRule="auto"/>
        <w:jc w:val="center"/>
        <w:rPr>
          <w:rFonts w:asciiTheme="minorEastAsia" w:hAnsiTheme="minorEastAsia" w:eastAsiaTheme="minorEastAsia"/>
          <w:b/>
          <w:color w:val="auto"/>
          <w:kern w:val="0"/>
          <w:sz w:val="84"/>
          <w:szCs w:val="84"/>
          <w:highlight w:val="none"/>
        </w:rPr>
      </w:pPr>
      <w:r>
        <w:rPr>
          <w:rFonts w:hint="eastAsia" w:asciiTheme="minorEastAsia" w:hAnsiTheme="minorEastAsia" w:eastAsiaTheme="minorEastAsia"/>
          <w:b/>
          <w:color w:val="auto"/>
          <w:kern w:val="0"/>
          <w:sz w:val="84"/>
          <w:szCs w:val="84"/>
          <w:highlight w:val="none"/>
        </w:rPr>
        <w:t>响应文件</w:t>
      </w:r>
    </w:p>
    <w:p>
      <w:pPr>
        <w:autoSpaceDE w:val="0"/>
        <w:autoSpaceDN w:val="0"/>
        <w:adjustRightInd w:val="0"/>
        <w:spacing w:line="360" w:lineRule="auto"/>
        <w:ind w:firstLine="3058" w:firstLineChars="1088"/>
        <w:jc w:val="left"/>
        <w:rPr>
          <w:rFonts w:asciiTheme="minorEastAsia" w:hAnsiTheme="minorEastAsia" w:eastAsiaTheme="minorEastAsia"/>
          <w:b/>
          <w:color w:val="auto"/>
          <w:kern w:val="0"/>
          <w:sz w:val="28"/>
          <w:szCs w:val="28"/>
          <w:highlight w:val="none"/>
        </w:rPr>
      </w:pPr>
    </w:p>
    <w:p>
      <w:pPr>
        <w:autoSpaceDE w:val="0"/>
        <w:autoSpaceDN w:val="0"/>
        <w:adjustRightInd w:val="0"/>
        <w:spacing w:line="360" w:lineRule="auto"/>
        <w:ind w:firstLine="2249" w:firstLineChars="800"/>
        <w:jc w:val="left"/>
        <w:rPr>
          <w:rFonts w:hint="default" w:asciiTheme="minorEastAsia" w:hAnsiTheme="minorEastAsia" w:eastAsiaTheme="minorEastAsia"/>
          <w:b/>
          <w:color w:val="auto"/>
          <w:kern w:val="0"/>
          <w:sz w:val="28"/>
          <w:szCs w:val="28"/>
          <w:highlight w:val="none"/>
          <w:u w:val="single"/>
          <w:lang w:val="en-US" w:eastAsia="zh-CN"/>
        </w:rPr>
      </w:pPr>
      <w:r>
        <w:rPr>
          <w:rFonts w:asciiTheme="minorEastAsia" w:hAnsiTheme="minorEastAsia" w:eastAsiaTheme="minorEastAsia"/>
          <w:b/>
          <w:color w:val="auto"/>
          <w:kern w:val="0"/>
          <w:sz w:val="28"/>
          <w:szCs w:val="28"/>
          <w:highlight w:val="none"/>
        </w:rPr>
        <w:t>项目编号：</w:t>
      </w:r>
      <w:r>
        <w:rPr>
          <w:rFonts w:hint="eastAsia" w:asciiTheme="minorEastAsia" w:hAnsiTheme="minorEastAsia" w:eastAsiaTheme="minorEastAsia"/>
          <w:b/>
          <w:color w:val="auto"/>
          <w:kern w:val="0"/>
          <w:sz w:val="28"/>
          <w:szCs w:val="28"/>
          <w:highlight w:val="none"/>
          <w:lang w:val="en-US" w:eastAsia="zh-CN"/>
        </w:rPr>
        <w:t>GJYNT-GC-202501</w:t>
      </w: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spacing w:line="360" w:lineRule="auto"/>
        <w:jc w:val="center"/>
        <w:rPr>
          <w:rFonts w:asciiTheme="minorEastAsia" w:hAnsiTheme="minorEastAsia" w:eastAsiaTheme="minorEastAsia"/>
          <w:color w:val="auto"/>
          <w:sz w:val="24"/>
          <w:highlight w:val="none"/>
        </w:rPr>
      </w:pPr>
    </w:p>
    <w:p>
      <w:pPr>
        <w:rPr>
          <w:rFonts w:asciiTheme="minorEastAsia" w:hAnsiTheme="minorEastAsia" w:eastAsiaTheme="minorEastAsia"/>
          <w:color w:val="auto"/>
          <w:sz w:val="28"/>
          <w:szCs w:val="32"/>
          <w:highlight w:val="none"/>
          <w:u w:val="single"/>
        </w:rPr>
      </w:pPr>
      <w:r>
        <w:rPr>
          <w:rFonts w:hint="eastAsia" w:asciiTheme="minorEastAsia" w:hAnsiTheme="minorEastAsia" w:eastAsiaTheme="minorEastAsia"/>
          <w:color w:val="auto"/>
          <w:sz w:val="28"/>
          <w:szCs w:val="32"/>
          <w:highlight w:val="none"/>
        </w:rPr>
        <w:t>谈判申请人：</w:t>
      </w:r>
      <w:r>
        <w:rPr>
          <w:rFonts w:hint="eastAsia" w:asciiTheme="minorEastAsia" w:hAnsiTheme="minorEastAsia" w:eastAsiaTheme="minorEastAsia"/>
          <w:color w:val="auto"/>
          <w:sz w:val="28"/>
          <w:szCs w:val="32"/>
          <w:highlight w:val="none"/>
          <w:u w:val="single"/>
        </w:rPr>
        <w:t xml:space="preserve">                     </w:t>
      </w:r>
      <w:r>
        <w:rPr>
          <w:rFonts w:hint="eastAsia" w:asciiTheme="minorEastAsia" w:hAnsiTheme="minorEastAsia" w:eastAsiaTheme="minorEastAsia"/>
          <w:color w:val="auto"/>
          <w:sz w:val="28"/>
          <w:szCs w:val="32"/>
          <w:highlight w:val="none"/>
        </w:rPr>
        <w:t>（盖单位章）</w:t>
      </w:r>
    </w:p>
    <w:p>
      <w:pPr>
        <w:jc w:val="left"/>
        <w:rPr>
          <w:rFonts w:asciiTheme="minorEastAsia" w:hAnsiTheme="minorEastAsia" w:eastAsiaTheme="minorEastAsia"/>
          <w:color w:val="auto"/>
          <w:sz w:val="28"/>
          <w:szCs w:val="32"/>
          <w:highlight w:val="none"/>
        </w:rPr>
      </w:pPr>
      <w:r>
        <w:rPr>
          <w:rFonts w:hint="eastAsia" w:asciiTheme="minorEastAsia" w:hAnsiTheme="minorEastAsia" w:eastAsiaTheme="minorEastAsia"/>
          <w:color w:val="auto"/>
          <w:sz w:val="28"/>
          <w:szCs w:val="32"/>
          <w:highlight w:val="none"/>
        </w:rPr>
        <w:t>法定代表人或其委托代理人：</w:t>
      </w:r>
      <w:r>
        <w:rPr>
          <w:rFonts w:hint="eastAsia" w:asciiTheme="minorEastAsia" w:hAnsiTheme="minorEastAsia" w:eastAsiaTheme="minorEastAsia"/>
          <w:color w:val="auto"/>
          <w:sz w:val="28"/>
          <w:szCs w:val="32"/>
          <w:highlight w:val="none"/>
          <w:u w:val="single"/>
        </w:rPr>
        <w:t xml:space="preserve">                </w:t>
      </w:r>
      <w:r>
        <w:rPr>
          <w:rFonts w:hint="eastAsia" w:asciiTheme="minorEastAsia" w:hAnsiTheme="minorEastAsia" w:eastAsiaTheme="minorEastAsia"/>
          <w:color w:val="auto"/>
          <w:sz w:val="28"/>
          <w:szCs w:val="32"/>
          <w:highlight w:val="none"/>
        </w:rPr>
        <w:t>（签字或盖章）</w:t>
      </w:r>
    </w:p>
    <w:p>
      <w:pPr>
        <w:rPr>
          <w:rFonts w:asciiTheme="minorEastAsia" w:hAnsiTheme="minorEastAsia" w:eastAsiaTheme="minorEastAsia"/>
          <w:color w:val="auto"/>
          <w:sz w:val="28"/>
          <w:szCs w:val="32"/>
          <w:highlight w:val="none"/>
        </w:rPr>
      </w:pPr>
      <w:r>
        <w:rPr>
          <w:rFonts w:hint="eastAsia" w:asciiTheme="minorEastAsia" w:hAnsiTheme="minorEastAsia" w:eastAsiaTheme="minorEastAsia"/>
          <w:color w:val="auto"/>
          <w:sz w:val="28"/>
          <w:szCs w:val="32"/>
          <w:highlight w:val="none"/>
        </w:rPr>
        <w:t>日期：   年    月    日</w:t>
      </w:r>
    </w:p>
    <w:p>
      <w:pPr>
        <w:keepNext/>
        <w:keepLines/>
        <w:spacing w:after="120" w:line="360" w:lineRule="auto"/>
        <w:jc w:val="center"/>
        <w:outlineLvl w:val="1"/>
        <w:rPr>
          <w:rFonts w:asciiTheme="minorEastAsia" w:hAnsiTheme="minorEastAsia" w:eastAsiaTheme="minorEastAsia"/>
          <w:b/>
          <w:color w:val="auto"/>
          <w:sz w:val="32"/>
          <w:szCs w:val="32"/>
          <w:highlight w:val="none"/>
        </w:rPr>
      </w:pPr>
      <w:r>
        <w:rPr>
          <w:rFonts w:asciiTheme="minorEastAsia" w:hAnsiTheme="minorEastAsia" w:eastAsiaTheme="minorEastAsia"/>
          <w:b/>
          <w:bCs/>
          <w:color w:val="auto"/>
          <w:sz w:val="24"/>
          <w:szCs w:val="32"/>
          <w:highlight w:val="none"/>
        </w:rPr>
        <w:br w:type="page"/>
      </w:r>
      <w:bookmarkStart w:id="542" w:name="_Toc385344473"/>
      <w:bookmarkStart w:id="543" w:name="_Toc107864034"/>
      <w:bookmarkStart w:id="544" w:name="_Toc130562770"/>
      <w:bookmarkStart w:id="545" w:name="_Toc519163236"/>
      <w:bookmarkStart w:id="546" w:name="_Toc490599266"/>
      <w:bookmarkStart w:id="547" w:name="_Toc139987944"/>
      <w:bookmarkStart w:id="548" w:name="_Toc16358"/>
      <w:bookmarkStart w:id="549" w:name="_Toc130564913"/>
      <w:bookmarkStart w:id="550" w:name="_Toc130564346"/>
      <w:r>
        <w:rPr>
          <w:rFonts w:hint="eastAsia" w:asciiTheme="minorEastAsia" w:hAnsiTheme="minorEastAsia" w:eastAsiaTheme="minorEastAsia"/>
          <w:b/>
          <w:bCs/>
          <w:color w:val="auto"/>
          <w:sz w:val="28"/>
          <w:szCs w:val="32"/>
          <w:highlight w:val="none"/>
        </w:rPr>
        <w:t>响应文件</w:t>
      </w:r>
      <w:r>
        <w:rPr>
          <w:rFonts w:asciiTheme="minorEastAsia" w:hAnsiTheme="minorEastAsia" w:eastAsiaTheme="minorEastAsia"/>
          <w:b/>
          <w:bCs/>
          <w:color w:val="auto"/>
          <w:sz w:val="28"/>
          <w:szCs w:val="32"/>
          <w:highlight w:val="none"/>
        </w:rPr>
        <w:t>目录</w:t>
      </w:r>
      <w:bookmarkEnd w:id="542"/>
      <w:bookmarkEnd w:id="543"/>
      <w:bookmarkEnd w:id="544"/>
      <w:bookmarkEnd w:id="545"/>
      <w:bookmarkEnd w:id="546"/>
      <w:bookmarkEnd w:id="547"/>
      <w:bookmarkEnd w:id="548"/>
      <w:bookmarkEnd w:id="549"/>
      <w:bookmarkEnd w:id="550"/>
    </w:p>
    <w:p>
      <w:pPr>
        <w:spacing w:line="360" w:lineRule="auto"/>
        <w:ind w:firstLine="480" w:firstLineChars="200"/>
        <w:rPr>
          <w:rFonts w:asciiTheme="minorEastAsia" w:hAnsiTheme="minorEastAsia" w:eastAsiaTheme="minorEastAsia"/>
          <w:b/>
          <w:color w:val="auto"/>
          <w:sz w:val="28"/>
          <w:szCs w:val="28"/>
          <w:highlight w:val="none"/>
        </w:rPr>
      </w:pPr>
      <w:r>
        <w:rPr>
          <w:rFonts w:hint="eastAsia" w:asciiTheme="minorEastAsia" w:hAnsiTheme="minorEastAsia" w:eastAsiaTheme="minorEastAsia"/>
          <w:color w:val="auto"/>
          <w:sz w:val="24"/>
          <w:highlight w:val="none"/>
        </w:rPr>
        <w:t>注：报价响应文件内容须按照以下格式要求进行目录编制，按顺序进行装订，并每页连续标注页码。</w:t>
      </w:r>
    </w:p>
    <w:p>
      <w:pPr>
        <w:spacing w:line="360" w:lineRule="auto"/>
        <w:ind w:firstLine="281" w:firstLineChars="100"/>
        <w:rPr>
          <w:rFonts w:asciiTheme="minorEastAsia" w:hAnsiTheme="minorEastAsia" w:eastAsiaTheme="minorEastAsia"/>
          <w:b/>
          <w:color w:val="auto"/>
          <w:sz w:val="28"/>
          <w:szCs w:val="28"/>
          <w:highlight w:val="none"/>
        </w:rPr>
      </w:pPr>
    </w:p>
    <w:p>
      <w:pPr>
        <w:widowControl/>
        <w:jc w:val="left"/>
        <w:rPr>
          <w:rFonts w:asciiTheme="minorEastAsia" w:hAnsiTheme="minorEastAsia" w:eastAsiaTheme="minorEastAsia"/>
          <w:b/>
          <w:color w:val="auto"/>
          <w:sz w:val="28"/>
          <w:szCs w:val="28"/>
          <w:highlight w:val="none"/>
        </w:rPr>
      </w:pPr>
      <w:bookmarkStart w:id="551" w:name="_Toc519163237"/>
      <w:bookmarkStart w:id="552" w:name="_Toc107864035"/>
      <w:r>
        <w:rPr>
          <w:rFonts w:asciiTheme="minorEastAsia" w:hAnsiTheme="minorEastAsia" w:eastAsiaTheme="minorEastAsia"/>
          <w:b/>
          <w:color w:val="auto"/>
          <w:sz w:val="28"/>
          <w:szCs w:val="28"/>
          <w:highlight w:val="none"/>
        </w:rPr>
        <w:br w:type="page"/>
      </w:r>
    </w:p>
    <w:p>
      <w:pPr>
        <w:pStyle w:val="4"/>
        <w:ind w:firstLine="643"/>
        <w:rPr>
          <w:color w:val="auto"/>
          <w:highlight w:val="none"/>
        </w:rPr>
      </w:pPr>
      <w:bookmarkStart w:id="553" w:name="_Toc55303755"/>
      <w:bookmarkStart w:id="554" w:name="_Toc1509"/>
      <w:bookmarkStart w:id="555" w:name="_Toc55229800"/>
      <w:bookmarkStart w:id="556" w:name="_Toc440110294"/>
      <w:bookmarkStart w:id="557" w:name="_Toc55310068"/>
      <w:bookmarkStart w:id="558" w:name="_Toc2194"/>
      <w:bookmarkStart w:id="559" w:name="_Toc28542"/>
      <w:bookmarkStart w:id="560" w:name="_Toc23338"/>
      <w:bookmarkStart w:id="561" w:name="_Toc130564347"/>
      <w:bookmarkStart w:id="562" w:name="_Toc139987945"/>
      <w:bookmarkStart w:id="563" w:name="_Toc130564914"/>
      <w:bookmarkStart w:id="564" w:name="_Toc130562771"/>
      <w:r>
        <w:rPr>
          <w:rFonts w:hint="eastAsia"/>
          <w:color w:val="auto"/>
          <w:highlight w:val="none"/>
        </w:rPr>
        <w:t>一、商务部分</w:t>
      </w:r>
      <w:bookmarkEnd w:id="553"/>
      <w:bookmarkEnd w:id="554"/>
      <w:bookmarkEnd w:id="555"/>
      <w:bookmarkEnd w:id="556"/>
      <w:bookmarkEnd w:id="557"/>
      <w:bookmarkEnd w:id="558"/>
      <w:bookmarkEnd w:id="559"/>
      <w:bookmarkEnd w:id="560"/>
    </w:p>
    <w:p>
      <w:pPr>
        <w:pStyle w:val="4"/>
        <w:ind w:firstLine="643"/>
        <w:rPr>
          <w:color w:val="auto"/>
          <w:highlight w:val="none"/>
        </w:rPr>
      </w:pPr>
      <w:bookmarkStart w:id="565" w:name="_Toc439554165"/>
      <w:bookmarkStart w:id="566" w:name="_Toc435803790"/>
      <w:bookmarkStart w:id="567" w:name="_Toc440110295"/>
      <w:bookmarkStart w:id="568" w:name="_Toc5802"/>
      <w:bookmarkStart w:id="569" w:name="_Toc55303756"/>
      <w:bookmarkStart w:id="570" w:name="_Toc19689"/>
      <w:bookmarkStart w:id="571" w:name="_Toc55310069"/>
      <w:bookmarkStart w:id="572" w:name="_Toc29442"/>
      <w:bookmarkStart w:id="573" w:name="_Toc30596"/>
      <w:r>
        <w:rPr>
          <w:rFonts w:hint="eastAsia"/>
          <w:color w:val="auto"/>
          <w:highlight w:val="none"/>
        </w:rPr>
        <w:t>（一）</w:t>
      </w:r>
      <w:bookmarkEnd w:id="565"/>
      <w:bookmarkEnd w:id="566"/>
      <w:r>
        <w:rPr>
          <w:rFonts w:hint="eastAsia"/>
          <w:color w:val="auto"/>
          <w:highlight w:val="none"/>
        </w:rPr>
        <w:t>报价一览表</w:t>
      </w:r>
      <w:bookmarkEnd w:id="567"/>
      <w:bookmarkEnd w:id="568"/>
      <w:bookmarkEnd w:id="569"/>
      <w:bookmarkEnd w:id="570"/>
      <w:bookmarkEnd w:id="571"/>
      <w:bookmarkEnd w:id="572"/>
      <w:bookmarkEnd w:id="573"/>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Times New Roman"/>
          <w:color w:val="auto"/>
          <w:sz w:val="24"/>
          <w:szCs w:val="24"/>
          <w:highlight w:val="none"/>
          <w:u w:val="single"/>
          <w:lang w:val="zh-CN" w:eastAsia="zh-CN"/>
        </w:rPr>
      </w:pPr>
      <w:r>
        <w:rPr>
          <w:rFonts w:ascii="宋体" w:hAnsi="宋体"/>
          <w:color w:val="auto"/>
          <w:kern w:val="0"/>
          <w:sz w:val="24"/>
          <w:highlight w:val="none"/>
        </w:rPr>
        <w:t>项目名称</w:t>
      </w:r>
      <w:r>
        <w:rPr>
          <w:rFonts w:hint="eastAsia" w:ascii="宋体" w:hAnsi="宋体"/>
          <w:color w:val="auto"/>
          <w:kern w:val="0"/>
          <w:sz w:val="24"/>
          <w:highlight w:val="none"/>
        </w:rPr>
        <w:t>：</w:t>
      </w:r>
      <w:r>
        <w:rPr>
          <w:rFonts w:hint="eastAsia" w:ascii="宋体" w:hAnsi="宋体"/>
          <w:color w:val="auto"/>
          <w:kern w:val="0"/>
          <w:sz w:val="24"/>
          <w:highlight w:val="none"/>
          <w:u w:val="single"/>
        </w:rPr>
        <w:t>背阴山尾矿库分布式光伏发电项目送出</w:t>
      </w:r>
      <w:r>
        <w:rPr>
          <w:rFonts w:hint="eastAsia" w:ascii="宋体" w:hAnsi="宋体"/>
          <w:color w:val="auto"/>
          <w:kern w:val="0"/>
          <w:sz w:val="24"/>
          <w:highlight w:val="none"/>
          <w:u w:val="single"/>
          <w:lang w:eastAsia="zh-CN"/>
        </w:rPr>
        <w:t>线路设计施工总承包工程</w:t>
      </w:r>
    </w:p>
    <w:p>
      <w:pPr>
        <w:pStyle w:val="54"/>
        <w:spacing w:line="360" w:lineRule="auto"/>
        <w:ind w:firstLine="0" w:firstLineChars="0"/>
        <w:jc w:val="center"/>
        <w:rPr>
          <w:rFonts w:hint="eastAsia"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投标报价汇总表</w:t>
      </w:r>
    </w:p>
    <w:tbl>
      <w:tblPr>
        <w:tblStyle w:val="67"/>
        <w:tblW w:w="8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842"/>
        <w:gridCol w:w="425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序号</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内 容</w:t>
            </w: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hint="eastAsia" w:ascii="宋体" w:eastAsia="宋体"/>
                <w:color w:val="auto"/>
                <w:highlight w:val="none"/>
                <w:lang w:eastAsia="zh-CN"/>
              </w:rPr>
            </w:pPr>
            <w:r>
              <w:rPr>
                <w:rFonts w:hint="eastAsia" w:ascii="宋体" w:eastAsia="宋体"/>
                <w:color w:val="auto"/>
                <w:highlight w:val="none"/>
              </w:rPr>
              <w:t>报价及承诺</w:t>
            </w:r>
            <w:r>
              <w:rPr>
                <w:rFonts w:hint="eastAsia" w:ascii="宋体"/>
                <w:color w:val="auto"/>
                <w:highlight w:val="none"/>
                <w:lang w:eastAsia="zh-CN"/>
              </w:rPr>
              <w:t>（</w:t>
            </w:r>
            <w:r>
              <w:rPr>
                <w:rFonts w:hint="eastAsia" w:ascii="宋体" w:eastAsia="宋体"/>
                <w:color w:val="auto"/>
                <w:highlight w:val="none"/>
              </w:rPr>
              <w:t>含税</w:t>
            </w:r>
            <w:r>
              <w:rPr>
                <w:rFonts w:hint="eastAsia" w:ascii="宋体"/>
                <w:color w:val="auto"/>
                <w:highlight w:val="none"/>
                <w:lang w:eastAsia="zh-CN"/>
              </w:rPr>
              <w:t>）</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restart"/>
            <w:tcBorders>
              <w:top w:val="single" w:color="auto" w:sz="4" w:space="0"/>
              <w:left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1</w:t>
            </w:r>
          </w:p>
        </w:tc>
        <w:tc>
          <w:tcPr>
            <w:tcW w:w="1842" w:type="dxa"/>
            <w:vMerge w:val="restart"/>
            <w:tcBorders>
              <w:top w:val="single" w:color="auto" w:sz="4" w:space="0"/>
              <w:left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谈判报价</w:t>
            </w: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left"/>
              <w:rPr>
                <w:rFonts w:hint="default" w:ascii="宋体" w:eastAsia="宋体"/>
                <w:color w:val="auto"/>
                <w:highlight w:val="none"/>
                <w:lang w:val="en-US" w:eastAsia="zh-CN"/>
              </w:rPr>
            </w:pPr>
            <w:r>
              <w:rPr>
                <w:rFonts w:hint="eastAsia" w:ascii="宋体" w:eastAsia="宋体"/>
                <w:color w:val="auto"/>
                <w:highlight w:val="none"/>
                <w:lang w:val="en-US" w:eastAsia="zh-CN"/>
              </w:rPr>
              <w:t xml:space="preserve">报价：              </w:t>
            </w:r>
            <w:r>
              <w:rPr>
                <w:rFonts w:hint="eastAsia" w:ascii="宋体"/>
                <w:color w:val="auto"/>
                <w:highlight w:val="none"/>
                <w:lang w:val="en-US" w:eastAsia="zh-CN"/>
              </w:rPr>
              <w:t xml:space="preserve">     </w:t>
            </w:r>
            <w:r>
              <w:rPr>
                <w:rFonts w:hint="eastAsia" w:ascii="宋体" w:eastAsia="宋体"/>
                <w:color w:val="auto"/>
                <w:highlight w:val="none"/>
              </w:rPr>
              <w:t>万元</w:t>
            </w:r>
            <w:r>
              <w:rPr>
                <w:rFonts w:hint="eastAsia" w:ascii="宋体"/>
                <w:color w:val="auto"/>
                <w:highlight w:val="none"/>
                <w:lang w:eastAsia="zh-CN"/>
              </w:rPr>
              <w:t>；</w:t>
            </w:r>
          </w:p>
        </w:tc>
        <w:tc>
          <w:tcPr>
            <w:tcW w:w="1897" w:type="dxa"/>
            <w:tcBorders>
              <w:top w:val="single" w:color="auto" w:sz="4" w:space="0"/>
              <w:left w:val="single" w:color="auto" w:sz="4" w:space="0"/>
              <w:right w:val="single" w:color="auto" w:sz="4" w:space="0"/>
            </w:tcBorders>
            <w:noWrap w:val="0"/>
            <w:vAlign w:val="center"/>
          </w:tcPr>
          <w:p>
            <w:pPr>
              <w:spacing w:line="276" w:lineRule="auto"/>
              <w:ind w:firstLine="105" w:firstLineChars="50"/>
              <w:jc w:val="center"/>
              <w:rPr>
                <w:rFonts w:hint="default" w:ascii="宋体" w:eastAsia="宋体"/>
                <w:color w:val="auto"/>
                <w:highlight w:val="none"/>
                <w:lang w:val="en-US" w:eastAsia="zh-CN"/>
              </w:rPr>
            </w:pPr>
            <w:r>
              <w:rPr>
                <w:rFonts w:hint="eastAsia" w:ascii="宋体" w:eastAsia="宋体"/>
                <w:color w:val="auto"/>
                <w:highlight w:val="none"/>
                <w:lang w:val="en-US" w:eastAsia="zh-CN"/>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continue"/>
            <w:tcBorders>
              <w:left w:val="single" w:color="auto" w:sz="4" w:space="0"/>
              <w:right w:val="single" w:color="auto" w:sz="4" w:space="0"/>
            </w:tcBorders>
            <w:noWrap w:val="0"/>
            <w:vAlign w:val="center"/>
          </w:tcPr>
          <w:p>
            <w:pPr>
              <w:spacing w:line="276" w:lineRule="auto"/>
              <w:ind w:firstLine="105" w:firstLineChars="50"/>
              <w:jc w:val="left"/>
              <w:rPr>
                <w:color w:val="auto"/>
                <w:highlight w:val="none"/>
              </w:rPr>
            </w:pPr>
          </w:p>
        </w:tc>
        <w:tc>
          <w:tcPr>
            <w:tcW w:w="1842" w:type="dxa"/>
            <w:vMerge w:val="continue"/>
            <w:tcBorders>
              <w:left w:val="single" w:color="auto" w:sz="4" w:space="0"/>
              <w:right w:val="single" w:color="auto" w:sz="4" w:space="0"/>
            </w:tcBorders>
            <w:noWrap w:val="0"/>
            <w:vAlign w:val="center"/>
          </w:tcPr>
          <w:p>
            <w:pPr>
              <w:spacing w:line="276" w:lineRule="auto"/>
              <w:ind w:firstLine="105" w:firstLineChars="50"/>
              <w:jc w:val="left"/>
              <w:rPr>
                <w:color w:val="auto"/>
                <w:highlight w:val="none"/>
              </w:rPr>
            </w:pP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eastAsia" w:ascii="宋体" w:eastAsia="宋体"/>
                <w:color w:val="auto"/>
                <w:highlight w:val="none"/>
                <w:lang w:val="en-US" w:eastAsia="zh-CN"/>
              </w:rPr>
            </w:pPr>
            <w:r>
              <w:rPr>
                <w:rFonts w:hint="eastAsia" w:ascii="宋体"/>
                <w:color w:val="auto"/>
                <w:highlight w:val="none"/>
                <w:lang w:val="en-US" w:eastAsia="zh-CN"/>
              </w:rPr>
              <w:t>其中：勘察设计费              万元；</w:t>
            </w:r>
          </w:p>
        </w:tc>
        <w:tc>
          <w:tcPr>
            <w:tcW w:w="1897" w:type="dxa"/>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continue"/>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c>
          <w:tcPr>
            <w:tcW w:w="1842" w:type="dxa"/>
            <w:vMerge w:val="continue"/>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eastAsia" w:ascii="宋体" w:eastAsia="宋体"/>
                <w:color w:val="auto"/>
                <w:highlight w:val="none"/>
                <w:lang w:val="en-US" w:eastAsia="zh-CN"/>
              </w:rPr>
            </w:pPr>
            <w:r>
              <w:rPr>
                <w:rFonts w:hint="eastAsia" w:ascii="宋体"/>
                <w:color w:val="auto"/>
                <w:highlight w:val="none"/>
                <w:lang w:val="en-US" w:eastAsia="zh-CN"/>
              </w:rPr>
              <w:t>建筑及安装工程费          万元；</w:t>
            </w:r>
          </w:p>
        </w:tc>
        <w:tc>
          <w:tcPr>
            <w:tcW w:w="1897" w:type="dxa"/>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2</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hint="eastAsia"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服务期承诺</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c>
          <w:tcPr>
            <w:tcW w:w="18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3</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hint="eastAsia"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质量承诺</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c>
          <w:tcPr>
            <w:tcW w:w="18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r>
    </w:tbl>
    <w:p>
      <w:pPr>
        <w:pStyle w:val="37"/>
        <w:spacing w:line="320" w:lineRule="exact"/>
        <w:rPr>
          <w:rFonts w:hAnsi="宋体"/>
          <w:color w:val="auto"/>
          <w:highlight w:val="none"/>
        </w:rPr>
      </w:pPr>
    </w:p>
    <w:p>
      <w:pPr>
        <w:shd w:val="clear"/>
        <w:spacing w:line="400" w:lineRule="exact"/>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注：</w:t>
      </w:r>
      <w:r>
        <w:rPr>
          <w:rFonts w:hint="default" w:ascii="Times New Roman" w:hAnsi="Times New Roman" w:cs="Times New Roman"/>
          <w:color w:val="auto"/>
          <w:highlight w:val="none"/>
          <w:lang w:eastAsia="zh-CN"/>
        </w:rPr>
        <w:t>合同执行过程中，如发生国家财税政策调整，本合同不含税价不因增值税税率变化而调整，增值税税额将随适用的增值税税率调整而同步调整，合同含税总价相应调整。若投标人为联合体投标的，由联合体牵头人出具。</w:t>
      </w:r>
    </w:p>
    <w:p>
      <w:pPr>
        <w:pStyle w:val="54"/>
        <w:spacing w:line="360" w:lineRule="auto"/>
        <w:ind w:firstLine="0" w:firstLineChars="0"/>
        <w:jc w:val="center"/>
        <w:rPr>
          <w:rFonts w:hint="default" w:ascii="Times New Roman" w:hAnsi="Times New Roman" w:cs="Times New Roman"/>
          <w:color w:val="auto"/>
          <w:szCs w:val="24"/>
          <w:highlight w:val="none"/>
          <w:lang w:val="en-US" w:eastAsia="zh-CN"/>
        </w:rPr>
      </w:pPr>
    </w:p>
    <w:p>
      <w:pPr>
        <w:pStyle w:val="54"/>
        <w:spacing w:line="360" w:lineRule="auto"/>
        <w:ind w:firstLine="360" w:firstLineChars="150"/>
        <w:rPr>
          <w:rFonts w:hint="eastAsia" w:ascii="宋体" w:hAnsi="宋体" w:cs="宋体"/>
          <w:color w:val="auto"/>
          <w:szCs w:val="28"/>
          <w:highlight w:val="none"/>
        </w:rPr>
      </w:pPr>
    </w:p>
    <w:p>
      <w:pPr>
        <w:pStyle w:val="54"/>
        <w:spacing w:line="360" w:lineRule="auto"/>
        <w:ind w:firstLine="360" w:firstLineChars="150"/>
        <w:rPr>
          <w:rFonts w:ascii="宋体" w:hAnsi="宋体" w:cs="宋体"/>
          <w:color w:val="auto"/>
          <w:szCs w:val="28"/>
          <w:highlight w:val="none"/>
        </w:rPr>
      </w:pPr>
      <w:r>
        <w:rPr>
          <w:rFonts w:hint="eastAsia" w:ascii="宋体" w:hAnsi="宋体" w:cs="宋体"/>
          <w:color w:val="auto"/>
          <w:szCs w:val="28"/>
          <w:highlight w:val="none"/>
        </w:rPr>
        <w:t>谈判申请人（单位公章）：</w:t>
      </w:r>
      <w:r>
        <w:rPr>
          <w:rFonts w:ascii="宋体" w:hAnsi="宋体" w:cs="宋体"/>
          <w:color w:val="auto"/>
          <w:szCs w:val="28"/>
          <w:highlight w:val="none"/>
          <w:u w:val="single"/>
        </w:rPr>
        <w:t xml:space="preserve">                                </w:t>
      </w:r>
    </w:p>
    <w:p>
      <w:pPr>
        <w:pStyle w:val="54"/>
        <w:spacing w:line="360" w:lineRule="auto"/>
        <w:ind w:firstLine="360" w:firstLineChars="150"/>
        <w:rPr>
          <w:rFonts w:ascii="宋体" w:hAnsi="宋体" w:cs="宋体"/>
          <w:color w:val="auto"/>
          <w:szCs w:val="28"/>
          <w:highlight w:val="none"/>
        </w:rPr>
      </w:pPr>
      <w:r>
        <w:rPr>
          <w:rFonts w:hint="eastAsia" w:ascii="宋体" w:hAnsi="宋体" w:cs="宋体"/>
          <w:color w:val="auto"/>
          <w:szCs w:val="28"/>
          <w:highlight w:val="none"/>
        </w:rPr>
        <w:t xml:space="preserve">                       </w:t>
      </w:r>
    </w:p>
    <w:p>
      <w:pPr>
        <w:pStyle w:val="54"/>
        <w:spacing w:line="360" w:lineRule="auto"/>
        <w:ind w:firstLine="360" w:firstLineChars="150"/>
        <w:rPr>
          <w:rFonts w:ascii="宋体" w:hAnsi="宋体" w:cs="宋体"/>
          <w:color w:val="auto"/>
          <w:szCs w:val="28"/>
          <w:highlight w:val="none"/>
          <w:u w:val="single"/>
        </w:rPr>
      </w:pPr>
      <w:r>
        <w:rPr>
          <w:rFonts w:hint="eastAsia" w:ascii="宋体" w:hAnsi="宋体" w:cs="宋体"/>
          <w:color w:val="auto"/>
          <w:szCs w:val="28"/>
          <w:highlight w:val="none"/>
        </w:rPr>
        <w:t>法定代表人或委托代理人（签字或盖章）：</w:t>
      </w:r>
      <w:r>
        <w:rPr>
          <w:rFonts w:ascii="宋体" w:hAnsi="宋体" w:cs="宋体"/>
          <w:color w:val="auto"/>
          <w:szCs w:val="28"/>
          <w:highlight w:val="none"/>
          <w:u w:val="single"/>
        </w:rPr>
        <w:t xml:space="preserve">                  </w:t>
      </w:r>
    </w:p>
    <w:p>
      <w:pPr>
        <w:pStyle w:val="54"/>
        <w:spacing w:line="360" w:lineRule="auto"/>
        <w:ind w:firstLine="360" w:firstLineChars="150"/>
        <w:rPr>
          <w:rFonts w:ascii="宋体" w:hAnsi="宋体" w:cs="宋体"/>
          <w:color w:val="auto"/>
          <w:szCs w:val="28"/>
          <w:highlight w:val="none"/>
        </w:rPr>
      </w:pPr>
    </w:p>
    <w:p>
      <w:pPr>
        <w:pStyle w:val="54"/>
        <w:spacing w:line="360" w:lineRule="auto"/>
        <w:ind w:firstLine="360" w:firstLineChars="150"/>
        <w:rPr>
          <w:rFonts w:hint="eastAsia" w:ascii="宋体" w:hAnsi="宋体" w:cs="宋体"/>
          <w:color w:val="auto"/>
          <w:szCs w:val="28"/>
          <w:highlight w:val="none"/>
        </w:rPr>
        <w:sectPr>
          <w:pgSz w:w="11906" w:h="16838"/>
          <w:pgMar w:top="1440" w:right="1800" w:bottom="1440" w:left="1800" w:header="720" w:footer="567" w:gutter="0"/>
          <w:cols w:space="720" w:num="1"/>
          <w:titlePg/>
          <w:docGrid w:type="lines" w:linePitch="331" w:charSpace="0"/>
        </w:sectPr>
      </w:pPr>
      <w:r>
        <w:rPr>
          <w:rFonts w:hint="eastAsia" w:ascii="宋体" w:hAnsi="宋体" w:cs="宋体"/>
          <w:color w:val="auto"/>
          <w:szCs w:val="28"/>
          <w:highlight w:val="none"/>
        </w:rPr>
        <w:t>日  期：</w:t>
      </w:r>
      <w:r>
        <w:rPr>
          <w:rFonts w:ascii="宋体" w:hAnsi="宋体" w:cs="宋体"/>
          <w:color w:val="auto"/>
          <w:szCs w:val="28"/>
          <w:highlight w:val="none"/>
          <w:u w:val="single"/>
        </w:rPr>
        <w:t xml:space="preserve">       </w:t>
      </w:r>
      <w:r>
        <w:rPr>
          <w:rFonts w:hint="eastAsia" w:ascii="宋体" w:hAnsi="宋体" w:cs="宋体"/>
          <w:color w:val="auto"/>
          <w:szCs w:val="28"/>
          <w:highlight w:val="none"/>
        </w:rPr>
        <w:t>年</w:t>
      </w:r>
      <w:r>
        <w:rPr>
          <w:rFonts w:ascii="宋体" w:hAnsi="宋体" w:cs="宋体"/>
          <w:color w:val="auto"/>
          <w:szCs w:val="28"/>
          <w:highlight w:val="none"/>
          <w:u w:val="single"/>
        </w:rPr>
        <w:t xml:space="preserve">       </w:t>
      </w:r>
      <w:r>
        <w:rPr>
          <w:rFonts w:hint="eastAsia" w:ascii="宋体" w:hAnsi="宋体" w:cs="宋体"/>
          <w:color w:val="auto"/>
          <w:szCs w:val="28"/>
          <w:highlight w:val="none"/>
        </w:rPr>
        <w:t>月</w:t>
      </w:r>
      <w:r>
        <w:rPr>
          <w:rFonts w:ascii="宋体" w:hAnsi="宋体" w:cs="宋体"/>
          <w:color w:val="auto"/>
          <w:szCs w:val="28"/>
          <w:highlight w:val="none"/>
          <w:u w:val="single"/>
        </w:rPr>
        <w:t xml:space="preserve">       </w:t>
      </w:r>
      <w:r>
        <w:rPr>
          <w:rFonts w:hint="eastAsia" w:ascii="宋体" w:hAnsi="宋体" w:cs="宋体"/>
          <w:color w:val="auto"/>
          <w:szCs w:val="28"/>
          <w:highlight w:val="none"/>
        </w:rPr>
        <w:t>日</w:t>
      </w:r>
    </w:p>
    <w:p>
      <w:pPr>
        <w:pStyle w:val="4"/>
        <w:ind w:firstLine="643"/>
        <w:rPr>
          <w:color w:val="auto"/>
          <w:highlight w:val="none"/>
        </w:rPr>
      </w:pPr>
      <w:bookmarkStart w:id="574" w:name="_Toc5696"/>
      <w:r>
        <w:rPr>
          <w:rFonts w:hint="eastAsia"/>
          <w:color w:val="auto"/>
          <w:highlight w:val="none"/>
          <w:lang w:val="en-US" w:eastAsia="zh-CN"/>
        </w:rPr>
        <w:t>最终报价</w:t>
      </w:r>
      <w:r>
        <w:rPr>
          <w:rFonts w:hint="eastAsia"/>
          <w:color w:val="auto"/>
          <w:highlight w:val="none"/>
        </w:rPr>
        <w:t>表</w:t>
      </w:r>
      <w:bookmarkEnd w:id="574"/>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Times New Roman"/>
          <w:color w:val="auto"/>
          <w:sz w:val="24"/>
          <w:szCs w:val="24"/>
          <w:highlight w:val="none"/>
          <w:u w:val="single"/>
          <w:lang w:val="zh-CN" w:eastAsia="zh-CN"/>
        </w:rPr>
      </w:pPr>
      <w:r>
        <w:rPr>
          <w:rFonts w:ascii="宋体" w:hAnsi="宋体"/>
          <w:color w:val="auto"/>
          <w:kern w:val="0"/>
          <w:sz w:val="24"/>
          <w:highlight w:val="none"/>
        </w:rPr>
        <w:t>项目名称</w:t>
      </w:r>
      <w:r>
        <w:rPr>
          <w:rFonts w:hint="eastAsia" w:ascii="宋体" w:hAnsi="宋体"/>
          <w:color w:val="auto"/>
          <w:kern w:val="0"/>
          <w:sz w:val="24"/>
          <w:highlight w:val="none"/>
        </w:rPr>
        <w:t>：</w:t>
      </w:r>
      <w:r>
        <w:rPr>
          <w:rFonts w:hint="eastAsia" w:ascii="宋体" w:hAnsi="宋体"/>
          <w:color w:val="auto"/>
          <w:kern w:val="0"/>
          <w:sz w:val="24"/>
          <w:highlight w:val="none"/>
          <w:u w:val="single"/>
        </w:rPr>
        <w:t>背阴山尾矿库分布式光伏发电项目送出</w:t>
      </w:r>
      <w:r>
        <w:rPr>
          <w:rFonts w:hint="eastAsia" w:ascii="宋体" w:hAnsi="宋体"/>
          <w:color w:val="auto"/>
          <w:kern w:val="0"/>
          <w:sz w:val="24"/>
          <w:highlight w:val="none"/>
          <w:u w:val="single"/>
          <w:lang w:eastAsia="zh-CN"/>
        </w:rPr>
        <w:t>线路设计施工总承包工程</w:t>
      </w:r>
    </w:p>
    <w:p>
      <w:pPr>
        <w:pStyle w:val="54"/>
        <w:spacing w:line="360" w:lineRule="auto"/>
        <w:ind w:firstLine="0" w:firstLineChars="0"/>
        <w:jc w:val="center"/>
        <w:rPr>
          <w:rFonts w:hint="eastAsia"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投标报价汇总表</w:t>
      </w:r>
    </w:p>
    <w:tbl>
      <w:tblPr>
        <w:tblStyle w:val="67"/>
        <w:tblW w:w="8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842"/>
        <w:gridCol w:w="425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序号</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内 容</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hint="eastAsia"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报价及承诺</w:t>
            </w:r>
            <w:r>
              <w:rPr>
                <w:rFonts w:hint="eastAsia" w:ascii="宋体"/>
                <w:color w:val="auto"/>
                <w:highlight w:val="none"/>
                <w:lang w:eastAsia="zh-CN"/>
              </w:rPr>
              <w:t>（</w:t>
            </w:r>
            <w:r>
              <w:rPr>
                <w:rFonts w:hint="eastAsia" w:ascii="宋体" w:eastAsia="宋体"/>
                <w:color w:val="auto"/>
                <w:highlight w:val="none"/>
              </w:rPr>
              <w:t>含税</w:t>
            </w:r>
            <w:r>
              <w:rPr>
                <w:rFonts w:hint="eastAsia" w:ascii="宋体"/>
                <w:color w:val="auto"/>
                <w:highlight w:val="none"/>
                <w:lang w:eastAsia="zh-CN"/>
              </w:rPr>
              <w:t>）</w:t>
            </w:r>
          </w:p>
        </w:tc>
        <w:tc>
          <w:tcPr>
            <w:tcW w:w="18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restart"/>
            <w:tcBorders>
              <w:top w:val="single" w:color="auto" w:sz="4" w:space="0"/>
              <w:left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1</w:t>
            </w:r>
          </w:p>
        </w:tc>
        <w:tc>
          <w:tcPr>
            <w:tcW w:w="1842" w:type="dxa"/>
            <w:vMerge w:val="restart"/>
            <w:tcBorders>
              <w:top w:val="single" w:color="auto" w:sz="4" w:space="0"/>
              <w:left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谈判报价</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left"/>
              <w:rPr>
                <w:rFonts w:hint="default"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lang w:val="en-US" w:eastAsia="zh-CN"/>
              </w:rPr>
              <w:t xml:space="preserve">报价：              </w:t>
            </w:r>
            <w:r>
              <w:rPr>
                <w:rFonts w:hint="eastAsia" w:ascii="宋体"/>
                <w:color w:val="auto"/>
                <w:highlight w:val="none"/>
                <w:lang w:val="en-US" w:eastAsia="zh-CN"/>
              </w:rPr>
              <w:t xml:space="preserve">     </w:t>
            </w:r>
            <w:r>
              <w:rPr>
                <w:rFonts w:hint="eastAsia" w:ascii="宋体" w:eastAsia="宋体"/>
                <w:color w:val="auto"/>
                <w:highlight w:val="none"/>
              </w:rPr>
              <w:t>万元</w:t>
            </w:r>
            <w:r>
              <w:rPr>
                <w:rFonts w:hint="eastAsia" w:ascii="宋体"/>
                <w:color w:val="auto"/>
                <w:highlight w:val="none"/>
                <w:lang w:eastAsia="zh-CN"/>
              </w:rPr>
              <w:t>；</w:t>
            </w:r>
          </w:p>
        </w:tc>
        <w:tc>
          <w:tcPr>
            <w:tcW w:w="1897" w:type="dxa"/>
            <w:tcBorders>
              <w:top w:val="single" w:color="auto" w:sz="4" w:space="0"/>
              <w:left w:val="single" w:color="auto" w:sz="4" w:space="0"/>
              <w:right w:val="single" w:color="auto" w:sz="4" w:space="0"/>
            </w:tcBorders>
            <w:shd w:val="clear" w:color="auto" w:fill="auto"/>
            <w:noWrap w:val="0"/>
            <w:vAlign w:val="center"/>
          </w:tcPr>
          <w:p>
            <w:pPr>
              <w:spacing w:line="276" w:lineRule="auto"/>
              <w:ind w:firstLine="105" w:firstLineChars="50"/>
              <w:jc w:val="center"/>
              <w:rPr>
                <w:rFonts w:hint="default"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lang w:val="en-US" w:eastAsia="zh-CN"/>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continue"/>
            <w:tcBorders>
              <w:left w:val="single" w:color="auto" w:sz="4" w:space="0"/>
              <w:right w:val="single" w:color="auto" w:sz="4" w:space="0"/>
            </w:tcBorders>
            <w:noWrap w:val="0"/>
            <w:vAlign w:val="center"/>
          </w:tcPr>
          <w:p>
            <w:pPr>
              <w:spacing w:line="276" w:lineRule="auto"/>
              <w:ind w:firstLine="105" w:firstLineChars="50"/>
              <w:jc w:val="left"/>
              <w:rPr>
                <w:color w:val="auto"/>
                <w:highlight w:val="none"/>
              </w:rPr>
            </w:pPr>
          </w:p>
        </w:tc>
        <w:tc>
          <w:tcPr>
            <w:tcW w:w="1842" w:type="dxa"/>
            <w:vMerge w:val="continue"/>
            <w:tcBorders>
              <w:left w:val="single" w:color="auto" w:sz="4" w:space="0"/>
              <w:right w:val="single" w:color="auto" w:sz="4" w:space="0"/>
            </w:tcBorders>
            <w:noWrap w:val="0"/>
            <w:vAlign w:val="center"/>
          </w:tcPr>
          <w:p>
            <w:pPr>
              <w:spacing w:line="276" w:lineRule="auto"/>
              <w:ind w:firstLine="105" w:firstLineChars="50"/>
              <w:jc w:val="left"/>
              <w:rPr>
                <w:color w:val="auto"/>
                <w:highlight w:val="none"/>
              </w:rPr>
            </w:pP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eastAsia" w:ascii="宋体" w:eastAsia="宋体"/>
                <w:color w:val="auto"/>
                <w:highlight w:val="none"/>
                <w:lang w:val="en-US" w:eastAsia="zh-CN"/>
              </w:rPr>
            </w:pPr>
            <w:r>
              <w:rPr>
                <w:rFonts w:hint="eastAsia" w:ascii="宋体"/>
                <w:color w:val="auto"/>
                <w:highlight w:val="none"/>
                <w:lang w:val="en-US" w:eastAsia="zh-CN"/>
              </w:rPr>
              <w:t>其中：勘察设计费              万元；</w:t>
            </w:r>
          </w:p>
        </w:tc>
        <w:tc>
          <w:tcPr>
            <w:tcW w:w="1897" w:type="dxa"/>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 w:hRule="atLeast"/>
          <w:jc w:val="center"/>
        </w:trPr>
        <w:tc>
          <w:tcPr>
            <w:tcW w:w="823" w:type="dxa"/>
            <w:vMerge w:val="continue"/>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c>
          <w:tcPr>
            <w:tcW w:w="1842" w:type="dxa"/>
            <w:vMerge w:val="continue"/>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c>
          <w:tcPr>
            <w:tcW w:w="4253"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eastAsia" w:ascii="宋体" w:eastAsia="宋体"/>
                <w:color w:val="auto"/>
                <w:highlight w:val="none"/>
                <w:lang w:val="en-US" w:eastAsia="zh-CN"/>
              </w:rPr>
            </w:pPr>
            <w:r>
              <w:rPr>
                <w:rFonts w:hint="eastAsia" w:ascii="宋体"/>
                <w:color w:val="auto"/>
                <w:highlight w:val="none"/>
                <w:lang w:val="en-US" w:eastAsia="zh-CN"/>
              </w:rPr>
              <w:t>建筑及安装工程费          万元；</w:t>
            </w:r>
          </w:p>
        </w:tc>
        <w:tc>
          <w:tcPr>
            <w:tcW w:w="1897" w:type="dxa"/>
            <w:tcBorders>
              <w:left w:val="single" w:color="auto" w:sz="4" w:space="0"/>
              <w:right w:val="single" w:color="auto" w:sz="4" w:space="0"/>
            </w:tcBorders>
            <w:noWrap w:val="0"/>
            <w:vAlign w:val="center"/>
          </w:tcPr>
          <w:p>
            <w:pPr>
              <w:spacing w:line="276" w:lineRule="auto"/>
              <w:ind w:firstLine="105" w:firstLineChars="50"/>
              <w:jc w:val="left"/>
              <w:rPr>
                <w:rFonts w:hint="eastAsia" w:ascii="宋体"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2</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hint="eastAsia"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服务期承诺</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c>
          <w:tcPr>
            <w:tcW w:w="18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firstLine="105" w:firstLineChars="50"/>
              <w:jc w:val="center"/>
              <w:rPr>
                <w:rFonts w:ascii="宋体" w:eastAsia="宋体"/>
                <w:color w:val="auto"/>
                <w:highlight w:val="none"/>
              </w:rPr>
            </w:pPr>
            <w:r>
              <w:rPr>
                <w:rFonts w:hint="eastAsia" w:ascii="宋体" w:eastAsia="宋体"/>
                <w:color w:val="auto"/>
                <w:highlight w:val="none"/>
              </w:rPr>
              <w:t>3</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hint="eastAsia" w:ascii="宋体" w:hAnsi="Times New Roman" w:eastAsia="宋体" w:cs="Times New Roman"/>
                <w:color w:val="auto"/>
                <w:kern w:val="2"/>
                <w:sz w:val="21"/>
                <w:szCs w:val="24"/>
                <w:highlight w:val="none"/>
                <w:lang w:val="en-US" w:eastAsia="zh-CN" w:bidi="ar-SA"/>
              </w:rPr>
            </w:pPr>
            <w:r>
              <w:rPr>
                <w:rFonts w:hint="eastAsia" w:ascii="宋体" w:eastAsia="宋体"/>
                <w:color w:val="auto"/>
                <w:highlight w:val="none"/>
              </w:rPr>
              <w:t>质量承诺</w:t>
            </w:r>
          </w:p>
        </w:tc>
        <w:tc>
          <w:tcPr>
            <w:tcW w:w="425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c>
          <w:tcPr>
            <w:tcW w:w="18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76" w:lineRule="auto"/>
              <w:ind w:firstLine="105" w:firstLineChars="50"/>
              <w:jc w:val="center"/>
              <w:rPr>
                <w:rFonts w:ascii="宋体" w:hAnsi="Times New Roman" w:eastAsia="宋体" w:cs="Times New Roman"/>
                <w:color w:val="auto"/>
                <w:kern w:val="2"/>
                <w:sz w:val="21"/>
                <w:szCs w:val="24"/>
                <w:highlight w:val="none"/>
                <w:lang w:val="en-US" w:eastAsia="zh-CN" w:bidi="ar-SA"/>
              </w:rPr>
            </w:pPr>
          </w:p>
        </w:tc>
      </w:tr>
    </w:tbl>
    <w:p>
      <w:pPr>
        <w:pStyle w:val="37"/>
        <w:spacing w:line="320" w:lineRule="exact"/>
        <w:rPr>
          <w:rFonts w:hAnsi="宋体"/>
          <w:color w:val="auto"/>
          <w:highlight w:val="none"/>
        </w:rPr>
      </w:pPr>
    </w:p>
    <w:p>
      <w:pPr>
        <w:shd w:val="clear"/>
        <w:spacing w:line="400" w:lineRule="exact"/>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注：</w:t>
      </w:r>
      <w:r>
        <w:rPr>
          <w:rFonts w:hint="default" w:ascii="Times New Roman" w:hAnsi="Times New Roman" w:cs="Times New Roman"/>
          <w:color w:val="auto"/>
          <w:highlight w:val="none"/>
          <w:lang w:eastAsia="zh-CN"/>
        </w:rPr>
        <w:t>合同执行过程中，如发生国家财税政策调整，本合同不含税价不因增值税税率变化而调整，增值税税额将随适用的增值税税率调整而同步调整，合同含税总价相应调整。若投标人为联合体投标的，由联合体牵头人出具。</w:t>
      </w:r>
    </w:p>
    <w:p>
      <w:pPr>
        <w:shd w:val="clear"/>
        <w:spacing w:line="400" w:lineRule="exact"/>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本最终报价表不需装订在响应文件内，应按谈判程序提前准备好（加盖公章及签字）携带至谈判现场，按采购人要求在规定时间内完成二次（最终）报价。</w:t>
      </w:r>
    </w:p>
    <w:p>
      <w:pPr>
        <w:pStyle w:val="54"/>
        <w:spacing w:line="360" w:lineRule="auto"/>
        <w:ind w:firstLine="360" w:firstLineChars="150"/>
        <w:rPr>
          <w:rFonts w:hint="eastAsia" w:ascii="宋体" w:hAnsi="宋体" w:cs="宋体"/>
          <w:color w:val="auto"/>
          <w:szCs w:val="28"/>
          <w:highlight w:val="none"/>
        </w:rPr>
      </w:pPr>
    </w:p>
    <w:p>
      <w:pPr>
        <w:pStyle w:val="54"/>
        <w:spacing w:line="360" w:lineRule="auto"/>
        <w:ind w:firstLine="360" w:firstLineChars="150"/>
        <w:rPr>
          <w:rFonts w:ascii="宋体" w:hAnsi="宋体" w:cs="宋体"/>
          <w:color w:val="auto"/>
          <w:szCs w:val="28"/>
          <w:highlight w:val="none"/>
        </w:rPr>
      </w:pPr>
      <w:r>
        <w:rPr>
          <w:rFonts w:hint="eastAsia" w:ascii="宋体" w:hAnsi="宋体" w:cs="宋体"/>
          <w:color w:val="auto"/>
          <w:szCs w:val="28"/>
          <w:highlight w:val="none"/>
        </w:rPr>
        <w:t>谈判申请人（单位公章）：</w:t>
      </w:r>
      <w:r>
        <w:rPr>
          <w:rFonts w:ascii="宋体" w:hAnsi="宋体" w:cs="宋体"/>
          <w:color w:val="auto"/>
          <w:szCs w:val="28"/>
          <w:highlight w:val="none"/>
          <w:u w:val="single"/>
        </w:rPr>
        <w:t xml:space="preserve">                                </w:t>
      </w:r>
    </w:p>
    <w:p>
      <w:pPr>
        <w:pStyle w:val="54"/>
        <w:spacing w:line="360" w:lineRule="auto"/>
        <w:ind w:firstLine="360" w:firstLineChars="150"/>
        <w:rPr>
          <w:rFonts w:ascii="宋体" w:hAnsi="宋体" w:cs="宋体"/>
          <w:color w:val="auto"/>
          <w:szCs w:val="28"/>
          <w:highlight w:val="none"/>
        </w:rPr>
      </w:pPr>
      <w:r>
        <w:rPr>
          <w:rFonts w:hint="eastAsia" w:ascii="宋体" w:hAnsi="宋体" w:cs="宋体"/>
          <w:color w:val="auto"/>
          <w:szCs w:val="28"/>
          <w:highlight w:val="none"/>
        </w:rPr>
        <w:t xml:space="preserve">                       </w:t>
      </w:r>
    </w:p>
    <w:p>
      <w:pPr>
        <w:pStyle w:val="54"/>
        <w:spacing w:line="360" w:lineRule="auto"/>
        <w:ind w:firstLine="360" w:firstLineChars="150"/>
        <w:rPr>
          <w:rFonts w:ascii="宋体" w:hAnsi="宋体" w:cs="宋体"/>
          <w:color w:val="auto"/>
          <w:szCs w:val="28"/>
          <w:highlight w:val="none"/>
          <w:u w:val="single"/>
        </w:rPr>
      </w:pPr>
      <w:r>
        <w:rPr>
          <w:rFonts w:hint="eastAsia" w:ascii="宋体" w:hAnsi="宋体" w:cs="宋体"/>
          <w:color w:val="auto"/>
          <w:szCs w:val="28"/>
          <w:highlight w:val="none"/>
        </w:rPr>
        <w:t>法定代表人或委托代理人（签字或盖章）：</w:t>
      </w:r>
      <w:r>
        <w:rPr>
          <w:rFonts w:ascii="宋体" w:hAnsi="宋体" w:cs="宋体"/>
          <w:color w:val="auto"/>
          <w:szCs w:val="28"/>
          <w:highlight w:val="none"/>
          <w:u w:val="single"/>
        </w:rPr>
        <w:t xml:space="preserve">                  </w:t>
      </w:r>
    </w:p>
    <w:p>
      <w:pPr>
        <w:pStyle w:val="54"/>
        <w:spacing w:line="360" w:lineRule="auto"/>
        <w:ind w:firstLine="360" w:firstLineChars="150"/>
        <w:rPr>
          <w:rFonts w:ascii="宋体" w:hAnsi="宋体" w:cs="宋体"/>
          <w:color w:val="auto"/>
          <w:szCs w:val="28"/>
          <w:highlight w:val="none"/>
        </w:rPr>
      </w:pPr>
    </w:p>
    <w:p>
      <w:pPr>
        <w:pStyle w:val="54"/>
        <w:spacing w:line="360" w:lineRule="auto"/>
        <w:ind w:firstLine="360" w:firstLineChars="150"/>
        <w:rPr>
          <w:rFonts w:hint="eastAsia" w:ascii="宋体" w:hAnsi="宋体" w:cs="宋体"/>
          <w:color w:val="auto"/>
          <w:szCs w:val="28"/>
          <w:highlight w:val="none"/>
        </w:rPr>
        <w:sectPr>
          <w:pgSz w:w="11906" w:h="16838"/>
          <w:pgMar w:top="1440" w:right="1800" w:bottom="1440" w:left="1800" w:header="720" w:footer="567" w:gutter="0"/>
          <w:cols w:space="720" w:num="1"/>
          <w:titlePg/>
          <w:docGrid w:type="lines" w:linePitch="331" w:charSpace="0"/>
        </w:sectPr>
      </w:pPr>
      <w:r>
        <w:rPr>
          <w:rFonts w:hint="eastAsia" w:ascii="宋体" w:hAnsi="宋体" w:cs="宋体"/>
          <w:color w:val="auto"/>
          <w:szCs w:val="28"/>
          <w:highlight w:val="none"/>
        </w:rPr>
        <w:t>日  期：</w:t>
      </w:r>
      <w:r>
        <w:rPr>
          <w:rFonts w:ascii="宋体" w:hAnsi="宋体" w:cs="宋体"/>
          <w:color w:val="auto"/>
          <w:szCs w:val="28"/>
          <w:highlight w:val="none"/>
          <w:u w:val="single"/>
        </w:rPr>
        <w:t xml:space="preserve">       </w:t>
      </w:r>
      <w:r>
        <w:rPr>
          <w:rFonts w:hint="eastAsia" w:ascii="宋体" w:hAnsi="宋体" w:cs="宋体"/>
          <w:color w:val="auto"/>
          <w:szCs w:val="28"/>
          <w:highlight w:val="none"/>
        </w:rPr>
        <w:t>年</w:t>
      </w:r>
      <w:r>
        <w:rPr>
          <w:rFonts w:ascii="宋体" w:hAnsi="宋体" w:cs="宋体"/>
          <w:color w:val="auto"/>
          <w:szCs w:val="28"/>
          <w:highlight w:val="none"/>
          <w:u w:val="single"/>
        </w:rPr>
        <w:t xml:space="preserve">       </w:t>
      </w:r>
      <w:r>
        <w:rPr>
          <w:rFonts w:hint="eastAsia" w:ascii="宋体" w:hAnsi="宋体" w:cs="宋体"/>
          <w:color w:val="auto"/>
          <w:szCs w:val="28"/>
          <w:highlight w:val="none"/>
        </w:rPr>
        <w:t>月</w:t>
      </w:r>
      <w:r>
        <w:rPr>
          <w:rFonts w:ascii="宋体" w:hAnsi="宋体" w:cs="宋体"/>
          <w:color w:val="auto"/>
          <w:szCs w:val="28"/>
          <w:highlight w:val="none"/>
          <w:u w:val="single"/>
        </w:rPr>
        <w:t xml:space="preserve">       </w:t>
      </w:r>
      <w:r>
        <w:rPr>
          <w:rFonts w:hint="eastAsia" w:ascii="宋体" w:hAnsi="宋体" w:cs="宋体"/>
          <w:color w:val="auto"/>
          <w:szCs w:val="28"/>
          <w:highlight w:val="none"/>
        </w:rPr>
        <w:t>日</w:t>
      </w:r>
    </w:p>
    <w:bookmarkEnd w:id="551"/>
    <w:bookmarkEnd w:id="552"/>
    <w:bookmarkEnd w:id="561"/>
    <w:bookmarkEnd w:id="562"/>
    <w:bookmarkEnd w:id="563"/>
    <w:bookmarkEnd w:id="564"/>
    <w:p>
      <w:pPr>
        <w:adjustRightInd w:val="0"/>
        <w:spacing w:line="360" w:lineRule="auto"/>
        <w:jc w:val="center"/>
        <w:outlineLvl w:val="1"/>
        <w:rPr>
          <w:rFonts w:hint="eastAsia" w:asciiTheme="minorEastAsia" w:hAnsiTheme="minorEastAsia" w:eastAsiaTheme="minorEastAsia"/>
          <w:b/>
          <w:color w:val="auto"/>
          <w:sz w:val="28"/>
          <w:szCs w:val="28"/>
          <w:highlight w:val="none"/>
          <w:lang w:val="en-US" w:eastAsia="zh-CN"/>
        </w:rPr>
      </w:pPr>
      <w:bookmarkStart w:id="575" w:name="_Toc130564348"/>
      <w:bookmarkStart w:id="576" w:name="_Toc139987946"/>
      <w:bookmarkStart w:id="577" w:name="_Toc130564915"/>
      <w:bookmarkStart w:id="578" w:name="_Toc490599267"/>
      <w:bookmarkStart w:id="579" w:name="_Toc107864036"/>
      <w:bookmarkStart w:id="580" w:name="_Toc130562772"/>
      <w:bookmarkStart w:id="581" w:name="_Toc519163238"/>
      <w:bookmarkStart w:id="582" w:name="_Toc25586"/>
      <w:r>
        <w:rPr>
          <w:rFonts w:hint="eastAsia" w:asciiTheme="minorEastAsia" w:hAnsiTheme="minorEastAsia" w:eastAsiaTheme="minorEastAsia"/>
          <w:b/>
          <w:color w:val="auto"/>
          <w:sz w:val="28"/>
          <w:szCs w:val="28"/>
          <w:highlight w:val="none"/>
          <w:lang w:eastAsia="zh-CN"/>
        </w:rPr>
        <w:t>（</w:t>
      </w:r>
      <w:r>
        <w:rPr>
          <w:rFonts w:hint="eastAsia" w:asciiTheme="minorEastAsia" w:hAnsiTheme="minorEastAsia" w:eastAsiaTheme="minorEastAsia"/>
          <w:b/>
          <w:color w:val="auto"/>
          <w:sz w:val="28"/>
          <w:szCs w:val="28"/>
          <w:highlight w:val="none"/>
          <w:lang w:val="en-US" w:eastAsia="zh-CN"/>
        </w:rPr>
        <w:t>二</w:t>
      </w:r>
      <w:r>
        <w:rPr>
          <w:rFonts w:hint="eastAsia" w:asciiTheme="minorEastAsia" w:hAnsiTheme="minorEastAsia" w:eastAsiaTheme="minorEastAsia"/>
          <w:b/>
          <w:color w:val="auto"/>
          <w:sz w:val="28"/>
          <w:szCs w:val="28"/>
          <w:highlight w:val="none"/>
          <w:lang w:eastAsia="zh-CN"/>
        </w:rPr>
        <w:t>）</w:t>
      </w:r>
      <w:r>
        <w:rPr>
          <w:rFonts w:hint="eastAsia" w:asciiTheme="minorEastAsia" w:hAnsiTheme="minorEastAsia" w:eastAsiaTheme="minorEastAsia"/>
          <w:b/>
          <w:color w:val="auto"/>
          <w:sz w:val="28"/>
          <w:szCs w:val="28"/>
          <w:highlight w:val="none"/>
        </w:rPr>
        <w:t>谈判申请</w:t>
      </w:r>
      <w:bookmarkEnd w:id="575"/>
      <w:bookmarkEnd w:id="576"/>
      <w:bookmarkEnd w:id="577"/>
      <w:bookmarkEnd w:id="578"/>
      <w:bookmarkEnd w:id="579"/>
      <w:bookmarkEnd w:id="580"/>
      <w:bookmarkEnd w:id="581"/>
      <w:r>
        <w:rPr>
          <w:rFonts w:hint="eastAsia" w:asciiTheme="minorEastAsia" w:hAnsiTheme="minorEastAsia" w:eastAsiaTheme="minorEastAsia"/>
          <w:b/>
          <w:color w:val="auto"/>
          <w:sz w:val="28"/>
          <w:szCs w:val="28"/>
          <w:highlight w:val="none"/>
          <w:lang w:val="en-US" w:eastAsia="zh-CN"/>
        </w:rPr>
        <w:t>函</w:t>
      </w:r>
      <w:bookmarkEnd w:id="582"/>
    </w:p>
    <w:p>
      <w:pPr>
        <w:adjustRightInd w:val="0"/>
        <w:snapToGrid w:val="0"/>
        <w:spacing w:line="360" w:lineRule="auto"/>
        <w:rPr>
          <w:rFonts w:asciiTheme="minorEastAsia" w:hAnsiTheme="minorEastAsia" w:eastAsiaTheme="minorEastAsia"/>
          <w:color w:val="auto"/>
          <w:szCs w:val="21"/>
          <w:highlight w:val="none"/>
          <w:u w:val="single"/>
        </w:rPr>
      </w:pPr>
      <w:r>
        <w:rPr>
          <w:rFonts w:asciiTheme="minorEastAsia" w:hAnsiTheme="minorEastAsia" w:eastAsiaTheme="minorEastAsia"/>
          <w:color w:val="auto"/>
          <w:szCs w:val="21"/>
          <w:highlight w:val="none"/>
        </w:rPr>
        <w:t>致：</w:t>
      </w:r>
      <w:r>
        <w:rPr>
          <w:rFonts w:hint="eastAsia" w:asciiTheme="minorEastAsia" w:hAnsiTheme="minorEastAsia" w:eastAsiaTheme="minorEastAsia"/>
          <w:color w:val="auto"/>
          <w:szCs w:val="21"/>
          <w:highlight w:val="none"/>
          <w:u w:val="single"/>
        </w:rPr>
        <w:t>个旧云能投绿色能源开发有限公司</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根据</w:t>
      </w:r>
      <w:r>
        <w:rPr>
          <w:rFonts w:hint="eastAsia" w:ascii="宋体" w:hAnsi="宋体"/>
          <w:color w:val="auto"/>
          <w:sz w:val="24"/>
          <w:szCs w:val="24"/>
          <w:highlight w:val="none"/>
        </w:rPr>
        <w:t>贵公司的</w:t>
      </w:r>
      <w:r>
        <w:rPr>
          <w:rFonts w:hint="eastAsia" w:ascii="宋体" w:hAnsi="宋体"/>
          <w:color w:val="auto"/>
          <w:sz w:val="24"/>
          <w:szCs w:val="24"/>
          <w:highlight w:val="none"/>
          <w:u w:val="single"/>
        </w:rPr>
        <w:t>背阴山尾矿库分布式光伏发电项目送出</w:t>
      </w:r>
      <w:r>
        <w:rPr>
          <w:rFonts w:hint="eastAsia" w:ascii="宋体" w:hAnsi="宋体"/>
          <w:color w:val="auto"/>
          <w:sz w:val="24"/>
          <w:szCs w:val="24"/>
          <w:highlight w:val="none"/>
          <w:u w:val="single"/>
          <w:lang w:eastAsia="zh-CN"/>
        </w:rPr>
        <w:t>线路设计施工总承包工程</w:t>
      </w:r>
      <w:r>
        <w:rPr>
          <w:rFonts w:ascii="宋体" w:hAnsi="宋体"/>
          <w:color w:val="auto"/>
          <w:sz w:val="24"/>
          <w:szCs w:val="24"/>
          <w:highlight w:val="none"/>
        </w:rPr>
        <w:t>的</w:t>
      </w:r>
      <w:r>
        <w:rPr>
          <w:rFonts w:hint="eastAsia" w:ascii="宋体" w:hAnsi="宋体"/>
          <w:color w:val="auto"/>
          <w:sz w:val="24"/>
          <w:szCs w:val="24"/>
          <w:highlight w:val="none"/>
        </w:rPr>
        <w:t>竞争性谈判</w:t>
      </w:r>
      <w:r>
        <w:rPr>
          <w:rFonts w:hint="eastAsia" w:ascii="宋体" w:hAnsi="宋体"/>
          <w:color w:val="auto"/>
          <w:sz w:val="24"/>
          <w:szCs w:val="24"/>
          <w:highlight w:val="none"/>
          <w:lang w:val="en-US" w:eastAsia="zh-CN"/>
        </w:rPr>
        <w:t>竞谈</w:t>
      </w:r>
      <w:r>
        <w:rPr>
          <w:rFonts w:ascii="宋体" w:hAnsi="宋体"/>
          <w:color w:val="auto"/>
          <w:sz w:val="24"/>
          <w:szCs w:val="24"/>
          <w:highlight w:val="none"/>
        </w:rPr>
        <w:t>文件，</w:t>
      </w:r>
      <w:r>
        <w:rPr>
          <w:rFonts w:hint="eastAsia"/>
          <w:color w:val="auto"/>
          <w:sz w:val="24"/>
          <w:highlight w:val="none"/>
        </w:rPr>
        <w:t>我方经仔细研究，</w:t>
      </w:r>
      <w:r>
        <w:rPr>
          <w:rFonts w:ascii="宋体" w:hAnsi="宋体"/>
          <w:color w:val="auto"/>
          <w:sz w:val="24"/>
          <w:szCs w:val="24"/>
          <w:highlight w:val="none"/>
        </w:rPr>
        <w:t>愿意</w:t>
      </w:r>
      <w:r>
        <w:rPr>
          <w:rFonts w:hint="eastAsia" w:ascii="宋体" w:hAnsi="宋体"/>
          <w:color w:val="auto"/>
          <w:sz w:val="24"/>
          <w:szCs w:val="24"/>
          <w:highlight w:val="none"/>
        </w:rPr>
        <w:t>承接本</w:t>
      </w:r>
      <w:r>
        <w:rPr>
          <w:rFonts w:ascii="宋体" w:hAnsi="宋体"/>
          <w:color w:val="auto"/>
          <w:sz w:val="24"/>
          <w:szCs w:val="24"/>
          <w:highlight w:val="none"/>
        </w:rPr>
        <w:t>项目工作</w:t>
      </w:r>
      <w:r>
        <w:rPr>
          <w:rFonts w:hint="eastAsia" w:ascii="宋体" w:hAnsi="宋体"/>
          <w:color w:val="auto"/>
          <w:sz w:val="24"/>
          <w:szCs w:val="24"/>
          <w:highlight w:val="none"/>
        </w:rPr>
        <w:t>，</w:t>
      </w:r>
      <w:r>
        <w:rPr>
          <w:rFonts w:hint="eastAsia"/>
          <w:color w:val="auto"/>
          <w:sz w:val="24"/>
          <w:highlight w:val="none"/>
        </w:rPr>
        <w:t>现决定参加报价</w:t>
      </w:r>
      <w:r>
        <w:rPr>
          <w:rFonts w:hint="eastAsia" w:ascii="宋体" w:hAnsi="宋体"/>
          <w:color w:val="auto"/>
          <w:sz w:val="24"/>
          <w:szCs w:val="24"/>
          <w:highlight w:val="none"/>
        </w:rPr>
        <w:t>并承诺完全响应邀请文件的所有内容及条款</w:t>
      </w:r>
      <w:r>
        <w:rPr>
          <w:rFonts w:hint="eastAsia"/>
          <w:color w:val="auto"/>
          <w:sz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1.我方已</w:t>
      </w:r>
      <w:r>
        <w:rPr>
          <w:rFonts w:ascii="宋体" w:hAnsi="宋体"/>
          <w:color w:val="auto"/>
          <w:sz w:val="24"/>
          <w:szCs w:val="24"/>
          <w:highlight w:val="none"/>
        </w:rPr>
        <w:t>详细审查</w:t>
      </w:r>
      <w:r>
        <w:rPr>
          <w:rFonts w:hint="eastAsia" w:ascii="宋体" w:hAnsi="宋体"/>
          <w:color w:val="auto"/>
          <w:sz w:val="24"/>
          <w:szCs w:val="24"/>
          <w:highlight w:val="none"/>
          <w:lang w:val="en-US" w:eastAsia="zh-CN"/>
        </w:rPr>
        <w:t>竞谈</w:t>
      </w:r>
      <w:r>
        <w:rPr>
          <w:rFonts w:ascii="宋体" w:hAnsi="宋体"/>
          <w:color w:val="auto"/>
          <w:sz w:val="24"/>
          <w:szCs w:val="24"/>
          <w:highlight w:val="none"/>
        </w:rPr>
        <w:t>文件，包括</w:t>
      </w:r>
      <w:r>
        <w:rPr>
          <w:rFonts w:hint="eastAsia" w:ascii="宋体" w:hAnsi="宋体"/>
          <w:color w:val="auto"/>
          <w:sz w:val="24"/>
          <w:szCs w:val="24"/>
          <w:highlight w:val="none"/>
        </w:rPr>
        <w:t>（澄清</w:t>
      </w:r>
      <w:r>
        <w:rPr>
          <w:rFonts w:ascii="宋体" w:hAnsi="宋体"/>
          <w:color w:val="auto"/>
          <w:sz w:val="24"/>
          <w:szCs w:val="24"/>
          <w:highlight w:val="none"/>
        </w:rPr>
        <w:t>文件</w:t>
      </w:r>
      <w:r>
        <w:rPr>
          <w:rFonts w:hint="eastAsia" w:ascii="宋体" w:hAnsi="宋体"/>
          <w:color w:val="auto"/>
          <w:sz w:val="24"/>
          <w:szCs w:val="24"/>
          <w:highlight w:val="none"/>
        </w:rPr>
        <w:t>）</w:t>
      </w:r>
      <w:r>
        <w:rPr>
          <w:rFonts w:ascii="宋体" w:hAnsi="宋体"/>
          <w:color w:val="auto"/>
          <w:sz w:val="24"/>
          <w:szCs w:val="24"/>
          <w:highlight w:val="none"/>
        </w:rPr>
        <w:t>(如果有的话)。我们完全理解并</w:t>
      </w:r>
      <w:r>
        <w:rPr>
          <w:rFonts w:hint="eastAsia" w:ascii="宋体" w:hAnsi="宋体"/>
          <w:color w:val="auto"/>
          <w:sz w:val="24"/>
          <w:szCs w:val="24"/>
          <w:highlight w:val="none"/>
        </w:rPr>
        <w:t>同意</w:t>
      </w:r>
      <w:r>
        <w:rPr>
          <w:rFonts w:ascii="宋体" w:hAnsi="宋体"/>
          <w:color w:val="auto"/>
          <w:sz w:val="24"/>
          <w:szCs w:val="24"/>
          <w:highlight w:val="none"/>
        </w:rPr>
        <w:t>放弃对这方面有不明及误解的权力。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2.一旦我方被确定为成交人，我方承诺如邀请文件中有与本报价函不一致的内容，以本报价函的承诺为准。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3.我方报价总价为人民币</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（小写）。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4.我方本次报价服务的交付时间为：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如我方未</w:t>
      </w:r>
      <w:r>
        <w:rPr>
          <w:rFonts w:hint="eastAsia" w:ascii="宋体" w:hAnsi="宋体"/>
          <w:color w:val="auto"/>
          <w:sz w:val="24"/>
          <w:szCs w:val="24"/>
          <w:highlight w:val="none"/>
        </w:rPr>
        <w:t>成交</w:t>
      </w:r>
      <w:r>
        <w:rPr>
          <w:rFonts w:ascii="宋体" w:hAnsi="宋体"/>
          <w:color w:val="auto"/>
          <w:sz w:val="24"/>
          <w:szCs w:val="24"/>
          <w:highlight w:val="none"/>
        </w:rPr>
        <w:t>，你方有权不作任何解释。</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我方承诺，不以任何形式干扰评</w:t>
      </w:r>
      <w:r>
        <w:rPr>
          <w:rFonts w:hint="eastAsia" w:ascii="宋体" w:hAnsi="宋体"/>
          <w:color w:val="auto"/>
          <w:sz w:val="24"/>
          <w:szCs w:val="24"/>
          <w:highlight w:val="none"/>
        </w:rPr>
        <w:t>审</w:t>
      </w:r>
      <w:r>
        <w:rPr>
          <w:rFonts w:ascii="宋体" w:hAnsi="宋体"/>
          <w:color w:val="auto"/>
          <w:sz w:val="24"/>
          <w:szCs w:val="24"/>
          <w:highlight w:val="none"/>
        </w:rPr>
        <w:t>工作。</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除非另外达成协议并生效，你方的</w:t>
      </w:r>
      <w:r>
        <w:rPr>
          <w:rFonts w:hint="eastAsia" w:ascii="宋体" w:hAnsi="宋体"/>
          <w:color w:val="auto"/>
          <w:sz w:val="24"/>
          <w:szCs w:val="24"/>
          <w:highlight w:val="none"/>
        </w:rPr>
        <w:t>成交通</w:t>
      </w:r>
      <w:r>
        <w:rPr>
          <w:rFonts w:ascii="宋体" w:hAnsi="宋体"/>
          <w:color w:val="auto"/>
          <w:sz w:val="24"/>
          <w:szCs w:val="24"/>
          <w:highlight w:val="none"/>
        </w:rPr>
        <w:t>知书和我方所递交的</w:t>
      </w:r>
      <w:r>
        <w:rPr>
          <w:rFonts w:hint="eastAsia" w:ascii="宋体" w:hAnsi="宋体"/>
          <w:color w:val="auto"/>
          <w:sz w:val="24"/>
          <w:szCs w:val="24"/>
          <w:highlight w:val="none"/>
        </w:rPr>
        <w:t>报价</w:t>
      </w:r>
      <w:r>
        <w:rPr>
          <w:rFonts w:ascii="宋体" w:hAnsi="宋体"/>
          <w:color w:val="auto"/>
          <w:sz w:val="24"/>
          <w:szCs w:val="24"/>
          <w:highlight w:val="none"/>
        </w:rPr>
        <w:t>文件将构成约束我们双方的合同组成部分。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8.在此我方郑重承诺：我方将按采购人的要求提供相关供货服务，并且完全响应采购人的要求。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9.我方承诺：报价文件中所提供的相关业绩及资格证明材料真实、可靠，如有虚假，我方愿意承担相关经济及法律责任。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10.谈判申请文件有效期：90日历天</w:t>
      </w:r>
    </w:p>
    <w:p>
      <w:pPr>
        <w:pStyle w:val="37"/>
        <w:snapToGrid w:val="0"/>
        <w:spacing w:line="360" w:lineRule="auto"/>
        <w:ind w:firstLine="480" w:firstLineChars="200"/>
        <w:rPr>
          <w:rFonts w:hAnsi="宋体"/>
          <w:color w:val="auto"/>
          <w:sz w:val="24"/>
          <w:highlight w:val="none"/>
        </w:rPr>
      </w:pPr>
    </w:p>
    <w:p>
      <w:pPr>
        <w:pStyle w:val="37"/>
        <w:snapToGrid w:val="0"/>
        <w:spacing w:line="360" w:lineRule="auto"/>
        <w:ind w:firstLine="480" w:firstLineChars="200"/>
        <w:rPr>
          <w:rFonts w:hAnsi="宋体"/>
          <w:bCs/>
          <w:color w:val="auto"/>
          <w:sz w:val="24"/>
          <w:highlight w:val="none"/>
        </w:rPr>
      </w:pPr>
      <w:r>
        <w:rPr>
          <w:rFonts w:hint="eastAsia" w:hAnsi="宋体"/>
          <w:color w:val="auto"/>
          <w:sz w:val="24"/>
          <w:highlight w:val="none"/>
        </w:rPr>
        <w:t>谈判申请人</w:t>
      </w:r>
      <w:r>
        <w:rPr>
          <w:rFonts w:hAnsi="宋体"/>
          <w:color w:val="auto"/>
          <w:sz w:val="24"/>
          <w:highlight w:val="none"/>
        </w:rPr>
        <w:t>（单位公章）：</w:t>
      </w:r>
      <w:r>
        <w:rPr>
          <w:rFonts w:hAnsi="宋体"/>
          <w:bCs/>
          <w:color w:val="auto"/>
          <w:sz w:val="24"/>
          <w:highlight w:val="none"/>
        </w:rPr>
        <w:t>_____________________</w:t>
      </w:r>
    </w:p>
    <w:p>
      <w:pPr>
        <w:rPr>
          <w:color w:val="auto"/>
          <w:sz w:val="24"/>
          <w:szCs w:val="24"/>
          <w:highlight w:val="none"/>
        </w:rPr>
      </w:pPr>
    </w:p>
    <w:p>
      <w:pPr>
        <w:pStyle w:val="37"/>
        <w:snapToGrid w:val="0"/>
        <w:spacing w:line="360" w:lineRule="auto"/>
        <w:ind w:firstLine="480" w:firstLineChars="200"/>
        <w:rPr>
          <w:rFonts w:hAnsi="宋体"/>
          <w:bCs/>
          <w:color w:val="auto"/>
          <w:sz w:val="24"/>
          <w:highlight w:val="none"/>
        </w:rPr>
      </w:pPr>
      <w:r>
        <w:rPr>
          <w:rFonts w:hAnsi="宋体"/>
          <w:color w:val="auto"/>
          <w:sz w:val="24"/>
          <w:highlight w:val="none"/>
        </w:rPr>
        <w:t>法定代表人或委托代理人（签字或签章）：</w:t>
      </w:r>
      <w:r>
        <w:rPr>
          <w:rFonts w:hAnsi="宋体"/>
          <w:bCs/>
          <w:color w:val="auto"/>
          <w:sz w:val="24"/>
          <w:highlight w:val="none"/>
        </w:rPr>
        <w:t>_____________________</w:t>
      </w:r>
    </w:p>
    <w:p>
      <w:pPr>
        <w:rPr>
          <w:color w:val="auto"/>
          <w:sz w:val="24"/>
          <w:szCs w:val="24"/>
          <w:highlight w:val="none"/>
        </w:rPr>
      </w:pPr>
    </w:p>
    <w:p>
      <w:pPr>
        <w:pStyle w:val="37"/>
        <w:snapToGrid w:val="0"/>
        <w:spacing w:line="360" w:lineRule="auto"/>
        <w:ind w:firstLine="480" w:firstLineChars="200"/>
        <w:rPr>
          <w:rFonts w:hAnsi="宋体"/>
          <w:color w:val="auto"/>
          <w:sz w:val="24"/>
          <w:highlight w:val="none"/>
          <w:u w:val="single"/>
        </w:rPr>
      </w:pPr>
      <w:r>
        <w:rPr>
          <w:rFonts w:hAnsi="宋体"/>
          <w:color w:val="auto"/>
          <w:sz w:val="24"/>
          <w:highlight w:val="none"/>
        </w:rPr>
        <w:t>日期：</w:t>
      </w:r>
      <w:r>
        <w:rPr>
          <w:rFonts w:hAnsi="宋体"/>
          <w:bCs/>
          <w:color w:val="auto"/>
          <w:sz w:val="24"/>
          <w:highlight w:val="none"/>
        </w:rPr>
        <w:t>_____________________</w:t>
      </w:r>
    </w:p>
    <w:p>
      <w:pPr>
        <w:adjustRightInd w:val="0"/>
        <w:snapToGrid w:val="0"/>
        <w:spacing w:line="360" w:lineRule="auto"/>
        <w:rPr>
          <w:rFonts w:asciiTheme="minorEastAsia" w:hAnsiTheme="minorEastAsia" w:eastAsiaTheme="minorEastAsia"/>
          <w:color w:val="auto"/>
          <w:szCs w:val="21"/>
          <w:highlight w:val="none"/>
        </w:rPr>
      </w:pPr>
    </w:p>
    <w:p>
      <w:pPr>
        <w:spacing w:line="336" w:lineRule="auto"/>
        <w:ind w:right="279" w:rightChars="133" w:firstLine="0" w:firstLineChars="0"/>
        <w:rPr>
          <w:color w:val="auto"/>
          <w:highlight w:val="none"/>
          <w:u w:val="single"/>
        </w:rPr>
      </w:pPr>
      <w:r>
        <w:rPr>
          <w:color w:val="auto"/>
          <w:szCs w:val="21"/>
          <w:highlight w:val="none"/>
          <w:u w:val="single"/>
        </w:rPr>
        <w:t>注：若投标人为联合体投标的，由联合体牵头人出具。</w:t>
      </w:r>
    </w:p>
    <w:p>
      <w:pPr>
        <w:rPr>
          <w:color w:val="auto"/>
          <w:highlight w:val="none"/>
        </w:rPr>
        <w:sectPr>
          <w:pgSz w:w="11906" w:h="16838"/>
          <w:pgMar w:top="1440" w:right="1800" w:bottom="1440" w:left="1800" w:header="720" w:footer="567" w:gutter="0"/>
          <w:cols w:space="720" w:num="1"/>
          <w:titlePg/>
          <w:docGrid w:type="lines" w:linePitch="331" w:charSpace="0"/>
        </w:sectPr>
      </w:pPr>
    </w:p>
    <w:p>
      <w:pPr>
        <w:adjustRightInd w:val="0"/>
        <w:spacing w:line="360" w:lineRule="auto"/>
        <w:jc w:val="center"/>
        <w:outlineLvl w:val="1"/>
        <w:rPr>
          <w:rFonts w:asciiTheme="minorEastAsia" w:hAnsiTheme="minorEastAsia" w:eastAsiaTheme="minorEastAsia"/>
          <w:b/>
          <w:color w:val="auto"/>
          <w:sz w:val="28"/>
          <w:szCs w:val="28"/>
          <w:highlight w:val="none"/>
        </w:rPr>
      </w:pPr>
      <w:bookmarkStart w:id="583" w:name="_Toc139987950"/>
      <w:bookmarkStart w:id="584" w:name="_Toc517855637"/>
      <w:bookmarkStart w:id="585" w:name="_Toc130564918"/>
      <w:bookmarkStart w:id="586" w:name="_Toc107864040"/>
      <w:bookmarkStart w:id="587" w:name="_Toc12065"/>
      <w:bookmarkStart w:id="588" w:name="_Toc130564351"/>
      <w:bookmarkStart w:id="589" w:name="_Toc519163242"/>
      <w:bookmarkStart w:id="590" w:name="_Toc130562775"/>
      <w:bookmarkStart w:id="591" w:name="_Toc518980547"/>
      <w:bookmarkStart w:id="592" w:name="_Toc517855556"/>
      <w:r>
        <w:rPr>
          <w:rFonts w:hint="eastAsia" w:asciiTheme="minorEastAsia" w:hAnsiTheme="minorEastAsia" w:eastAsiaTheme="minorEastAsia"/>
          <w:b/>
          <w:color w:val="auto"/>
          <w:sz w:val="28"/>
          <w:szCs w:val="28"/>
          <w:highlight w:val="none"/>
          <w:lang w:val="en-US" w:eastAsia="zh-CN"/>
        </w:rPr>
        <w:t>（三）</w:t>
      </w:r>
      <w:r>
        <w:rPr>
          <w:rFonts w:hint="eastAsia" w:asciiTheme="minorEastAsia" w:hAnsiTheme="minorEastAsia" w:eastAsiaTheme="minorEastAsia"/>
          <w:b/>
          <w:color w:val="auto"/>
          <w:sz w:val="28"/>
          <w:szCs w:val="28"/>
          <w:highlight w:val="none"/>
        </w:rPr>
        <w:t>法定代表人身份证明书</w:t>
      </w:r>
      <w:bookmarkEnd w:id="583"/>
      <w:bookmarkEnd w:id="584"/>
      <w:bookmarkEnd w:id="585"/>
      <w:bookmarkEnd w:id="586"/>
      <w:bookmarkEnd w:id="587"/>
      <w:bookmarkEnd w:id="588"/>
      <w:bookmarkEnd w:id="589"/>
      <w:bookmarkEnd w:id="590"/>
      <w:bookmarkEnd w:id="591"/>
      <w:bookmarkEnd w:id="592"/>
    </w:p>
    <w:p>
      <w:pPr>
        <w:ind w:firstLine="0" w:firstLineChars="0"/>
        <w:jc w:val="center"/>
        <w:rPr>
          <w:b/>
          <w:bCs/>
          <w:color w:val="auto"/>
          <w:sz w:val="24"/>
          <w:szCs w:val="24"/>
          <w:highlight w:val="none"/>
          <w:u w:val="single"/>
        </w:rPr>
      </w:pPr>
      <w:r>
        <w:rPr>
          <w:rFonts w:hint="eastAsia"/>
          <w:b/>
          <w:bCs/>
          <w:color w:val="auto"/>
          <w:sz w:val="24"/>
          <w:szCs w:val="24"/>
          <w:highlight w:val="none"/>
          <w:u w:val="single"/>
        </w:rPr>
        <w:t>注：若为联合体投标，须提供联合体成员各方的法定代表人身份证明及各方授权同一代理人的授权委托书。</w:t>
      </w:r>
    </w:p>
    <w:p>
      <w:pPr>
        <w:ind w:firstLine="480"/>
        <w:rPr>
          <w:rFonts w:asciiTheme="minorEastAsia" w:hAnsiTheme="minorEastAsia" w:eastAsiaTheme="minorEastAsia"/>
          <w:color w:val="auto"/>
          <w:sz w:val="24"/>
          <w:highlight w:val="none"/>
        </w:rPr>
      </w:pPr>
    </w:p>
    <w:p>
      <w:pPr>
        <w:spacing w:line="360" w:lineRule="auto"/>
        <w:rPr>
          <w:rFonts w:asciiTheme="minorEastAsia" w:hAnsiTheme="minorEastAsia" w:eastAsiaTheme="minorEastAsia"/>
          <w:color w:val="auto"/>
          <w:szCs w:val="28"/>
          <w:highlight w:val="none"/>
        </w:rPr>
      </w:pPr>
      <w:r>
        <w:rPr>
          <w:rFonts w:asciiTheme="minorEastAsia" w:hAnsiTheme="minorEastAsia" w:eastAsiaTheme="minorEastAsia"/>
          <w:color w:val="auto"/>
          <w:szCs w:val="28"/>
          <w:highlight w:val="none"/>
        </w:rPr>
        <w:t>谈判申请人</w:t>
      </w:r>
      <w:r>
        <w:rPr>
          <w:rFonts w:hint="eastAsia" w:asciiTheme="minorEastAsia" w:hAnsiTheme="minorEastAsia" w:eastAsiaTheme="minorEastAsia"/>
          <w:color w:val="auto"/>
          <w:szCs w:val="28"/>
          <w:highlight w:val="none"/>
        </w:rPr>
        <w:t xml:space="preserve">名称：  </w:t>
      </w:r>
    </w:p>
    <w:p>
      <w:pPr>
        <w:spacing w:line="360" w:lineRule="auto"/>
        <w:rPr>
          <w:rFonts w:asciiTheme="minorEastAsia" w:hAnsiTheme="minorEastAsia" w:eastAsiaTheme="minorEastAsia"/>
          <w:color w:val="auto"/>
          <w:szCs w:val="28"/>
          <w:highlight w:val="none"/>
          <w:u w:val="single"/>
        </w:rPr>
      </w:pPr>
      <w:r>
        <w:rPr>
          <w:rFonts w:hint="eastAsia" w:asciiTheme="minorEastAsia" w:hAnsiTheme="minorEastAsia" w:eastAsiaTheme="minorEastAsia"/>
          <w:color w:val="auto"/>
          <w:szCs w:val="28"/>
          <w:highlight w:val="none"/>
        </w:rPr>
        <w:t>单位性质：</w:t>
      </w:r>
    </w:p>
    <w:p>
      <w:pPr>
        <w:spacing w:line="360" w:lineRule="auto"/>
        <w:ind w:left="1050" w:hanging="1050" w:hangingChars="500"/>
        <w:rPr>
          <w:rFonts w:asciiTheme="minorEastAsia" w:hAnsiTheme="minorEastAsia" w:eastAsiaTheme="minorEastAsia"/>
          <w:color w:val="auto"/>
          <w:sz w:val="24"/>
          <w:szCs w:val="21"/>
          <w:highlight w:val="none"/>
          <w:u w:val="single"/>
        </w:rPr>
      </w:pPr>
      <w:r>
        <w:rPr>
          <w:rFonts w:hint="eastAsia" w:asciiTheme="minorEastAsia" w:hAnsiTheme="minorEastAsia" w:eastAsiaTheme="minorEastAsia"/>
          <w:color w:val="auto"/>
          <w:szCs w:val="28"/>
          <w:highlight w:val="none"/>
        </w:rPr>
        <w:t>地    址</w:t>
      </w:r>
      <w:r>
        <w:rPr>
          <w:rFonts w:hint="eastAsia" w:asciiTheme="minorEastAsia" w:hAnsiTheme="minorEastAsia" w:eastAsiaTheme="minorEastAsia"/>
          <w:color w:val="auto"/>
          <w:szCs w:val="21"/>
          <w:highlight w:val="none"/>
        </w:rPr>
        <w:t>：</w:t>
      </w:r>
    </w:p>
    <w:p>
      <w:pPr>
        <w:spacing w:line="360" w:lineRule="auto"/>
        <w:rPr>
          <w:rFonts w:asciiTheme="minorEastAsia" w:hAnsiTheme="minorEastAsia" w:eastAsiaTheme="minorEastAsia"/>
          <w:color w:val="auto"/>
          <w:szCs w:val="28"/>
          <w:highlight w:val="none"/>
          <w:u w:val="single"/>
        </w:rPr>
      </w:pPr>
      <w:r>
        <w:rPr>
          <w:rFonts w:hint="eastAsia" w:asciiTheme="minorEastAsia" w:hAnsiTheme="minorEastAsia" w:eastAsiaTheme="minorEastAsia"/>
          <w:color w:val="auto"/>
          <w:szCs w:val="28"/>
          <w:highlight w:val="none"/>
        </w:rPr>
        <w:t>成立时间：</w:t>
      </w:r>
    </w:p>
    <w:p>
      <w:pPr>
        <w:spacing w:line="360" w:lineRule="auto"/>
        <w:rPr>
          <w:rFonts w:hint="eastAsia" w:cs="Times New Roman" w:asciiTheme="minorEastAsia" w:hAnsiTheme="minorEastAsia" w:eastAsiaTheme="minorEastAsia"/>
          <w:color w:val="auto"/>
          <w:szCs w:val="28"/>
          <w:highlight w:val="none"/>
        </w:rPr>
      </w:pPr>
      <w:r>
        <w:rPr>
          <w:rFonts w:hint="eastAsia" w:cs="Times New Roman" w:asciiTheme="minorEastAsia" w:hAnsiTheme="minorEastAsia" w:eastAsiaTheme="minorEastAsia"/>
          <w:color w:val="auto"/>
          <w:szCs w:val="28"/>
          <w:highlight w:val="none"/>
        </w:rPr>
        <w:t>经营期限：</w:t>
      </w:r>
    </w:p>
    <w:p>
      <w:pPr>
        <w:spacing w:line="360" w:lineRule="auto"/>
        <w:rPr>
          <w:rFonts w:hint="eastAsia" w:cs="Times New Roman" w:asciiTheme="minorEastAsia" w:hAnsiTheme="minorEastAsia" w:eastAsiaTheme="minorEastAsia"/>
          <w:color w:val="auto"/>
          <w:szCs w:val="28"/>
          <w:highlight w:val="none"/>
        </w:rPr>
      </w:pPr>
      <w:r>
        <w:rPr>
          <w:rFonts w:hint="eastAsia" w:cs="Times New Roman" w:asciiTheme="minorEastAsia" w:hAnsiTheme="minorEastAsia" w:eastAsiaTheme="minorEastAsia"/>
          <w:color w:val="auto"/>
          <w:szCs w:val="28"/>
          <w:highlight w:val="none"/>
        </w:rPr>
        <w:t>姓名：</w:t>
      </w:r>
    </w:p>
    <w:p>
      <w:pPr>
        <w:spacing w:line="360" w:lineRule="auto"/>
        <w:rPr>
          <w:rFonts w:hint="eastAsia" w:cs="Times New Roman" w:asciiTheme="minorEastAsia" w:hAnsiTheme="minorEastAsia" w:eastAsiaTheme="minorEastAsia"/>
          <w:color w:val="auto"/>
          <w:szCs w:val="28"/>
          <w:highlight w:val="none"/>
        </w:rPr>
      </w:pPr>
      <w:r>
        <w:rPr>
          <w:rFonts w:hint="eastAsia" w:cs="Times New Roman" w:asciiTheme="minorEastAsia" w:hAnsiTheme="minorEastAsia" w:eastAsiaTheme="minorEastAsia"/>
          <w:color w:val="auto"/>
          <w:szCs w:val="28"/>
          <w:highlight w:val="none"/>
        </w:rPr>
        <w:t>性别：</w:t>
      </w:r>
    </w:p>
    <w:p>
      <w:pPr>
        <w:spacing w:line="360" w:lineRule="auto"/>
        <w:rPr>
          <w:rFonts w:hint="eastAsia" w:cs="Times New Roman" w:asciiTheme="minorEastAsia" w:hAnsiTheme="minorEastAsia" w:eastAsiaTheme="minorEastAsia"/>
          <w:color w:val="auto"/>
          <w:szCs w:val="28"/>
          <w:highlight w:val="none"/>
        </w:rPr>
      </w:pPr>
      <w:r>
        <w:rPr>
          <w:rFonts w:hint="eastAsia" w:cs="Times New Roman" w:asciiTheme="minorEastAsia" w:hAnsiTheme="minorEastAsia" w:eastAsiaTheme="minorEastAsia"/>
          <w:color w:val="auto"/>
          <w:szCs w:val="28"/>
          <w:highlight w:val="none"/>
        </w:rPr>
        <w:t>年龄：</w:t>
      </w:r>
    </w:p>
    <w:p>
      <w:pPr>
        <w:spacing w:line="360" w:lineRule="auto"/>
        <w:rPr>
          <w:rFonts w:hint="eastAsia" w:cs="Times New Roman" w:asciiTheme="minorEastAsia" w:hAnsiTheme="minorEastAsia" w:eastAsiaTheme="minorEastAsia"/>
          <w:color w:val="auto"/>
          <w:szCs w:val="28"/>
          <w:highlight w:val="none"/>
        </w:rPr>
      </w:pPr>
      <w:r>
        <w:rPr>
          <w:rFonts w:hint="eastAsia" w:cs="Times New Roman" w:asciiTheme="minorEastAsia" w:hAnsiTheme="minorEastAsia" w:eastAsiaTheme="minorEastAsia"/>
          <w:color w:val="auto"/>
          <w:szCs w:val="28"/>
          <w:highlight w:val="none"/>
        </w:rPr>
        <w:t>职务：</w:t>
      </w:r>
    </w:p>
    <w:p>
      <w:pPr>
        <w:autoSpaceDE w:val="0"/>
        <w:autoSpaceDN w:val="0"/>
        <w:adjustRightInd w:val="0"/>
        <w:spacing w:line="360" w:lineRule="auto"/>
        <w:ind w:firstLine="480" w:firstLineChars="200"/>
        <w:jc w:val="left"/>
        <w:rPr>
          <w:rFonts w:asciiTheme="majorEastAsia" w:hAnsiTheme="majorEastAsia" w:eastAsiaTheme="majorEastAsia"/>
          <w:color w:val="auto"/>
          <w:kern w:val="0"/>
          <w:sz w:val="24"/>
          <w:szCs w:val="24"/>
          <w:highlight w:val="none"/>
        </w:rPr>
      </w:pPr>
      <w:r>
        <w:rPr>
          <w:rFonts w:hint="eastAsia" w:asciiTheme="majorEastAsia" w:hAnsiTheme="majorEastAsia" w:eastAsiaTheme="majorEastAsia"/>
          <w:color w:val="auto"/>
          <w:kern w:val="0"/>
          <w:sz w:val="24"/>
          <w:szCs w:val="24"/>
          <w:highlight w:val="none"/>
        </w:rPr>
        <w:t>系（谈判申请人）的法定代表人。</w:t>
      </w:r>
    </w:p>
    <w:p>
      <w:pPr>
        <w:spacing w:line="500" w:lineRule="exact"/>
        <w:ind w:firstLine="420" w:firstLineChars="200"/>
        <w:rPr>
          <w:rFonts w:asciiTheme="minorEastAsia" w:hAnsiTheme="minorEastAsia" w:eastAsiaTheme="minorEastAsia"/>
          <w:color w:val="auto"/>
          <w:szCs w:val="28"/>
          <w:highlight w:val="none"/>
        </w:rPr>
      </w:pPr>
      <w:r>
        <w:rPr>
          <w:rFonts w:hint="eastAsia" w:asciiTheme="minorEastAsia" w:hAnsiTheme="minorEastAsia" w:eastAsiaTheme="minorEastAsia"/>
          <w:color w:val="auto"/>
          <w:szCs w:val="28"/>
          <w:highlight w:val="none"/>
        </w:rPr>
        <w:t>特此证明</w:t>
      </w:r>
    </w:p>
    <w:p>
      <w:pPr>
        <w:pStyle w:val="37"/>
        <w:spacing w:before="240"/>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附：法定代表人身份证（复印件）</w:t>
      </w:r>
    </w:p>
    <w:p>
      <w:pPr>
        <w:adjustRightInd w:val="0"/>
        <w:snapToGrid w:val="0"/>
        <w:spacing w:line="360" w:lineRule="auto"/>
        <w:jc w:val="center"/>
        <w:rPr>
          <w:rFonts w:asciiTheme="minorEastAsia" w:hAnsiTheme="minorEastAsia" w:eastAsiaTheme="minorEastAsia"/>
          <w:color w:val="auto"/>
          <w:szCs w:val="21"/>
          <w:highlight w:val="none"/>
        </w:rPr>
      </w:pPr>
      <w:r>
        <w:rPr>
          <w:rFonts w:asciiTheme="minorEastAsia" w:hAnsiTheme="minorEastAsia" w:eastAsiaTheme="minorEastAsia"/>
          <w:color w:val="auto"/>
          <w:highlight w:val="none"/>
        </w:rPr>
        <mc:AlternateContent>
          <mc:Choice Requires="wps">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243705" cy="2111375"/>
                <wp:effectExtent l="4445" t="4445" r="19050" b="17780"/>
                <wp:wrapNone/>
                <wp:docPr id="9" name="圆角矩形 14"/>
                <wp:cNvGraphicFramePr/>
                <a:graphic xmlns:a="http://schemas.openxmlformats.org/drawingml/2006/main">
                  <a:graphicData uri="http://schemas.microsoft.com/office/word/2010/wordprocessingShape">
                    <wps:wsp>
                      <wps:cNvSpPr/>
                      <wps:spPr>
                        <a:xfrm>
                          <a:off x="0" y="0"/>
                          <a:ext cx="4243705" cy="2111375"/>
                        </a:xfrm>
                        <a:prstGeom prst="roundRect">
                          <a:avLst>
                            <a:gd name="adj" fmla="val 16667"/>
                          </a:avLst>
                        </a:prstGeom>
                        <a:solidFill>
                          <a:srgbClr val="FFFFFF"/>
                        </a:solidFill>
                        <a:ln w="9525" cap="flat" cmpd="sng">
                          <a:solidFill>
                            <a:srgbClr val="000000"/>
                          </a:solidFill>
                          <a:prstDash val="sysDot"/>
                          <a:headEnd type="none" w="med" len="med"/>
                          <a:tailEnd type="none" w="med" len="med"/>
                        </a:ln>
                      </wps:spPr>
                      <wps:txbx>
                        <w:txbxContent>
                          <w:p>
                            <w:pPr>
                              <w:jc w:val="center"/>
                              <w:rPr>
                                <w:color w:val="0000FF"/>
                              </w:rPr>
                            </w:pPr>
                            <w:r>
                              <w:rPr>
                                <w:rFonts w:hint="eastAsia"/>
                                <w:color w:val="0000FF"/>
                              </w:rPr>
                              <w:t>（</w:t>
                            </w:r>
                            <w:r>
                              <w:rPr>
                                <w:color w:val="0000FF"/>
                              </w:rPr>
                              <w:t>身份证</w:t>
                            </w:r>
                            <w:r>
                              <w:rPr>
                                <w:rFonts w:hint="eastAsia"/>
                                <w:color w:val="0000FF"/>
                              </w:rPr>
                              <w:t>复印件）</w:t>
                            </w:r>
                          </w:p>
                        </w:txbxContent>
                      </wps:txbx>
                      <wps:bodyPr upright="1"/>
                    </wps:wsp>
                  </a:graphicData>
                </a:graphic>
              </wp:anchor>
            </w:drawing>
          </mc:Choice>
          <mc:Fallback>
            <w:pict>
              <v:roundrect id="圆角矩形 14" o:spid="_x0000_s1026" o:spt="2" style="position:absolute;left:0pt;margin-left:0pt;margin-top:0pt;height:166.25pt;width:334.15pt;mso-position-horizontal-relative:char;mso-position-vertical-relative:line;z-index:251661312;mso-width-relative:page;mso-height-relative:page;" fillcolor="#FFFFFF" filled="t" stroked="t" coordsize="21600,21600" arcsize="0.166666666666667" o:gfxdata="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KHOs1gAAAAUBAAAPAAAAAAAAAAEAIAAAACIA&#10;AABkcnMvZG93bnJldi54bWxQSwECFAAUAAAACACHTuJACLOhmQsCAAALBAAADgAAAAAAAAABACAA&#10;AAAlAQAAZHJzL2Uyb0RvYy54bWxQSwUGAAAAAAYABgBZAQAAogUAAAAA&#10;">
                <v:fill on="t" focussize="0,0"/>
                <v:stroke color="#000000" joinstyle="round" dashstyle="1 1"/>
                <v:imagedata o:title=""/>
                <o:lock v:ext="edit" aspectratio="f"/>
                <v:textbox>
                  <w:txbxContent>
                    <w:p>
                      <w:pPr>
                        <w:jc w:val="center"/>
                        <w:rPr>
                          <w:color w:val="0000FF"/>
                        </w:rPr>
                      </w:pPr>
                      <w:r>
                        <w:rPr>
                          <w:rFonts w:hint="eastAsia"/>
                          <w:color w:val="0000FF"/>
                        </w:rPr>
                        <w:t>（</w:t>
                      </w:r>
                      <w:r>
                        <w:rPr>
                          <w:color w:val="0000FF"/>
                        </w:rPr>
                        <w:t>身份证</w:t>
                      </w:r>
                      <w:r>
                        <w:rPr>
                          <w:rFonts w:hint="eastAsia"/>
                          <w:color w:val="0000FF"/>
                        </w:rPr>
                        <w:t>复印件）</w:t>
                      </w:r>
                    </w:p>
                  </w:txbxContent>
                </v:textbox>
              </v:roundrect>
            </w:pict>
          </mc:Fallback>
        </mc:AlternateContent>
      </w:r>
      <w:r>
        <w:rPr>
          <w:rFonts w:asciiTheme="minorEastAsia" w:hAnsiTheme="minorEastAsia" w:eastAsiaTheme="minorEastAsia"/>
          <w:color w:val="auto"/>
          <w:szCs w:val="21"/>
          <w:highlight w:val="none"/>
        </w:rPr>
        <mc:AlternateContent>
          <mc:Choice Requires="wps">
            <w:drawing>
              <wp:inline distT="0" distB="0" distL="114300" distR="114300">
                <wp:extent cx="4244340" cy="2108835"/>
                <wp:effectExtent l="0" t="0" r="0" b="0"/>
                <wp:docPr id="7"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44340" cy="2108835"/>
                        </a:xfrm>
                        <a:prstGeom prst="rect">
                          <a:avLst/>
                        </a:prstGeom>
                        <a:noFill/>
                        <a:ln>
                          <a:noFill/>
                        </a:ln>
                      </wps:spPr>
                      <wps:txbx>
                        <w:txbxContent>
                          <w:p>
                            <w:pPr>
                              <w:jc w:val="center"/>
                            </w:pPr>
                          </w:p>
                        </w:txbxContent>
                      </wps:txbx>
                      <wps:bodyPr upright="1"/>
                    </wps:wsp>
                  </a:graphicData>
                </a:graphic>
              </wp:inline>
            </w:drawing>
          </mc:Choice>
          <mc:Fallback>
            <w:pict>
              <v:rect id="矩形 12" o:spid="_x0000_s1026" o:spt="1" style="height:166.05pt;width:334.2pt;" filled="f" stroked="f" coordsize="21600,21600" o:gfxdata="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qCoBB1wAAAAUBAAAPAAAAAAAAAAEA&#10;IAAAACIAAABkcnMvZG93bnJldi54bWxQSwECFAAUAAAACACHTuJAqm5c9p4BAAAhAwAADgAAAAAA&#10;AAABACAAAAAmAQAAZHJzL2Uyb0RvYy54bWxQSwUGAAAAAAYABgBZAQAANgUAAAAA&#10;">
                <v:fill on="f" focussize="0,0"/>
                <v:stroke on="f"/>
                <v:imagedata o:title=""/>
                <o:lock v:ext="edit" aspectratio="t"/>
                <v:textbox>
                  <w:txbxContent>
                    <w:p>
                      <w:pPr>
                        <w:jc w:val="center"/>
                      </w:pPr>
                    </w:p>
                  </w:txbxContent>
                </v:textbox>
                <w10:wrap type="none"/>
                <w10:anchorlock/>
              </v:rect>
            </w:pict>
          </mc:Fallback>
        </mc:AlternateContent>
      </w: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                谈判申请人：（盖单位章）</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sectPr>
          <w:footerReference r:id="rId12" w:type="first"/>
          <w:footerReference r:id="rId11" w:type="default"/>
          <w:pgSz w:w="11906" w:h="16838"/>
          <w:pgMar w:top="1440" w:right="1800" w:bottom="1440" w:left="1800" w:header="510" w:footer="680" w:gutter="0"/>
          <w:cols w:space="720" w:num="1"/>
          <w:titlePg/>
          <w:docGrid w:type="linesAndChars" w:linePitch="312" w:charSpace="0"/>
        </w:sectPr>
      </w:pPr>
      <w:r>
        <w:rPr>
          <w:rFonts w:asciiTheme="minorEastAsia" w:hAnsiTheme="minorEastAsia" w:eastAsiaTheme="minorEastAsia"/>
          <w:color w:val="auto"/>
          <w:szCs w:val="21"/>
          <w:highlight w:val="none"/>
        </w:rPr>
        <w:t xml:space="preserve">                日 期：年</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月</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日</w:t>
      </w:r>
    </w:p>
    <w:p>
      <w:pPr>
        <w:adjustRightInd w:val="0"/>
        <w:spacing w:line="360" w:lineRule="auto"/>
        <w:jc w:val="center"/>
        <w:outlineLvl w:val="1"/>
        <w:rPr>
          <w:rFonts w:asciiTheme="minorEastAsia" w:hAnsiTheme="minorEastAsia" w:eastAsiaTheme="minorEastAsia"/>
          <w:b/>
          <w:color w:val="auto"/>
          <w:sz w:val="28"/>
          <w:szCs w:val="28"/>
          <w:highlight w:val="none"/>
        </w:rPr>
      </w:pPr>
      <w:bookmarkStart w:id="593" w:name="_Toc130564353"/>
      <w:bookmarkStart w:id="594" w:name="_Toc130564920"/>
      <w:bookmarkStart w:id="595" w:name="_Toc425405510"/>
      <w:bookmarkStart w:id="596" w:name="_Toc130562777"/>
      <w:bookmarkStart w:id="597" w:name="_Toc299972691"/>
      <w:bookmarkStart w:id="598" w:name="_Toc23284"/>
      <w:bookmarkStart w:id="599" w:name="_Toc398574698"/>
      <w:bookmarkStart w:id="600" w:name="_Toc519163244"/>
      <w:bookmarkStart w:id="601" w:name="_Toc490599278"/>
      <w:bookmarkStart w:id="602" w:name="_Toc436512333"/>
      <w:bookmarkStart w:id="603" w:name="_Toc139987952"/>
      <w:bookmarkStart w:id="604" w:name="_Toc107864042"/>
      <w:r>
        <w:rPr>
          <w:rFonts w:hint="eastAsia" w:asciiTheme="minorEastAsia" w:hAnsiTheme="minorEastAsia" w:eastAsiaTheme="minorEastAsia"/>
          <w:b/>
          <w:color w:val="auto"/>
          <w:sz w:val="28"/>
          <w:szCs w:val="28"/>
          <w:highlight w:val="none"/>
          <w:lang w:val="en-US" w:eastAsia="zh-CN"/>
        </w:rPr>
        <w:t>（四）</w:t>
      </w:r>
      <w:r>
        <w:rPr>
          <w:rFonts w:asciiTheme="minorEastAsia" w:hAnsiTheme="minorEastAsia" w:eastAsiaTheme="minorEastAsia"/>
          <w:b/>
          <w:color w:val="auto"/>
          <w:sz w:val="28"/>
          <w:szCs w:val="28"/>
          <w:highlight w:val="none"/>
        </w:rPr>
        <w:t>法定代表人授权</w:t>
      </w:r>
      <w:r>
        <w:rPr>
          <w:rFonts w:hint="eastAsia" w:asciiTheme="minorEastAsia" w:hAnsiTheme="minorEastAsia" w:eastAsiaTheme="minorEastAsia"/>
          <w:b/>
          <w:color w:val="auto"/>
          <w:sz w:val="28"/>
          <w:szCs w:val="28"/>
          <w:highlight w:val="none"/>
        </w:rPr>
        <w:t>委托</w:t>
      </w:r>
      <w:r>
        <w:rPr>
          <w:rFonts w:asciiTheme="minorEastAsia" w:hAnsiTheme="minorEastAsia" w:eastAsiaTheme="minorEastAsia"/>
          <w:b/>
          <w:color w:val="auto"/>
          <w:sz w:val="28"/>
          <w:szCs w:val="28"/>
          <w:highlight w:val="none"/>
        </w:rPr>
        <w:t>书</w:t>
      </w:r>
      <w:bookmarkEnd w:id="593"/>
      <w:bookmarkEnd w:id="594"/>
      <w:bookmarkEnd w:id="595"/>
      <w:bookmarkEnd w:id="596"/>
      <w:bookmarkEnd w:id="597"/>
      <w:bookmarkEnd w:id="598"/>
      <w:bookmarkEnd w:id="599"/>
      <w:bookmarkEnd w:id="600"/>
      <w:bookmarkEnd w:id="601"/>
      <w:bookmarkEnd w:id="602"/>
      <w:bookmarkEnd w:id="603"/>
      <w:bookmarkEnd w:id="604"/>
    </w:p>
    <w:p>
      <w:pPr>
        <w:adjustRightInd w:val="0"/>
        <w:spacing w:line="360" w:lineRule="auto"/>
        <w:jc w:val="center"/>
        <w:rPr>
          <w:rFonts w:asciiTheme="minorEastAsia" w:hAnsiTheme="minorEastAsia" w:eastAsiaTheme="minorEastAsia"/>
          <w:b/>
          <w:color w:val="auto"/>
          <w:sz w:val="28"/>
          <w:szCs w:val="28"/>
          <w:highlight w:val="none"/>
        </w:rPr>
      </w:pPr>
    </w:p>
    <w:p>
      <w:pPr>
        <w:topLinePunct/>
        <w:adjustRightInd w:val="0"/>
        <w:snapToGrid w:val="0"/>
        <w:spacing w:line="360" w:lineRule="auto"/>
        <w:ind w:firstLine="525" w:firstLineChars="25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本人</w:t>
      </w:r>
      <w:r>
        <w:rPr>
          <w:rFonts w:asciiTheme="minorEastAsia" w:hAnsiTheme="minorEastAsia" w:eastAsiaTheme="minorEastAsia"/>
          <w:color w:val="auto"/>
          <w:szCs w:val="21"/>
          <w:highlight w:val="none"/>
          <w:u w:val="single"/>
        </w:rPr>
        <w:t>（姓名）</w:t>
      </w:r>
      <w:r>
        <w:rPr>
          <w:rFonts w:asciiTheme="minorEastAsia" w:hAnsiTheme="minorEastAsia" w:eastAsiaTheme="minorEastAsia"/>
          <w:color w:val="auto"/>
          <w:szCs w:val="21"/>
          <w:highlight w:val="none"/>
        </w:rPr>
        <w:t>系</w:t>
      </w:r>
      <w:r>
        <w:rPr>
          <w:rFonts w:asciiTheme="minorEastAsia" w:hAnsiTheme="minorEastAsia" w:eastAsiaTheme="minorEastAsia"/>
          <w:color w:val="auto"/>
          <w:szCs w:val="21"/>
          <w:highlight w:val="none"/>
          <w:u w:val="single"/>
        </w:rPr>
        <w:t xml:space="preserve">    （谈判申请人名称）</w:t>
      </w:r>
      <w:r>
        <w:rPr>
          <w:rFonts w:asciiTheme="minorEastAsia" w:hAnsiTheme="minorEastAsia" w:eastAsiaTheme="minorEastAsia"/>
          <w:color w:val="auto"/>
          <w:szCs w:val="21"/>
          <w:highlight w:val="none"/>
        </w:rPr>
        <w:t>的法定代表人，现委托</w:t>
      </w:r>
      <w:r>
        <w:rPr>
          <w:rFonts w:asciiTheme="minorEastAsia" w:hAnsiTheme="minorEastAsia" w:eastAsiaTheme="minorEastAsia"/>
          <w:color w:val="auto"/>
          <w:szCs w:val="21"/>
          <w:highlight w:val="none"/>
          <w:u w:val="single"/>
        </w:rPr>
        <w:t xml:space="preserve">    （姓名）  </w:t>
      </w:r>
      <w:r>
        <w:rPr>
          <w:rFonts w:asciiTheme="minorEastAsia" w:hAnsiTheme="minorEastAsia" w:eastAsiaTheme="minorEastAsia"/>
          <w:color w:val="auto"/>
          <w:szCs w:val="21"/>
          <w:highlight w:val="none"/>
        </w:rPr>
        <w:t>为我方代理人。代理人根据授权，以我方名义签署、澄清、说明、补正、递交、撤回、修改</w:t>
      </w:r>
      <w:r>
        <w:rPr>
          <w:rFonts w:asciiTheme="minorEastAsia" w:hAnsiTheme="minorEastAsia" w:eastAsiaTheme="minorEastAsia"/>
          <w:color w:val="auto"/>
          <w:szCs w:val="21"/>
          <w:highlight w:val="none"/>
          <w:u w:val="single"/>
        </w:rPr>
        <w:t xml:space="preserve">      （项目名称）      </w:t>
      </w:r>
      <w:r>
        <w:rPr>
          <w:rFonts w:asciiTheme="minorEastAsia" w:hAnsiTheme="minorEastAsia" w:eastAsiaTheme="minorEastAsia"/>
          <w:color w:val="auto"/>
          <w:szCs w:val="21"/>
          <w:highlight w:val="none"/>
        </w:rPr>
        <w:t>响应文件、签订合同和处理有关事宜，其法律后果由我方承担。</w:t>
      </w: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  委托期限：</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w:t>
      </w: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代理人无转委托权。</w:t>
      </w: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附：授权委托代理人身份证（复印件）</w:t>
      </w: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highlight w:val="none"/>
        </w:rPr>
        <mc:AlternateContent>
          <mc:Choice Requires="wps">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4261485" cy="1710055"/>
                <wp:effectExtent l="4445" t="4445" r="20320" b="19050"/>
                <wp:wrapNone/>
                <wp:docPr id="10" name="圆角矩形 13"/>
                <wp:cNvGraphicFramePr/>
                <a:graphic xmlns:a="http://schemas.openxmlformats.org/drawingml/2006/main">
                  <a:graphicData uri="http://schemas.microsoft.com/office/word/2010/wordprocessingShape">
                    <wps:wsp>
                      <wps:cNvSpPr/>
                      <wps:spPr>
                        <a:xfrm>
                          <a:off x="0" y="0"/>
                          <a:ext cx="4261485" cy="1710055"/>
                        </a:xfrm>
                        <a:prstGeom prst="roundRect">
                          <a:avLst>
                            <a:gd name="adj" fmla="val 16667"/>
                          </a:avLst>
                        </a:prstGeom>
                        <a:solidFill>
                          <a:srgbClr val="FFFFFF"/>
                        </a:solidFill>
                        <a:ln w="9525" cap="flat" cmpd="sng">
                          <a:solidFill>
                            <a:srgbClr val="000000"/>
                          </a:solidFill>
                          <a:prstDash val="sysDot"/>
                          <a:headEnd type="none" w="med" len="med"/>
                          <a:tailEnd type="none" w="med" len="med"/>
                        </a:ln>
                      </wps:spPr>
                      <wps:txbx>
                        <w:txbxContent>
                          <w:p>
                            <w:pPr>
                              <w:jc w:val="center"/>
                              <w:rPr>
                                <w:color w:val="0000FF"/>
                              </w:rPr>
                            </w:pPr>
                            <w:r>
                              <w:rPr>
                                <w:rFonts w:hint="eastAsia"/>
                                <w:color w:val="0000FF"/>
                              </w:rPr>
                              <w:t>（</w:t>
                            </w:r>
                            <w:r>
                              <w:rPr>
                                <w:color w:val="0000FF"/>
                              </w:rPr>
                              <w:t>身份证</w:t>
                            </w:r>
                            <w:r>
                              <w:rPr>
                                <w:rFonts w:hint="eastAsia"/>
                                <w:color w:val="0000FF"/>
                              </w:rPr>
                              <w:t>复印件）</w:t>
                            </w:r>
                          </w:p>
                        </w:txbxContent>
                      </wps:txbx>
                      <wps:bodyPr upright="1"/>
                    </wps:wsp>
                  </a:graphicData>
                </a:graphic>
              </wp:anchor>
            </w:drawing>
          </mc:Choice>
          <mc:Fallback>
            <w:pict>
              <v:roundrect id="圆角矩形 13" o:spid="_x0000_s1026" o:spt="2" style="position:absolute;left:0pt;margin-left:0pt;margin-top:0pt;height:134.65pt;width:335.55pt;mso-position-horizontal-relative:char;mso-position-vertical-relative:line;z-index:251662336;mso-width-relative:page;mso-height-relative:page;" fillcolor="#FFFFFF" filled="t" stroked="t" coordsize="21600,21600" arcsize="0.166666666666667" o:gfxdata="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F4Ga9YAAAAFAQAADwAAAAAAAAABACAAAAAi&#10;AAAAZHJzL2Rvd25yZXYueG1sUEsBAhQAFAAAAAgAh07iQC+MwU0MAgAADAQAAA4AAAAAAAAAAQAg&#10;AAAAJQEAAGRycy9lMm9Eb2MueG1sUEsFBgAAAAAGAAYAWQEAAKMFAAAAAA==&#10;">
                <v:fill on="t" focussize="0,0"/>
                <v:stroke color="#000000" joinstyle="round" dashstyle="1 1"/>
                <v:imagedata o:title=""/>
                <o:lock v:ext="edit" aspectratio="f"/>
                <v:textbox>
                  <w:txbxContent>
                    <w:p>
                      <w:pPr>
                        <w:jc w:val="center"/>
                        <w:rPr>
                          <w:color w:val="0000FF"/>
                        </w:rPr>
                      </w:pPr>
                      <w:r>
                        <w:rPr>
                          <w:rFonts w:hint="eastAsia"/>
                          <w:color w:val="0000FF"/>
                        </w:rPr>
                        <w:t>（</w:t>
                      </w:r>
                      <w:r>
                        <w:rPr>
                          <w:color w:val="0000FF"/>
                        </w:rPr>
                        <w:t>身份证</w:t>
                      </w:r>
                      <w:r>
                        <w:rPr>
                          <w:rFonts w:hint="eastAsia"/>
                          <w:color w:val="0000FF"/>
                        </w:rPr>
                        <w:t>复印件）</w:t>
                      </w:r>
                    </w:p>
                  </w:txbxContent>
                </v:textbox>
              </v:roundrect>
            </w:pict>
          </mc:Fallback>
        </mc:AlternateContent>
      </w:r>
      <w:r>
        <w:rPr>
          <w:rFonts w:asciiTheme="minorEastAsia" w:hAnsiTheme="minorEastAsia" w:eastAsiaTheme="minorEastAsia"/>
          <w:color w:val="auto"/>
          <w:szCs w:val="21"/>
          <w:highlight w:val="none"/>
        </w:rPr>
        <mc:AlternateContent>
          <mc:Choice Requires="wps">
            <w:drawing>
              <wp:inline distT="0" distB="0" distL="114300" distR="114300">
                <wp:extent cx="4258310" cy="1712595"/>
                <wp:effectExtent l="0" t="0" r="0" b="0"/>
                <wp:docPr id="8"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58310" cy="1712595"/>
                        </a:xfrm>
                        <a:prstGeom prst="rect">
                          <a:avLst/>
                        </a:prstGeom>
                        <a:noFill/>
                        <a:ln>
                          <a:noFill/>
                        </a:ln>
                      </wps:spPr>
                      <wps:txbx>
                        <w:txbxContent>
                          <w:p>
                            <w:pPr>
                              <w:jc w:val="center"/>
                            </w:pPr>
                          </w:p>
                        </w:txbxContent>
                      </wps:txbx>
                      <wps:bodyPr upright="1"/>
                    </wps:wsp>
                  </a:graphicData>
                </a:graphic>
              </wp:inline>
            </w:drawing>
          </mc:Choice>
          <mc:Fallback>
            <w:pict>
              <v:rect id="矩形 11" o:spid="_x0000_s1026" o:spt="1" style="height:134.85pt;width:335.3pt;" filled="f" stroked="f" coordsize="21600,21600" o:gfxdata="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Sl8uXXAAAABQEAAA8AAAAAAAAAAQAg&#10;AAAAIgAAAGRycy9kb3ducmV2LnhtbFBLAQIUABQAAAAIAIdO4kD5sZpMnQEAACEDAAAOAAAAAAAA&#10;AAEAIAAAACYBAABkcnMvZTJvRG9jLnhtbFBLBQYAAAAABgAGAFkBAAA1BQAAAAA=&#10;">
                <v:fill on="f" focussize="0,0"/>
                <v:stroke on="f"/>
                <v:imagedata o:title=""/>
                <o:lock v:ext="edit" aspectratio="t"/>
                <v:textbox>
                  <w:txbxContent>
                    <w:p>
                      <w:pPr>
                        <w:jc w:val="center"/>
                      </w:pPr>
                    </w:p>
                  </w:txbxContent>
                </v:textbox>
                <w10:wrap type="none"/>
                <w10:anchorlock/>
              </v:rect>
            </w:pict>
          </mc:Fallback>
        </mc:AlternateConten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谈判申请人</w:t>
      </w:r>
      <w:r>
        <w:rPr>
          <w:rFonts w:asciiTheme="minorEastAsia" w:hAnsiTheme="minorEastAsia" w:eastAsiaTheme="minorEastAsia"/>
          <w:color w:val="auto"/>
          <w:szCs w:val="21"/>
          <w:highlight w:val="none"/>
        </w:rPr>
        <w:t>：（盖单位章）</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法定代表人：（签字或盖章）</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身份证号码：</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委托代理人：（签字或盖章） </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身份证号码：</w:t>
      </w:r>
    </w:p>
    <w:p>
      <w:pPr>
        <w:adjustRightInd w:val="0"/>
        <w:snapToGrid w:val="0"/>
        <w:spacing w:line="360" w:lineRule="auto"/>
        <w:rPr>
          <w:rFonts w:asciiTheme="minorEastAsia" w:hAnsiTheme="minorEastAsia" w:eastAsiaTheme="minorEastAsia"/>
          <w:color w:val="auto"/>
          <w:szCs w:val="21"/>
          <w:highlight w:val="none"/>
        </w:rPr>
      </w:pPr>
    </w:p>
    <w:p>
      <w:pPr>
        <w:adjustRightInd w:val="0"/>
        <w:snapToGrid w:val="0"/>
        <w:spacing w:line="360" w:lineRule="auto"/>
        <w:rPr>
          <w:rFonts w:asciiTheme="minorEastAsia" w:hAnsiTheme="minorEastAsia" w:eastAsiaTheme="minorEastAsia"/>
          <w:color w:val="auto"/>
          <w:szCs w:val="21"/>
          <w:highlight w:val="none"/>
        </w:rPr>
        <w:sectPr>
          <w:pgSz w:w="11906" w:h="16838"/>
          <w:pgMar w:top="1440" w:right="1800" w:bottom="1440" w:left="1800" w:header="510" w:footer="680" w:gutter="0"/>
          <w:cols w:space="720" w:num="1"/>
          <w:titlePg/>
          <w:docGrid w:type="linesAndChars" w:linePitch="312" w:charSpace="0"/>
        </w:sectPr>
      </w:pPr>
      <w:r>
        <w:rPr>
          <w:rFonts w:asciiTheme="minorEastAsia" w:hAnsiTheme="minorEastAsia" w:eastAsiaTheme="minorEastAsia"/>
          <w:color w:val="auto"/>
          <w:szCs w:val="21"/>
          <w:highlight w:val="none"/>
        </w:rPr>
        <w:t>日   期：</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年</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月</w:t>
      </w:r>
      <w:r>
        <w:rPr>
          <w:rFonts w:hint="eastAsia"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rPr>
        <w:t>日</w:t>
      </w:r>
    </w:p>
    <w:p>
      <w:pPr>
        <w:ind w:firstLine="643"/>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（五）</w:t>
      </w:r>
      <w:r>
        <w:rPr>
          <w:rFonts w:hint="eastAsia" w:ascii="黑体" w:hAnsi="黑体" w:eastAsia="黑体" w:cs="黑体"/>
          <w:color w:val="auto"/>
          <w:sz w:val="32"/>
          <w:szCs w:val="32"/>
          <w:highlight w:val="none"/>
        </w:rPr>
        <w:t>廉洁谈判保证书</w:t>
      </w:r>
    </w:p>
    <w:p>
      <w:pPr>
        <w:autoSpaceDE w:val="0"/>
        <w:autoSpaceDN w:val="0"/>
        <w:adjustRightInd w:val="0"/>
        <w:spacing w:line="360" w:lineRule="auto"/>
        <w:jc w:val="left"/>
        <w:rPr>
          <w:color w:val="auto"/>
          <w:kern w:val="0"/>
          <w:sz w:val="24"/>
          <w:szCs w:val="24"/>
          <w:highlight w:val="none"/>
        </w:rPr>
      </w:pPr>
      <w:r>
        <w:rPr>
          <w:rFonts w:hint="eastAsia"/>
          <w:color w:val="auto"/>
          <w:kern w:val="0"/>
          <w:sz w:val="24"/>
          <w:szCs w:val="24"/>
          <w:highlight w:val="none"/>
        </w:rPr>
        <w:t>致：</w:t>
      </w:r>
      <w:r>
        <w:rPr>
          <w:rFonts w:hint="eastAsia"/>
          <w:color w:val="auto"/>
          <w:kern w:val="0"/>
          <w:sz w:val="24"/>
          <w:szCs w:val="24"/>
          <w:highlight w:val="none"/>
          <w:u w:val="single"/>
        </w:rPr>
        <w:t>个旧云能投绿色能源开发有限公司</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为了积极配合贵单位进行的</w:t>
      </w:r>
      <w:r>
        <w:rPr>
          <w:rFonts w:hint="eastAsia"/>
          <w:color w:val="auto"/>
          <w:kern w:val="0"/>
          <w:sz w:val="24"/>
          <w:szCs w:val="24"/>
          <w:highlight w:val="none"/>
          <w:u w:val="single"/>
        </w:rPr>
        <w:t xml:space="preserve"> </w:t>
      </w:r>
      <w:r>
        <w:rPr>
          <w:rFonts w:hint="eastAsia" w:ascii="Times New Roman" w:hAnsi="Times New Roman" w:cs="Times New Roman"/>
          <w:color w:val="auto"/>
          <w:kern w:val="0"/>
          <w:sz w:val="24"/>
          <w:szCs w:val="24"/>
          <w:highlight w:val="none"/>
          <w:u w:val="single"/>
        </w:rPr>
        <w:t xml:space="preserve"> 背阴山尾矿库分布式光伏发电项目送出</w:t>
      </w:r>
      <w:r>
        <w:rPr>
          <w:rFonts w:hint="eastAsia" w:cs="Times New Roman"/>
          <w:color w:val="auto"/>
          <w:kern w:val="0"/>
          <w:sz w:val="24"/>
          <w:szCs w:val="24"/>
          <w:highlight w:val="none"/>
          <w:u w:val="single"/>
          <w:lang w:eastAsia="zh-CN"/>
        </w:rPr>
        <w:t>线路设计施工总承包工程</w:t>
      </w:r>
      <w:r>
        <w:rPr>
          <w:rFonts w:hint="eastAsia"/>
          <w:color w:val="auto"/>
          <w:kern w:val="0"/>
          <w:sz w:val="24"/>
          <w:szCs w:val="24"/>
          <w:highlight w:val="none"/>
          <w:u w:val="single"/>
        </w:rPr>
        <w:t xml:space="preserve"> </w:t>
      </w:r>
      <w:r>
        <w:rPr>
          <w:rFonts w:hint="eastAsia"/>
          <w:color w:val="auto"/>
          <w:kern w:val="0"/>
          <w:sz w:val="24"/>
          <w:szCs w:val="24"/>
          <w:highlight w:val="none"/>
        </w:rPr>
        <w:t>的谈判工作，有效遏制不公平竞争和违规违纪问题的发生，确保谈判采购工作的公平、公正、公开，我们保证认真贯彻《中华人民共和国招标投标法》等相关法律法规的规定以及有关廉洁要求，特向贵单位承诺如下事项：</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1、自觉遵守国家法律法规及有关廉政建设制度。</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2、主动了解采购人招投标纪律，积极配合采购人执行招投标廉政建设的有关规定。</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3、不使用不正当手段进行竞争。</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4、按照竞争性谈判文件规定的方式进行报价，不隐瞒本单位资质的真实情况，投标资质符合规定。</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5、不以任何方式向采购人员赠送礼品、礼金及有价证券；不宴请采购人的任何人参加高档娱乐消费、旅游、考察、参观等活动；不以任何形式报销采购人的任何人以及亲友的各种票据及费用；不进行可能影响招投标公平、公正的任何活动。</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6、不向采购人涉及招标的部门及个人购置或提供通讯工具、交通工具和高档办公用品等。</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7、不向采购人员的配偶、子女分包此次采购项目。</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8、不向采购人涉及采购的部门及个人支付好处费、介绍费。</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9、一旦发现相关人员在采购过程中有索要财物等不廉洁行为，坚决予以抵制，并及时向相关部门举报。</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10、我们若违反上述承诺，愿接受取消投标资格及其他任何形式的处理。</w:t>
      </w:r>
    </w:p>
    <w:p>
      <w:pPr>
        <w:autoSpaceDE w:val="0"/>
        <w:autoSpaceDN w:val="0"/>
        <w:adjustRightInd w:val="0"/>
        <w:spacing w:line="360" w:lineRule="auto"/>
        <w:ind w:firstLine="480" w:firstLineChars="200"/>
        <w:jc w:val="left"/>
        <w:rPr>
          <w:color w:val="auto"/>
          <w:kern w:val="0"/>
          <w:sz w:val="24"/>
          <w:szCs w:val="24"/>
          <w:highlight w:val="none"/>
        </w:rPr>
      </w:pPr>
    </w:p>
    <w:p>
      <w:pPr>
        <w:autoSpaceDE w:val="0"/>
        <w:autoSpaceDN w:val="0"/>
        <w:adjustRightInd w:val="0"/>
        <w:spacing w:line="360" w:lineRule="auto"/>
        <w:ind w:firstLine="480" w:firstLineChars="200"/>
        <w:jc w:val="left"/>
        <w:rPr>
          <w:color w:val="auto"/>
          <w:kern w:val="0"/>
          <w:sz w:val="24"/>
          <w:szCs w:val="24"/>
          <w:highlight w:val="none"/>
        </w:rPr>
      </w:pP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谈判申请单位：                     （盖章）</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法定代表人（或委托代理人）：               （签字或盖章）</w:t>
      </w:r>
    </w:p>
    <w:p>
      <w:pPr>
        <w:autoSpaceDE w:val="0"/>
        <w:autoSpaceDN w:val="0"/>
        <w:adjustRightInd w:val="0"/>
        <w:spacing w:line="360" w:lineRule="auto"/>
        <w:ind w:firstLine="480" w:firstLineChars="200"/>
        <w:jc w:val="left"/>
        <w:rPr>
          <w:rFonts w:hint="eastAsia"/>
          <w:color w:val="auto"/>
          <w:kern w:val="0"/>
          <w:sz w:val="24"/>
          <w:szCs w:val="24"/>
          <w:highlight w:val="none"/>
          <w:lang w:val="en-US" w:eastAsia="zh-CN"/>
        </w:rPr>
        <w:sectPr>
          <w:footerReference r:id="rId13" w:type="default"/>
          <w:pgSz w:w="11906" w:h="16838"/>
          <w:pgMar w:top="1440" w:right="1800" w:bottom="1440" w:left="1800" w:header="510" w:footer="680" w:gutter="0"/>
          <w:cols w:space="720" w:num="1"/>
          <w:titlePg/>
          <w:docGrid w:type="linesAndChars" w:linePitch="312" w:charSpace="0"/>
        </w:sectPr>
      </w:pPr>
      <w:r>
        <w:rPr>
          <w:rFonts w:hint="eastAsia"/>
          <w:color w:val="auto"/>
          <w:kern w:val="0"/>
          <w:sz w:val="24"/>
          <w:szCs w:val="24"/>
          <w:highlight w:val="none"/>
        </w:rPr>
        <w:t>日期：</w:t>
      </w:r>
      <w:r>
        <w:rPr>
          <w:rFonts w:hint="eastAsia"/>
          <w:color w:val="auto"/>
          <w:kern w:val="0"/>
          <w:sz w:val="24"/>
          <w:szCs w:val="24"/>
          <w:highlight w:val="none"/>
          <w:lang w:val="en-US" w:eastAsia="zh-CN"/>
        </w:rPr>
        <w:t xml:space="preserve">       </w:t>
      </w:r>
      <w:r>
        <w:rPr>
          <w:rFonts w:hint="eastAsia"/>
          <w:color w:val="auto"/>
          <w:kern w:val="0"/>
          <w:sz w:val="24"/>
          <w:szCs w:val="24"/>
          <w:highlight w:val="none"/>
        </w:rPr>
        <w:t>年  月</w:t>
      </w:r>
      <w:r>
        <w:rPr>
          <w:rFonts w:hint="eastAsia"/>
          <w:color w:val="auto"/>
          <w:kern w:val="0"/>
          <w:sz w:val="24"/>
          <w:szCs w:val="24"/>
          <w:highlight w:val="none"/>
          <w:lang w:val="en-US" w:eastAsia="zh-CN"/>
        </w:rPr>
        <w:t xml:space="preserve">   日</w:t>
      </w:r>
    </w:p>
    <w:p>
      <w:pPr>
        <w:pStyle w:val="4"/>
        <w:ind w:firstLine="643"/>
        <w:rPr>
          <w:color w:val="auto"/>
          <w:highlight w:val="none"/>
        </w:rPr>
      </w:pPr>
      <w:bookmarkStart w:id="605" w:name="_Toc55310073"/>
      <w:bookmarkStart w:id="606" w:name="_Toc26244"/>
      <w:bookmarkStart w:id="607" w:name="_Toc55229803"/>
      <w:bookmarkStart w:id="608" w:name="_Toc439554167"/>
      <w:bookmarkStart w:id="609" w:name="_Toc28869"/>
      <w:bookmarkStart w:id="610" w:name="_Toc30223"/>
      <w:bookmarkStart w:id="611" w:name="_Toc5259"/>
      <w:bookmarkStart w:id="612" w:name="_Toc55303760"/>
      <w:bookmarkStart w:id="613" w:name="_Toc435803793"/>
      <w:bookmarkStart w:id="614" w:name="_Toc440110297"/>
      <w:bookmarkStart w:id="615" w:name="_Toc130564355"/>
      <w:bookmarkStart w:id="616" w:name="_Toc139987954"/>
      <w:bookmarkStart w:id="617" w:name="_Toc107864044"/>
      <w:bookmarkStart w:id="618" w:name="_Toc130562779"/>
      <w:bookmarkStart w:id="619" w:name="_Toc130564922"/>
      <w:r>
        <w:rPr>
          <w:rFonts w:hint="eastAsia"/>
          <w:color w:val="auto"/>
          <w:highlight w:val="none"/>
          <w:lang w:val="en-US" w:eastAsia="zh-CN"/>
        </w:rPr>
        <w:t>（六）</w:t>
      </w:r>
      <w:r>
        <w:rPr>
          <w:rFonts w:hint="eastAsia"/>
          <w:color w:val="auto"/>
          <w:highlight w:val="none"/>
        </w:rPr>
        <w:t>商务部份其它资料</w:t>
      </w:r>
      <w:bookmarkEnd w:id="605"/>
      <w:bookmarkEnd w:id="606"/>
      <w:bookmarkEnd w:id="607"/>
      <w:bookmarkEnd w:id="608"/>
      <w:bookmarkEnd w:id="609"/>
      <w:bookmarkEnd w:id="610"/>
      <w:bookmarkEnd w:id="611"/>
      <w:bookmarkEnd w:id="612"/>
      <w:bookmarkEnd w:id="613"/>
      <w:bookmarkEnd w:id="614"/>
    </w:p>
    <w:p>
      <w:pPr>
        <w:autoSpaceDE w:val="0"/>
        <w:autoSpaceDN w:val="0"/>
        <w:adjustRightInd w:val="0"/>
        <w:spacing w:line="360" w:lineRule="auto"/>
        <w:ind w:firstLine="420" w:firstLineChars="200"/>
        <w:jc w:val="center"/>
        <w:rPr>
          <w:color w:val="auto"/>
          <w:kern w:val="0"/>
          <w:sz w:val="24"/>
          <w:szCs w:val="24"/>
          <w:highlight w:val="none"/>
        </w:rPr>
      </w:pPr>
      <w:bookmarkStart w:id="620" w:name="_Toc367696557"/>
      <w:r>
        <w:rPr>
          <w:color w:val="auto"/>
          <w:highlight w:val="none"/>
        </w:rPr>
        <w:drawing>
          <wp:anchor distT="0" distB="0" distL="114300" distR="114300" simplePos="0" relativeHeight="251663360" behindDoc="0" locked="0" layoutInCell="1" allowOverlap="1">
            <wp:simplePos x="0" y="0"/>
            <wp:positionH relativeFrom="column">
              <wp:posOffset>160655</wp:posOffset>
            </wp:positionH>
            <wp:positionV relativeFrom="paragraph">
              <wp:posOffset>417830</wp:posOffset>
            </wp:positionV>
            <wp:extent cx="5607685" cy="3274060"/>
            <wp:effectExtent l="0" t="0" r="635" b="2540"/>
            <wp:wrapTopAndBottom/>
            <wp:docPr id="3" name="图片 3" descr="C:\Users\lenovo\Desktop\失信主体.png失信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失信主体.png失信主体"/>
                    <pic:cNvPicPr>
                      <a:picLocks noChangeAspect="1"/>
                    </pic:cNvPicPr>
                  </pic:nvPicPr>
                  <pic:blipFill>
                    <a:blip r:embed="rId15"/>
                    <a:srcRect/>
                    <a:stretch>
                      <a:fillRect/>
                    </a:stretch>
                  </pic:blipFill>
                  <pic:spPr>
                    <a:xfrm>
                      <a:off x="0" y="0"/>
                      <a:ext cx="5607685" cy="3274060"/>
                    </a:xfrm>
                    <a:prstGeom prst="rect">
                      <a:avLst/>
                    </a:prstGeom>
                    <a:noFill/>
                    <a:ln>
                      <a:noFill/>
                    </a:ln>
                  </pic:spPr>
                </pic:pic>
              </a:graphicData>
            </a:graphic>
          </wp:anchor>
        </w:drawing>
      </w:r>
      <w:r>
        <w:rPr>
          <w:rFonts w:hint="eastAsia"/>
          <w:color w:val="auto"/>
          <w:kern w:val="0"/>
          <w:sz w:val="24"/>
          <w:szCs w:val="24"/>
          <w:highlight w:val="none"/>
        </w:rPr>
        <w:t>资格证明文件</w:t>
      </w:r>
      <w:bookmarkEnd w:id="620"/>
    </w:p>
    <w:p>
      <w:pPr>
        <w:pStyle w:val="37"/>
        <w:spacing w:line="600" w:lineRule="exact"/>
        <w:rPr>
          <w:rFonts w:asciiTheme="minorEastAsia" w:hAnsiTheme="minorEastAsia"/>
          <w:b/>
          <w:color w:val="auto"/>
          <w:kern w:val="0"/>
          <w:sz w:val="32"/>
          <w:szCs w:val="32"/>
          <w:highlight w:val="none"/>
        </w:rPr>
      </w:pPr>
    </w:p>
    <w:p>
      <w:pPr>
        <w:pStyle w:val="37"/>
        <w:spacing w:line="600" w:lineRule="exact"/>
        <w:rPr>
          <w:rFonts w:asciiTheme="minorEastAsia" w:hAnsiTheme="minorEastAsia"/>
          <w:b/>
          <w:color w:val="auto"/>
          <w:kern w:val="0"/>
          <w:sz w:val="32"/>
          <w:szCs w:val="32"/>
          <w:highlight w:val="none"/>
        </w:rPr>
      </w:pPr>
      <w:r>
        <w:rPr>
          <w:color w:val="auto"/>
          <w:highlight w:val="none"/>
        </w:rPr>
        <w:drawing>
          <wp:anchor distT="0" distB="0" distL="114300" distR="114300" simplePos="0" relativeHeight="251664384" behindDoc="0" locked="0" layoutInCell="1" allowOverlap="1">
            <wp:simplePos x="0" y="0"/>
            <wp:positionH relativeFrom="column">
              <wp:posOffset>102870</wp:posOffset>
            </wp:positionH>
            <wp:positionV relativeFrom="paragraph">
              <wp:posOffset>113030</wp:posOffset>
            </wp:positionV>
            <wp:extent cx="5694680" cy="3343275"/>
            <wp:effectExtent l="0" t="0" r="5080" b="9525"/>
            <wp:wrapTopAndBottom/>
            <wp:docPr id="4" name="图片 2" descr="C:\Users\lenovo\Desktop\政府采购.png政府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lenovo\Desktop\政府采购.png政府采购"/>
                    <pic:cNvPicPr>
                      <a:picLocks noChangeAspect="1"/>
                    </pic:cNvPicPr>
                  </pic:nvPicPr>
                  <pic:blipFill>
                    <a:blip r:embed="rId16"/>
                    <a:srcRect/>
                    <a:stretch>
                      <a:fillRect/>
                    </a:stretch>
                  </pic:blipFill>
                  <pic:spPr>
                    <a:xfrm>
                      <a:off x="0" y="0"/>
                      <a:ext cx="5694680" cy="3343275"/>
                    </a:xfrm>
                    <a:prstGeom prst="rect">
                      <a:avLst/>
                    </a:prstGeom>
                    <a:noFill/>
                    <a:ln>
                      <a:noFill/>
                    </a:ln>
                  </pic:spPr>
                </pic:pic>
              </a:graphicData>
            </a:graphic>
          </wp:anchor>
        </w:drawing>
      </w:r>
    </w:p>
    <w:p>
      <w:pPr>
        <w:pStyle w:val="37"/>
        <w:rPr>
          <w:rFonts w:hAnsi="宋体" w:cs="宋体"/>
          <w:b/>
          <w:color w:val="auto"/>
          <w:szCs w:val="21"/>
          <w:highlight w:val="none"/>
        </w:rPr>
      </w:pPr>
    </w:p>
    <w:p>
      <w:pPr>
        <w:pStyle w:val="37"/>
        <w:rPr>
          <w:rFonts w:hAnsi="宋体" w:cs="宋体"/>
          <w:b/>
          <w:color w:val="auto"/>
          <w:szCs w:val="21"/>
          <w:highlight w:val="none"/>
        </w:rPr>
      </w:pPr>
    </w:p>
    <w:p>
      <w:pPr>
        <w:pStyle w:val="37"/>
        <w:rPr>
          <w:rFonts w:hAnsi="宋体" w:cs="宋体"/>
          <w:b/>
          <w:color w:val="auto"/>
          <w:szCs w:val="21"/>
          <w:highlight w:val="none"/>
        </w:rPr>
      </w:pPr>
      <w:r>
        <w:rPr>
          <w:color w:val="auto"/>
          <w:highlight w:val="none"/>
        </w:rPr>
        <w:drawing>
          <wp:anchor distT="0" distB="0" distL="114300" distR="114300" simplePos="0" relativeHeight="251665408" behindDoc="0" locked="0" layoutInCell="1" allowOverlap="1">
            <wp:simplePos x="0" y="0"/>
            <wp:positionH relativeFrom="column">
              <wp:posOffset>338455</wp:posOffset>
            </wp:positionH>
            <wp:positionV relativeFrom="paragraph">
              <wp:posOffset>142875</wp:posOffset>
            </wp:positionV>
            <wp:extent cx="4690110" cy="2755900"/>
            <wp:effectExtent l="0" t="0" r="3810" b="2540"/>
            <wp:wrapTopAndBottom/>
            <wp:docPr id="5" name="图片 3" descr="C:\Users\lenovo\Desktop\税收.png税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lenovo\Desktop\税收.png税收"/>
                    <pic:cNvPicPr>
                      <a:picLocks noChangeAspect="1"/>
                    </pic:cNvPicPr>
                  </pic:nvPicPr>
                  <pic:blipFill>
                    <a:blip r:embed="rId17"/>
                    <a:srcRect/>
                    <a:stretch>
                      <a:fillRect/>
                    </a:stretch>
                  </pic:blipFill>
                  <pic:spPr>
                    <a:xfrm>
                      <a:off x="0" y="0"/>
                      <a:ext cx="4690110" cy="2755900"/>
                    </a:xfrm>
                    <a:prstGeom prst="rect">
                      <a:avLst/>
                    </a:prstGeom>
                    <a:noFill/>
                    <a:ln>
                      <a:noFill/>
                    </a:ln>
                  </pic:spPr>
                </pic:pic>
              </a:graphicData>
            </a:graphic>
          </wp:anchor>
        </w:drawing>
      </w:r>
    </w:p>
    <w:p>
      <w:pPr>
        <w:pStyle w:val="37"/>
        <w:rPr>
          <w:rFonts w:asciiTheme="minorEastAsia" w:hAnsiTheme="minorEastAsia"/>
          <w:b/>
          <w:color w:val="auto"/>
          <w:kern w:val="0"/>
          <w:sz w:val="32"/>
          <w:szCs w:val="32"/>
          <w:highlight w:val="none"/>
        </w:rPr>
      </w:pPr>
      <w:r>
        <w:rPr>
          <w:rFonts w:hint="eastAsia" w:hAnsi="宋体" w:cs="宋体"/>
          <w:b/>
          <w:color w:val="auto"/>
          <w:szCs w:val="21"/>
          <w:highlight w:val="none"/>
        </w:rPr>
        <w:t>（查询方法：登录“信用中国https://www.creditchina.gov.cn”→点入“信用服务”→在“失信被执行人”、“重大税收违法案件查询”、“政府采购严重违法失信名单”栏目处输入申请人名称→对查询内容进行截图）。</w:t>
      </w:r>
    </w:p>
    <w:p>
      <w:pPr>
        <w:pStyle w:val="37"/>
        <w:spacing w:line="600" w:lineRule="exact"/>
        <w:rPr>
          <w:rFonts w:asciiTheme="minorEastAsia" w:hAnsiTheme="minorEastAsia"/>
          <w:b/>
          <w:color w:val="auto"/>
          <w:kern w:val="0"/>
          <w:sz w:val="32"/>
          <w:szCs w:val="32"/>
          <w:highlight w:val="none"/>
        </w:rPr>
      </w:pPr>
      <w:r>
        <w:rPr>
          <w:color w:val="auto"/>
          <w:highlight w:val="none"/>
        </w:rPr>
        <w:drawing>
          <wp:anchor distT="0" distB="0" distL="114300" distR="114300" simplePos="0" relativeHeight="251666432" behindDoc="0" locked="0" layoutInCell="1" allowOverlap="1">
            <wp:simplePos x="0" y="0"/>
            <wp:positionH relativeFrom="column">
              <wp:posOffset>160655</wp:posOffset>
            </wp:positionH>
            <wp:positionV relativeFrom="paragraph">
              <wp:posOffset>247015</wp:posOffset>
            </wp:positionV>
            <wp:extent cx="4871085" cy="3235960"/>
            <wp:effectExtent l="0" t="0" r="5715" b="10160"/>
            <wp:wrapTopAndBottom/>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8"/>
                    <a:stretch>
                      <a:fillRect/>
                    </a:stretch>
                  </pic:blipFill>
                  <pic:spPr>
                    <a:xfrm>
                      <a:off x="0" y="0"/>
                      <a:ext cx="4871085" cy="3235960"/>
                    </a:xfrm>
                    <a:prstGeom prst="rect">
                      <a:avLst/>
                    </a:prstGeom>
                    <a:noFill/>
                    <a:ln>
                      <a:noFill/>
                    </a:ln>
                  </pic:spPr>
                </pic:pic>
              </a:graphicData>
            </a:graphic>
          </wp:anchor>
        </w:drawing>
      </w:r>
    </w:p>
    <w:p>
      <w:pPr>
        <w:pStyle w:val="37"/>
        <w:rPr>
          <w:rFonts w:hAnsi="宋体" w:cs="宋体"/>
          <w:b/>
          <w:color w:val="auto"/>
          <w:szCs w:val="21"/>
          <w:highlight w:val="none"/>
        </w:rPr>
      </w:pPr>
      <w:r>
        <w:rPr>
          <w:rFonts w:hint="eastAsia" w:hAnsi="宋体" w:cs="宋体"/>
          <w:b/>
          <w:color w:val="auto"/>
          <w:szCs w:val="21"/>
          <w:highlight w:val="none"/>
        </w:rPr>
        <w:t>（查询网址：登录“中国执行信息公开网http://zxgk.court.gov.cn/”→点入“失信被执行人”→在“查询条件”栏目处输入申请人名称、身份证号码/组织机构代码→对查询内容进行截图）。</w:t>
      </w:r>
    </w:p>
    <w:p>
      <w:pPr>
        <w:rPr>
          <w:color w:val="auto"/>
          <w:highlight w:val="none"/>
        </w:rPr>
      </w:pPr>
    </w:p>
    <w:p>
      <w:pPr>
        <w:ind w:firstLine="420" w:firstLineChars="200"/>
        <w:rPr>
          <w:rFonts w:hint="eastAsia" w:ascii="宋体" w:hAnsi="宋体" w:cs="宋体"/>
          <w:b/>
          <w:color w:val="auto"/>
          <w:szCs w:val="21"/>
          <w:highlight w:val="none"/>
        </w:rPr>
        <w:sectPr>
          <w:pgSz w:w="11906" w:h="16838"/>
          <w:pgMar w:top="1440" w:right="1800" w:bottom="1440" w:left="1800" w:header="510" w:footer="680" w:gutter="0"/>
          <w:cols w:space="720" w:num="1"/>
          <w:titlePg/>
          <w:docGrid w:type="linesAndChars" w:linePitch="312" w:charSpace="0"/>
        </w:sectPr>
      </w:pPr>
      <w:r>
        <w:rPr>
          <w:rFonts w:hint="eastAsia" w:ascii="宋体" w:hAnsi="宋体" w:cs="宋体"/>
          <w:b/>
          <w:color w:val="auto"/>
          <w:szCs w:val="21"/>
          <w:highlight w:val="none"/>
        </w:rPr>
        <w:t>其余证明材料由申请人按照邀请文件要求自行提供。</w:t>
      </w:r>
    </w:p>
    <w:p>
      <w:pPr>
        <w:pStyle w:val="4"/>
        <w:ind w:firstLine="643"/>
        <w:rPr>
          <w:color w:val="auto"/>
          <w:highlight w:val="none"/>
        </w:rPr>
      </w:pPr>
      <w:bookmarkStart w:id="621" w:name="_Toc55303761"/>
      <w:bookmarkStart w:id="622" w:name="_Toc55310074"/>
      <w:bookmarkStart w:id="623" w:name="_Toc24354"/>
      <w:r>
        <w:rPr>
          <w:rFonts w:hint="eastAsia"/>
          <w:color w:val="auto"/>
          <w:highlight w:val="none"/>
          <w:lang w:val="en-US" w:eastAsia="zh-CN"/>
        </w:rPr>
        <w:t>（七）</w:t>
      </w:r>
      <w:r>
        <w:rPr>
          <w:rFonts w:hint="eastAsia"/>
          <w:color w:val="auto"/>
          <w:highlight w:val="none"/>
        </w:rPr>
        <w:t>构成申请文件的其它资料</w:t>
      </w:r>
      <w:bookmarkEnd w:id="621"/>
      <w:bookmarkEnd w:id="622"/>
      <w:bookmarkEnd w:id="623"/>
    </w:p>
    <w:p>
      <w:pPr>
        <w:ind w:firstLine="3840" w:firstLineChars="1600"/>
        <w:rPr>
          <w:rFonts w:asciiTheme="minorEastAsia" w:hAnsiTheme="minorEastAsia" w:eastAsiaTheme="minorEastAsia" w:cstheme="minorEastAsia"/>
          <w:color w:val="auto"/>
          <w:sz w:val="24"/>
          <w:szCs w:val="24"/>
          <w:highlight w:val="none"/>
        </w:rPr>
      </w:pPr>
    </w:p>
    <w:p>
      <w:pPr>
        <w:bidi w:val="0"/>
        <w:jc w:val="center"/>
        <w:rPr>
          <w:color w:val="auto"/>
          <w:highlight w:val="none"/>
        </w:rPr>
      </w:pPr>
      <w:r>
        <w:rPr>
          <w:rFonts w:hint="eastAsia"/>
          <w:color w:val="auto"/>
          <w:highlight w:val="none"/>
        </w:rPr>
        <w:t>营业执照</w:t>
      </w:r>
    </w:p>
    <w:p>
      <w:pPr>
        <w:bidi w:val="0"/>
        <w:jc w:val="center"/>
        <w:rPr>
          <w:color w:val="auto"/>
          <w:highlight w:val="none"/>
        </w:rPr>
      </w:pPr>
      <w:r>
        <w:rPr>
          <w:rFonts w:hint="eastAsia"/>
          <w:color w:val="auto"/>
          <w:highlight w:val="none"/>
        </w:rPr>
        <w:t>资质证明</w:t>
      </w:r>
    </w:p>
    <w:p>
      <w:pPr>
        <w:bidi w:val="0"/>
        <w:jc w:val="center"/>
        <w:rPr>
          <w:color w:val="auto"/>
          <w:highlight w:val="none"/>
        </w:rPr>
      </w:pPr>
      <w:r>
        <w:rPr>
          <w:rFonts w:hint="eastAsia"/>
          <w:color w:val="auto"/>
          <w:highlight w:val="none"/>
        </w:rPr>
        <w:t>经审计的财务报告</w:t>
      </w:r>
    </w:p>
    <w:p>
      <w:pPr>
        <w:bidi w:val="0"/>
        <w:jc w:val="center"/>
        <w:rPr>
          <w:color w:val="auto"/>
          <w:highlight w:val="none"/>
        </w:rPr>
      </w:pPr>
      <w:bookmarkStart w:id="624" w:name="_Toc20878"/>
      <w:r>
        <w:rPr>
          <w:rFonts w:hint="eastAsia"/>
          <w:color w:val="auto"/>
          <w:highlight w:val="none"/>
        </w:rPr>
        <w:t>……</w:t>
      </w:r>
      <w:bookmarkEnd w:id="624"/>
    </w:p>
    <w:p>
      <w:pPr>
        <w:ind w:firstLine="420" w:firstLineChars="200"/>
        <w:rPr>
          <w:rFonts w:hint="eastAsia" w:ascii="宋体" w:hAnsi="宋体" w:cs="宋体"/>
          <w:b/>
          <w:color w:val="auto"/>
          <w:szCs w:val="21"/>
          <w:highlight w:val="none"/>
        </w:rPr>
        <w:sectPr>
          <w:pgSz w:w="11906" w:h="16838"/>
          <w:pgMar w:top="1440" w:right="1800" w:bottom="1440" w:left="1800" w:header="510" w:footer="680" w:gutter="0"/>
          <w:cols w:space="720" w:num="1"/>
          <w:titlePg/>
          <w:docGrid w:type="linesAndChars" w:linePitch="312" w:charSpace="0"/>
        </w:sectPr>
      </w:pPr>
    </w:p>
    <w:bookmarkEnd w:id="615"/>
    <w:bookmarkEnd w:id="616"/>
    <w:bookmarkEnd w:id="617"/>
    <w:bookmarkEnd w:id="618"/>
    <w:bookmarkEnd w:id="619"/>
    <w:p>
      <w:pPr>
        <w:pStyle w:val="3"/>
        <w:spacing w:line="360" w:lineRule="auto"/>
        <w:jc w:val="center"/>
        <w:rPr>
          <w:rFonts w:ascii="宋体" w:hAnsi="宋体" w:eastAsia="宋体"/>
          <w:color w:val="auto"/>
          <w:highlight w:val="none"/>
        </w:rPr>
      </w:pPr>
      <w:bookmarkStart w:id="625" w:name="_Toc30263"/>
      <w:bookmarkStart w:id="626" w:name="_Toc14407"/>
      <w:bookmarkStart w:id="627" w:name="_Toc55310075"/>
      <w:bookmarkStart w:id="628" w:name="_Toc6893"/>
      <w:bookmarkStart w:id="629" w:name="_Toc55303762"/>
      <w:bookmarkStart w:id="630" w:name="_Toc440110298"/>
      <w:bookmarkStart w:id="631" w:name="_Toc55229804"/>
      <w:bookmarkStart w:id="632" w:name="_Toc7657"/>
      <w:r>
        <w:rPr>
          <w:rFonts w:hint="eastAsia" w:ascii="宋体" w:hAnsi="宋体" w:eastAsia="宋体"/>
          <w:color w:val="auto"/>
          <w:highlight w:val="none"/>
        </w:rPr>
        <w:t>二、技术部分</w:t>
      </w:r>
      <w:bookmarkEnd w:id="625"/>
      <w:bookmarkEnd w:id="626"/>
      <w:bookmarkEnd w:id="627"/>
      <w:bookmarkEnd w:id="628"/>
      <w:bookmarkEnd w:id="629"/>
      <w:bookmarkEnd w:id="630"/>
      <w:bookmarkEnd w:id="631"/>
      <w:bookmarkEnd w:id="632"/>
    </w:p>
    <w:p>
      <w:pPr>
        <w:pStyle w:val="3"/>
        <w:spacing w:line="360" w:lineRule="auto"/>
        <w:ind w:firstLine="1440" w:firstLineChars="600"/>
        <w:rPr>
          <w:rFonts w:ascii="宋体" w:hAnsi="宋体" w:eastAsia="宋体"/>
          <w:color w:val="auto"/>
          <w:highlight w:val="none"/>
        </w:rPr>
      </w:pPr>
      <w:bookmarkStart w:id="633" w:name="_Toc110"/>
      <w:bookmarkStart w:id="634" w:name="_Toc439554169"/>
      <w:bookmarkStart w:id="635" w:name="_Toc14353"/>
      <w:bookmarkStart w:id="636" w:name="_Toc55303763"/>
      <w:bookmarkStart w:id="637" w:name="_Toc440110299"/>
      <w:bookmarkStart w:id="638" w:name="_Toc55229805"/>
      <w:bookmarkStart w:id="639" w:name="_Toc435803795"/>
      <w:bookmarkStart w:id="640" w:name="_Toc20967"/>
      <w:bookmarkStart w:id="641" w:name="_Toc55310076"/>
      <w:bookmarkStart w:id="642" w:name="_Toc4440"/>
      <w:r>
        <w:rPr>
          <w:rFonts w:hint="eastAsia" w:ascii="宋体" w:hAnsi="宋体" w:eastAsia="宋体"/>
          <w:color w:val="auto"/>
          <w:highlight w:val="none"/>
        </w:rPr>
        <w:t>（一）谈判申请人类似项目业绩表</w:t>
      </w:r>
      <w:bookmarkEnd w:id="633"/>
      <w:bookmarkEnd w:id="634"/>
      <w:bookmarkEnd w:id="635"/>
      <w:bookmarkEnd w:id="636"/>
      <w:bookmarkEnd w:id="637"/>
      <w:bookmarkEnd w:id="638"/>
      <w:bookmarkEnd w:id="639"/>
      <w:bookmarkEnd w:id="640"/>
      <w:bookmarkEnd w:id="641"/>
      <w:bookmarkEnd w:id="642"/>
    </w:p>
    <w:tbl>
      <w:tblPr>
        <w:tblStyle w:val="67"/>
        <w:tblW w:w="9244" w:type="dxa"/>
        <w:jc w:val="center"/>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2"/>
        <w:gridCol w:w="1368"/>
        <w:gridCol w:w="2623"/>
        <w:gridCol w:w="1622"/>
        <w:gridCol w:w="1368"/>
        <w:gridCol w:w="145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序号</w:t>
            </w: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起讫时间</w:t>
            </w: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项目</w:t>
            </w:r>
            <w:r>
              <w:rPr>
                <w:rFonts w:hint="eastAsia" w:hAnsi="宋体"/>
                <w:color w:val="auto"/>
                <w:szCs w:val="21"/>
                <w:highlight w:val="none"/>
              </w:rPr>
              <w:t>名称</w:t>
            </w: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业主单位</w:t>
            </w: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完成情况</w:t>
            </w: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r>
              <w:rPr>
                <w:rFonts w:hAnsi="宋体"/>
                <w:color w:val="auto"/>
                <w:szCs w:val="21"/>
                <w:highlight w:val="none"/>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81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2623"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622"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368"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c>
          <w:tcPr>
            <w:tcW w:w="1451" w:type="dxa"/>
            <w:tcBorders>
              <w:top w:val="single" w:color="000000" w:sz="4" w:space="0"/>
              <w:left w:val="single" w:color="000000" w:sz="4" w:space="0"/>
              <w:bottom w:val="single" w:color="000000" w:sz="4" w:space="0"/>
              <w:right w:val="single" w:color="000000" w:sz="4" w:space="0"/>
            </w:tcBorders>
            <w:vAlign w:val="center"/>
          </w:tcPr>
          <w:p>
            <w:pPr>
              <w:pStyle w:val="37"/>
              <w:spacing w:line="360" w:lineRule="auto"/>
              <w:jc w:val="center"/>
              <w:rPr>
                <w:rFonts w:hAnsi="宋体"/>
                <w:color w:val="auto"/>
                <w:szCs w:val="21"/>
                <w:highlight w:val="none"/>
              </w:rPr>
            </w:pPr>
          </w:p>
        </w:tc>
      </w:tr>
    </w:tbl>
    <w:p>
      <w:pPr>
        <w:autoSpaceDE w:val="0"/>
        <w:autoSpaceDN w:val="0"/>
        <w:adjustRightInd w:val="0"/>
        <w:spacing w:line="360" w:lineRule="auto"/>
        <w:rPr>
          <w:rFonts w:ascii="宋体" w:hAnsi="宋体"/>
          <w:color w:val="auto"/>
          <w:sz w:val="24"/>
          <w:szCs w:val="24"/>
          <w:highlight w:val="none"/>
          <w:lang w:val="zh-CN"/>
        </w:rPr>
      </w:pPr>
      <w:r>
        <w:rPr>
          <w:rFonts w:hint="eastAsia" w:ascii="宋体" w:hAnsi="宋体" w:cs="宋体"/>
          <w:color w:val="auto"/>
          <w:sz w:val="24"/>
          <w:szCs w:val="24"/>
          <w:highlight w:val="none"/>
          <w:lang w:val="zh-CN"/>
        </w:rPr>
        <w:t>说明：</w:t>
      </w:r>
    </w:p>
    <w:p>
      <w:pPr>
        <w:tabs>
          <w:tab w:val="left" w:pos="400"/>
        </w:tabs>
        <w:autoSpaceDE w:val="0"/>
        <w:autoSpaceDN w:val="0"/>
        <w:adjustRightInd w:val="0"/>
        <w:spacing w:line="360" w:lineRule="auto"/>
        <w:ind w:firstLine="480" w:firstLineChars="200"/>
        <w:rPr>
          <w:rFonts w:ascii="宋体" w:hAnsi="宋体" w:cs="宋体"/>
          <w:color w:val="auto"/>
          <w:sz w:val="24"/>
          <w:szCs w:val="24"/>
          <w:highlight w:val="none"/>
          <w:lang w:val="zh-CN"/>
        </w:rPr>
      </w:pPr>
      <w:r>
        <w:rPr>
          <w:rFonts w:ascii="宋体" w:hAnsi="宋体" w:cs="宋体"/>
          <w:color w:val="auto"/>
          <w:sz w:val="24"/>
          <w:szCs w:val="24"/>
          <w:highlight w:val="none"/>
          <w:lang w:val="zh-CN"/>
        </w:rPr>
        <w:t>1</w:t>
      </w:r>
      <w:r>
        <w:rPr>
          <w:rFonts w:hint="eastAsia" w:ascii="宋体" w:hAnsi="宋体" w:cs="宋体"/>
          <w:color w:val="auto"/>
          <w:sz w:val="24"/>
          <w:szCs w:val="24"/>
          <w:highlight w:val="none"/>
          <w:lang w:val="zh-CN"/>
        </w:rPr>
        <w:t>．谈判申请人应如实类似项目的情况填入本表中；</w:t>
      </w:r>
    </w:p>
    <w:p>
      <w:pPr>
        <w:tabs>
          <w:tab w:val="left" w:pos="400"/>
        </w:tabs>
        <w:autoSpaceDE w:val="0"/>
        <w:autoSpaceDN w:val="0"/>
        <w:adjustRightInd w:val="0"/>
        <w:spacing w:line="360" w:lineRule="auto"/>
        <w:ind w:firstLine="480" w:firstLineChars="200"/>
        <w:rPr>
          <w:rFonts w:ascii="宋体" w:hAnsi="宋体" w:cs="宋体"/>
          <w:color w:val="auto"/>
          <w:sz w:val="24"/>
          <w:szCs w:val="24"/>
          <w:highlight w:val="none"/>
          <w:lang w:val="zh-CN"/>
        </w:rPr>
      </w:pPr>
      <w:r>
        <w:rPr>
          <w:rFonts w:ascii="宋体" w:hAnsi="宋体" w:cs="宋体"/>
          <w:color w:val="auto"/>
          <w:sz w:val="24"/>
          <w:szCs w:val="24"/>
          <w:highlight w:val="none"/>
          <w:lang w:val="zh-CN"/>
        </w:rPr>
        <w:t>2</w:t>
      </w:r>
      <w:r>
        <w:rPr>
          <w:rFonts w:hint="eastAsia" w:ascii="宋体" w:hAnsi="宋体" w:cs="宋体"/>
          <w:color w:val="auto"/>
          <w:sz w:val="24"/>
          <w:szCs w:val="24"/>
          <w:highlight w:val="none"/>
          <w:lang w:val="zh-CN"/>
        </w:rPr>
        <w:t>．谈判申请人应附业绩证明材料：合同复印件（需加盖单位公章）；</w:t>
      </w:r>
    </w:p>
    <w:p>
      <w:pPr>
        <w:tabs>
          <w:tab w:val="left" w:pos="400"/>
        </w:tabs>
        <w:autoSpaceDE w:val="0"/>
        <w:autoSpaceDN w:val="0"/>
        <w:adjustRightInd w:val="0"/>
        <w:spacing w:line="360" w:lineRule="auto"/>
        <w:ind w:firstLine="480" w:firstLineChars="200"/>
        <w:rPr>
          <w:rFonts w:ascii="宋体" w:hAnsi="宋体" w:cs="宋体"/>
          <w:color w:val="auto"/>
          <w:sz w:val="24"/>
          <w:szCs w:val="24"/>
          <w:highlight w:val="none"/>
          <w:lang w:val="zh-CN"/>
        </w:rPr>
      </w:pPr>
      <w:r>
        <w:rPr>
          <w:rFonts w:hint="eastAsia" w:ascii="宋体" w:hAnsi="宋体"/>
          <w:color w:val="auto"/>
          <w:sz w:val="24"/>
          <w:szCs w:val="24"/>
          <w:highlight w:val="none"/>
          <w:lang w:val="zh-CN"/>
        </w:rPr>
        <w:t>3</w:t>
      </w:r>
      <w:r>
        <w:rPr>
          <w:rFonts w:hint="eastAsia" w:ascii="宋体" w:hAnsi="宋体" w:cs="宋体"/>
          <w:color w:val="auto"/>
          <w:sz w:val="24"/>
          <w:szCs w:val="24"/>
          <w:highlight w:val="none"/>
          <w:lang w:val="zh-CN"/>
        </w:rPr>
        <w:t>．谈判申请人所提供的各种证明材料，应如实反映类似项目的情况。</w:t>
      </w:r>
    </w:p>
    <w:p>
      <w:pPr>
        <w:pStyle w:val="37"/>
        <w:rPr>
          <w:color w:val="auto"/>
          <w:highlight w:val="none"/>
        </w:rPr>
      </w:pPr>
    </w:p>
    <w:p>
      <w:pPr>
        <w:autoSpaceDE w:val="0"/>
        <w:autoSpaceDN w:val="0"/>
        <w:adjustRightInd w:val="0"/>
        <w:spacing w:line="360" w:lineRule="auto"/>
        <w:ind w:firstLine="240" w:firstLineChars="100"/>
        <w:jc w:val="left"/>
        <w:rPr>
          <w:rFonts w:ascii="宋体" w:cs="宋体"/>
          <w:color w:val="auto"/>
          <w:kern w:val="0"/>
          <w:sz w:val="24"/>
          <w:szCs w:val="24"/>
          <w:highlight w:val="none"/>
        </w:rPr>
      </w:pPr>
      <w:r>
        <w:rPr>
          <w:rFonts w:hint="eastAsia" w:ascii="宋体" w:cs="宋体"/>
          <w:color w:val="auto"/>
          <w:kern w:val="0"/>
          <w:sz w:val="24"/>
          <w:szCs w:val="24"/>
          <w:highlight w:val="none"/>
        </w:rPr>
        <w:t>谈判申请人（单位公章）：</w:t>
      </w:r>
    </w:p>
    <w:p>
      <w:pPr>
        <w:autoSpaceDE w:val="0"/>
        <w:autoSpaceDN w:val="0"/>
        <w:adjustRightInd w:val="0"/>
        <w:spacing w:line="360" w:lineRule="auto"/>
        <w:jc w:val="left"/>
        <w:rPr>
          <w:rFonts w:ascii="宋体" w:cs="宋体"/>
          <w:color w:val="auto"/>
          <w:kern w:val="0"/>
          <w:sz w:val="24"/>
          <w:szCs w:val="24"/>
          <w:highlight w:val="none"/>
        </w:rPr>
      </w:pPr>
    </w:p>
    <w:p>
      <w:pPr>
        <w:autoSpaceDE w:val="0"/>
        <w:autoSpaceDN w:val="0"/>
        <w:adjustRightInd w:val="0"/>
        <w:spacing w:line="360" w:lineRule="auto"/>
        <w:ind w:firstLine="240" w:firstLineChars="100"/>
        <w:jc w:val="left"/>
        <w:rPr>
          <w:rFonts w:ascii="宋体" w:cs="宋体"/>
          <w:color w:val="auto"/>
          <w:kern w:val="0"/>
          <w:sz w:val="24"/>
          <w:szCs w:val="24"/>
          <w:highlight w:val="none"/>
        </w:rPr>
      </w:pPr>
      <w:r>
        <w:rPr>
          <w:rFonts w:ascii="宋体" w:cs="宋体"/>
          <w:color w:val="auto"/>
          <w:kern w:val="0"/>
          <w:sz w:val="24"/>
          <w:szCs w:val="24"/>
          <w:highlight w:val="none"/>
        </w:rPr>
        <w:t>法定代表人或委托代理人</w:t>
      </w:r>
      <w:r>
        <w:rPr>
          <w:rFonts w:hint="eastAsia" w:ascii="宋体" w:cs="宋体"/>
          <w:color w:val="auto"/>
          <w:kern w:val="0"/>
          <w:sz w:val="24"/>
          <w:szCs w:val="24"/>
          <w:highlight w:val="none"/>
        </w:rPr>
        <w:t>（签字或盖章）：</w:t>
      </w:r>
    </w:p>
    <w:p>
      <w:pPr>
        <w:autoSpaceDE w:val="0"/>
        <w:autoSpaceDN w:val="0"/>
        <w:adjustRightInd w:val="0"/>
        <w:spacing w:line="360" w:lineRule="auto"/>
        <w:jc w:val="left"/>
        <w:rPr>
          <w:rFonts w:ascii="宋体" w:cs="宋体"/>
          <w:color w:val="auto"/>
          <w:kern w:val="0"/>
          <w:sz w:val="24"/>
          <w:szCs w:val="24"/>
          <w:highlight w:val="none"/>
        </w:rPr>
      </w:pPr>
    </w:p>
    <w:p>
      <w:pPr>
        <w:autoSpaceDE w:val="0"/>
        <w:autoSpaceDN w:val="0"/>
        <w:adjustRightInd w:val="0"/>
        <w:spacing w:line="360" w:lineRule="auto"/>
        <w:ind w:firstLine="240" w:firstLineChars="100"/>
        <w:jc w:val="left"/>
        <w:rPr>
          <w:rFonts w:ascii="宋体" w:hAnsi="宋体" w:cs="宋体"/>
          <w:color w:val="auto"/>
          <w:sz w:val="24"/>
          <w:szCs w:val="24"/>
          <w:highlight w:val="none"/>
        </w:rPr>
      </w:pPr>
      <w:r>
        <w:rPr>
          <w:rFonts w:hint="eastAsia" w:ascii="宋体" w:cs="宋体"/>
          <w:color w:val="auto"/>
          <w:kern w:val="0"/>
          <w:sz w:val="24"/>
          <w:szCs w:val="24"/>
          <w:highlight w:val="none"/>
        </w:rPr>
        <w:t>日期：</w:t>
      </w:r>
      <w:r>
        <w:rPr>
          <w:rFonts w:hint="eastAsia" w:ascii="宋体" w:hAnsi="宋体" w:cs="宋体"/>
          <w:color w:val="auto"/>
          <w:sz w:val="24"/>
          <w:szCs w:val="24"/>
          <w:highlight w:val="none"/>
        </w:rPr>
        <w:t>年    月    日</w:t>
      </w:r>
    </w:p>
    <w:p>
      <w:pPr>
        <w:autoSpaceDE w:val="0"/>
        <w:autoSpaceDN w:val="0"/>
        <w:adjustRightInd w:val="0"/>
        <w:spacing w:line="360" w:lineRule="auto"/>
        <w:ind w:firstLine="210" w:firstLineChars="100"/>
        <w:jc w:val="left"/>
        <w:rPr>
          <w:rFonts w:ascii="宋体" w:hAnsi="宋体" w:cs="宋体"/>
          <w:color w:val="auto"/>
          <w:szCs w:val="21"/>
          <w:highlight w:val="none"/>
        </w:rPr>
      </w:pPr>
      <w:r>
        <w:rPr>
          <w:rFonts w:ascii="宋体" w:hAnsi="宋体" w:cs="宋体"/>
          <w:color w:val="auto"/>
          <w:szCs w:val="21"/>
          <w:highlight w:val="none"/>
        </w:rPr>
        <w:br w:type="page"/>
      </w:r>
    </w:p>
    <w:p>
      <w:pPr>
        <w:pStyle w:val="3"/>
        <w:spacing w:line="360" w:lineRule="auto"/>
        <w:jc w:val="center"/>
        <w:rPr>
          <w:rFonts w:ascii="宋体" w:hAnsi="宋体" w:eastAsia="宋体"/>
          <w:color w:val="auto"/>
          <w:highlight w:val="none"/>
        </w:rPr>
      </w:pPr>
      <w:bookmarkStart w:id="643" w:name="_Toc30272"/>
      <w:bookmarkStart w:id="644" w:name="_Toc440110300"/>
      <w:bookmarkStart w:id="645" w:name="_Toc55310077"/>
      <w:bookmarkStart w:id="646" w:name="_Toc55229806"/>
      <w:bookmarkStart w:id="647" w:name="_Toc55303764"/>
      <w:bookmarkStart w:id="648" w:name="_Toc439554170"/>
      <w:bookmarkStart w:id="649" w:name="_Toc10"/>
      <w:bookmarkStart w:id="650" w:name="_Toc25122"/>
      <w:bookmarkStart w:id="651" w:name="_Toc22829"/>
      <w:bookmarkStart w:id="652" w:name="_Toc490599276"/>
      <w:bookmarkStart w:id="653" w:name="_Toc139987955"/>
      <w:bookmarkStart w:id="654" w:name="_Toc436512331"/>
      <w:bookmarkStart w:id="655" w:name="_Toc519163247"/>
      <w:bookmarkStart w:id="656" w:name="_Toc130562780"/>
      <w:bookmarkStart w:id="657" w:name="_Toc425405508"/>
      <w:bookmarkStart w:id="658" w:name="_Toc130564356"/>
      <w:bookmarkStart w:id="659" w:name="_Toc107864045"/>
      <w:bookmarkStart w:id="660" w:name="_Toc130564923"/>
      <w:r>
        <w:rPr>
          <w:rFonts w:hint="eastAsia" w:ascii="宋体" w:hAnsi="宋体" w:eastAsia="宋体"/>
          <w:color w:val="auto"/>
          <w:highlight w:val="none"/>
        </w:rPr>
        <w:t>（二）</w:t>
      </w:r>
      <w:bookmarkEnd w:id="643"/>
      <w:bookmarkEnd w:id="644"/>
      <w:bookmarkEnd w:id="645"/>
      <w:bookmarkEnd w:id="646"/>
      <w:bookmarkEnd w:id="647"/>
      <w:bookmarkEnd w:id="648"/>
      <w:bookmarkEnd w:id="649"/>
      <w:bookmarkEnd w:id="650"/>
      <w:r>
        <w:rPr>
          <w:rFonts w:hint="eastAsia" w:ascii="宋体" w:hAnsi="宋体" w:eastAsia="宋体"/>
          <w:color w:val="auto"/>
          <w:highlight w:val="none"/>
        </w:rPr>
        <w:t>拟派本项目主要人员技术资格一览表</w:t>
      </w:r>
      <w:bookmarkEnd w:id="651"/>
    </w:p>
    <w:tbl>
      <w:tblPr>
        <w:tblStyle w:val="67"/>
        <w:tblW w:w="857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0"/>
        <w:gridCol w:w="1200"/>
        <w:gridCol w:w="831"/>
        <w:gridCol w:w="761"/>
        <w:gridCol w:w="929"/>
        <w:gridCol w:w="929"/>
        <w:gridCol w:w="929"/>
        <w:gridCol w:w="1235"/>
        <w:gridCol w:w="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序号</w:t>
            </w:r>
          </w:p>
        </w:tc>
        <w:tc>
          <w:tcPr>
            <w:tcW w:w="1200"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姓  名</w:t>
            </w:r>
          </w:p>
        </w:tc>
        <w:tc>
          <w:tcPr>
            <w:tcW w:w="831"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性</w:t>
            </w:r>
            <w:r>
              <w:rPr>
                <w:rFonts w:hint="eastAsia" w:ascii="宋体" w:hAnsi="宋体" w:cs="宋体"/>
                <w:snapToGrid w:val="0"/>
                <w:color w:val="auto"/>
                <w:kern w:val="0"/>
                <w:szCs w:val="21"/>
                <w:highlight w:val="none"/>
              </w:rPr>
              <w:t>别</w:t>
            </w:r>
          </w:p>
        </w:tc>
        <w:tc>
          <w:tcPr>
            <w:tcW w:w="761"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年</w:t>
            </w:r>
            <w:r>
              <w:rPr>
                <w:rFonts w:hint="eastAsia" w:ascii="宋体" w:hAnsi="宋体" w:cs="宋体"/>
                <w:snapToGrid w:val="0"/>
                <w:color w:val="auto"/>
                <w:kern w:val="0"/>
                <w:szCs w:val="21"/>
                <w:highlight w:val="none"/>
              </w:rPr>
              <w:t>龄</w:t>
            </w:r>
          </w:p>
        </w:tc>
        <w:tc>
          <w:tcPr>
            <w:tcW w:w="929"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学</w:t>
            </w:r>
            <w:r>
              <w:rPr>
                <w:rFonts w:hint="eastAsia" w:ascii="宋体" w:hAnsi="宋体" w:cs="宋体"/>
                <w:snapToGrid w:val="0"/>
                <w:color w:val="auto"/>
                <w:kern w:val="0"/>
                <w:szCs w:val="21"/>
                <w:highlight w:val="none"/>
              </w:rPr>
              <w:t>历</w:t>
            </w:r>
          </w:p>
        </w:tc>
        <w:tc>
          <w:tcPr>
            <w:tcW w:w="929"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cs="宋体"/>
                <w:snapToGrid w:val="0"/>
                <w:color w:val="auto"/>
                <w:kern w:val="0"/>
                <w:szCs w:val="21"/>
                <w:highlight w:val="none"/>
              </w:rPr>
              <w:t>专业</w:t>
            </w:r>
          </w:p>
        </w:tc>
        <w:tc>
          <w:tcPr>
            <w:tcW w:w="929"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cs="宋体"/>
                <w:snapToGrid w:val="0"/>
                <w:color w:val="auto"/>
                <w:kern w:val="0"/>
                <w:szCs w:val="21"/>
                <w:highlight w:val="none"/>
              </w:rPr>
              <w:t>职</w:t>
            </w:r>
            <w:r>
              <w:rPr>
                <w:rFonts w:hint="eastAsia" w:ascii="宋体" w:hAnsi="宋体"/>
                <w:snapToGrid w:val="0"/>
                <w:color w:val="auto"/>
                <w:kern w:val="0"/>
                <w:szCs w:val="21"/>
                <w:highlight w:val="none"/>
              </w:rPr>
              <w:t>称</w:t>
            </w:r>
          </w:p>
        </w:tc>
        <w:tc>
          <w:tcPr>
            <w:tcW w:w="1235" w:type="dxa"/>
            <w:vAlign w:val="center"/>
          </w:tcPr>
          <w:p>
            <w:pPr>
              <w:pStyle w:val="475"/>
              <w:spacing w:line="360" w:lineRule="auto"/>
              <w:jc w:val="center"/>
              <w:rPr>
                <w:rFonts w:ascii="宋体" w:hAnsi="宋体"/>
                <w:snapToGrid w:val="0"/>
                <w:color w:val="auto"/>
                <w:kern w:val="0"/>
                <w:szCs w:val="21"/>
                <w:highlight w:val="none"/>
              </w:rPr>
            </w:pPr>
            <w:r>
              <w:rPr>
                <w:rFonts w:hint="eastAsia" w:ascii="宋体" w:hAnsi="宋体"/>
                <w:snapToGrid w:val="0"/>
                <w:color w:val="auto"/>
                <w:kern w:val="0"/>
                <w:szCs w:val="21"/>
                <w:highlight w:val="none"/>
              </w:rPr>
              <w:t>从事</w:t>
            </w:r>
            <w:r>
              <w:rPr>
                <w:rFonts w:hint="eastAsia" w:ascii="宋体" w:hAnsi="宋体" w:cs="宋体"/>
                <w:snapToGrid w:val="0"/>
                <w:color w:val="auto"/>
                <w:kern w:val="0"/>
                <w:szCs w:val="21"/>
                <w:highlight w:val="none"/>
              </w:rPr>
              <w:t>专</w:t>
            </w:r>
          </w:p>
          <w:p>
            <w:pPr>
              <w:pStyle w:val="475"/>
              <w:spacing w:line="360" w:lineRule="auto"/>
              <w:jc w:val="center"/>
              <w:rPr>
                <w:rFonts w:ascii="宋体" w:hAnsi="宋体"/>
                <w:snapToGrid w:val="0"/>
                <w:color w:val="auto"/>
                <w:kern w:val="0"/>
                <w:szCs w:val="21"/>
                <w:highlight w:val="none"/>
              </w:rPr>
            </w:pPr>
            <w:r>
              <w:rPr>
                <w:rFonts w:hint="eastAsia" w:ascii="宋体" w:hAnsi="宋体" w:cs="宋体"/>
                <w:snapToGrid w:val="0"/>
                <w:color w:val="auto"/>
                <w:kern w:val="0"/>
                <w:szCs w:val="21"/>
                <w:highlight w:val="none"/>
              </w:rPr>
              <w:t>业</w:t>
            </w:r>
            <w:r>
              <w:rPr>
                <w:rFonts w:hint="eastAsia" w:ascii="宋体" w:hAnsi="宋体"/>
                <w:snapToGrid w:val="0"/>
                <w:color w:val="auto"/>
                <w:kern w:val="0"/>
                <w:szCs w:val="21"/>
                <w:highlight w:val="none"/>
              </w:rPr>
              <w:t>年限</w:t>
            </w:r>
          </w:p>
        </w:tc>
        <w:tc>
          <w:tcPr>
            <w:tcW w:w="929" w:type="dxa"/>
            <w:vAlign w:val="center"/>
          </w:tcPr>
          <w:p>
            <w:pPr>
              <w:pStyle w:val="475"/>
              <w:tabs>
                <w:tab w:val="center" w:pos="387"/>
              </w:tabs>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拟</w:t>
            </w:r>
            <w:r>
              <w:rPr>
                <w:rFonts w:hint="eastAsia" w:ascii="宋体" w:hAnsi="宋体"/>
                <w:snapToGrid w:val="0"/>
                <w:color w:val="auto"/>
                <w:kern w:val="0"/>
                <w:szCs w:val="21"/>
                <w:highlight w:val="none"/>
              </w:rPr>
              <w:t>任</w:t>
            </w:r>
          </w:p>
          <w:p>
            <w:pPr>
              <w:pStyle w:val="475"/>
              <w:spacing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30" w:type="dxa"/>
            <w:vAlign w:val="center"/>
          </w:tcPr>
          <w:p>
            <w:pPr>
              <w:pStyle w:val="475"/>
              <w:spacing w:line="360" w:lineRule="auto"/>
              <w:jc w:val="center"/>
              <w:rPr>
                <w:rFonts w:ascii="宋体" w:hAnsi="宋体"/>
                <w:snapToGrid w:val="0"/>
                <w:color w:val="auto"/>
                <w:kern w:val="0"/>
                <w:szCs w:val="21"/>
                <w:highlight w:val="none"/>
              </w:rPr>
            </w:pPr>
          </w:p>
        </w:tc>
        <w:tc>
          <w:tcPr>
            <w:tcW w:w="1200" w:type="dxa"/>
            <w:vAlign w:val="center"/>
          </w:tcPr>
          <w:p>
            <w:pPr>
              <w:pStyle w:val="475"/>
              <w:spacing w:line="360" w:lineRule="auto"/>
              <w:jc w:val="center"/>
              <w:rPr>
                <w:rFonts w:ascii="宋体" w:hAnsi="宋体"/>
                <w:snapToGrid w:val="0"/>
                <w:color w:val="auto"/>
                <w:kern w:val="0"/>
                <w:szCs w:val="21"/>
                <w:highlight w:val="none"/>
              </w:rPr>
            </w:pPr>
          </w:p>
        </w:tc>
        <w:tc>
          <w:tcPr>
            <w:tcW w:w="831" w:type="dxa"/>
            <w:vAlign w:val="center"/>
          </w:tcPr>
          <w:p>
            <w:pPr>
              <w:pStyle w:val="475"/>
              <w:spacing w:line="360" w:lineRule="auto"/>
              <w:jc w:val="center"/>
              <w:rPr>
                <w:rFonts w:ascii="宋体" w:hAnsi="宋体"/>
                <w:snapToGrid w:val="0"/>
                <w:color w:val="auto"/>
                <w:kern w:val="0"/>
                <w:szCs w:val="21"/>
                <w:highlight w:val="none"/>
              </w:rPr>
            </w:pPr>
          </w:p>
        </w:tc>
        <w:tc>
          <w:tcPr>
            <w:tcW w:w="761"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c>
          <w:tcPr>
            <w:tcW w:w="1235" w:type="dxa"/>
            <w:vAlign w:val="center"/>
          </w:tcPr>
          <w:p>
            <w:pPr>
              <w:pStyle w:val="475"/>
              <w:spacing w:line="360" w:lineRule="auto"/>
              <w:jc w:val="center"/>
              <w:rPr>
                <w:rFonts w:ascii="宋体" w:hAnsi="宋体"/>
                <w:snapToGrid w:val="0"/>
                <w:color w:val="auto"/>
                <w:kern w:val="0"/>
                <w:szCs w:val="21"/>
                <w:highlight w:val="none"/>
              </w:rPr>
            </w:pPr>
          </w:p>
        </w:tc>
        <w:tc>
          <w:tcPr>
            <w:tcW w:w="929" w:type="dxa"/>
            <w:vAlign w:val="center"/>
          </w:tcPr>
          <w:p>
            <w:pPr>
              <w:pStyle w:val="475"/>
              <w:spacing w:line="360" w:lineRule="auto"/>
              <w:jc w:val="center"/>
              <w:rPr>
                <w:rFonts w:ascii="宋体" w:hAnsi="宋体"/>
                <w:snapToGrid w:val="0"/>
                <w:color w:val="auto"/>
                <w:kern w:val="0"/>
                <w:szCs w:val="21"/>
                <w:highlight w:val="none"/>
              </w:rPr>
            </w:pPr>
          </w:p>
        </w:tc>
      </w:tr>
    </w:tbl>
    <w:p>
      <w:pPr>
        <w:ind w:firstLine="422"/>
        <w:outlineLvl w:val="2"/>
        <w:rPr>
          <w:rFonts w:ascii="宋体"/>
          <w:b/>
          <w:color w:val="auto"/>
          <w:highlight w:val="none"/>
        </w:rPr>
      </w:pPr>
      <w:bookmarkStart w:id="661" w:name="_Toc22624"/>
      <w:bookmarkStart w:id="662" w:name="_Toc511599549"/>
      <w:bookmarkStart w:id="663" w:name="_Toc513650803"/>
      <w:bookmarkStart w:id="664" w:name="_Toc511598762"/>
      <w:r>
        <w:rPr>
          <w:rFonts w:ascii="宋体"/>
          <w:b/>
          <w:color w:val="auto"/>
          <w:highlight w:val="none"/>
        </w:rPr>
        <w:t>注：以上人员相关资格证</w:t>
      </w:r>
      <w:r>
        <w:rPr>
          <w:rFonts w:hint="eastAsia" w:ascii="宋体"/>
          <w:b/>
          <w:color w:val="auto"/>
          <w:highlight w:val="none"/>
        </w:rPr>
        <w:t>（如有），职称证书，</w:t>
      </w:r>
      <w:r>
        <w:rPr>
          <w:rFonts w:ascii="宋体"/>
          <w:b/>
          <w:color w:val="auto"/>
          <w:highlight w:val="none"/>
        </w:rPr>
        <w:t>3</w:t>
      </w:r>
      <w:r>
        <w:rPr>
          <w:rFonts w:hint="eastAsia" w:ascii="宋体"/>
          <w:b/>
          <w:color w:val="auto"/>
          <w:highlight w:val="none"/>
        </w:rPr>
        <w:t>年以上从业经历证明文件的</w:t>
      </w:r>
      <w:r>
        <w:rPr>
          <w:rFonts w:ascii="宋体"/>
          <w:b/>
          <w:color w:val="auto"/>
          <w:highlight w:val="none"/>
        </w:rPr>
        <w:t>复印件应附在表后。</w:t>
      </w:r>
      <w:bookmarkEnd w:id="661"/>
      <w:bookmarkEnd w:id="662"/>
      <w:bookmarkEnd w:id="663"/>
      <w:bookmarkEnd w:id="664"/>
    </w:p>
    <w:p>
      <w:pPr>
        <w:pStyle w:val="37"/>
        <w:rPr>
          <w:snapToGrid w:val="0"/>
          <w:color w:val="auto"/>
          <w:highlight w:val="none"/>
        </w:rPr>
      </w:pPr>
    </w:p>
    <w:p>
      <w:pPr>
        <w:autoSpaceDE w:val="0"/>
        <w:autoSpaceDN w:val="0"/>
        <w:spacing w:before="50" w:after="120" w:line="360" w:lineRule="auto"/>
        <w:jc w:val="left"/>
        <w:rPr>
          <w:rFonts w:ascii="仿宋_GB2312" w:eastAsia="仿宋_GB2312"/>
          <w:color w:val="auto"/>
          <w:sz w:val="28"/>
          <w:szCs w:val="28"/>
          <w:highlight w:val="none"/>
        </w:rPr>
      </w:pPr>
    </w:p>
    <w:p>
      <w:pPr>
        <w:autoSpaceDE w:val="0"/>
        <w:autoSpaceDN w:val="0"/>
        <w:spacing w:line="360" w:lineRule="auto"/>
        <w:ind w:firstLine="560" w:firstLineChars="200"/>
        <w:rPr>
          <w:rFonts w:ascii="仿宋_GB2312" w:eastAsia="仿宋_GB2312"/>
          <w:color w:val="auto"/>
          <w:sz w:val="28"/>
          <w:szCs w:val="28"/>
          <w:highlight w:val="none"/>
        </w:rPr>
      </w:pPr>
    </w:p>
    <w:p>
      <w:pPr>
        <w:autoSpaceDE w:val="0"/>
        <w:autoSpaceDN w:val="0"/>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谈判申请人（单位公章）：</w:t>
      </w:r>
    </w:p>
    <w:p>
      <w:pPr>
        <w:pStyle w:val="37"/>
        <w:rPr>
          <w:color w:val="auto"/>
          <w:highlight w:val="none"/>
        </w:rPr>
      </w:pPr>
    </w:p>
    <w:p>
      <w:pPr>
        <w:autoSpaceDE w:val="0"/>
        <w:autoSpaceDN w:val="0"/>
        <w:spacing w:line="360" w:lineRule="auto"/>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法定代表人或其授权代表（签字）： </w:t>
      </w:r>
    </w:p>
    <w:p>
      <w:pPr>
        <w:pStyle w:val="37"/>
        <w:rPr>
          <w:color w:val="auto"/>
          <w:highlight w:val="none"/>
        </w:rPr>
      </w:pPr>
    </w:p>
    <w:p>
      <w:pPr>
        <w:autoSpaceDE w:val="0"/>
        <w:autoSpaceDN w:val="0"/>
        <w:spacing w:line="360" w:lineRule="auto"/>
        <w:ind w:firstLine="560" w:firstLineChars="200"/>
        <w:rPr>
          <w:rFonts w:hint="eastAsia" w:ascii="仿宋_GB2312" w:eastAsia="仿宋_GB2312"/>
          <w:color w:val="auto"/>
          <w:sz w:val="28"/>
          <w:szCs w:val="28"/>
          <w:highlight w:val="none"/>
        </w:rPr>
        <w:sectPr>
          <w:pgSz w:w="11906" w:h="16838"/>
          <w:pgMar w:top="1440" w:right="1800" w:bottom="1440" w:left="1800" w:header="510" w:footer="680" w:gutter="0"/>
          <w:cols w:space="720" w:num="1"/>
          <w:titlePg/>
          <w:docGrid w:type="linesAndChars" w:linePitch="312" w:charSpace="0"/>
        </w:sectPr>
      </w:pPr>
      <w:r>
        <w:rPr>
          <w:rFonts w:hint="eastAsia" w:ascii="仿宋_GB2312" w:eastAsia="仿宋_GB2312"/>
          <w:color w:val="auto"/>
          <w:sz w:val="28"/>
          <w:szCs w:val="28"/>
          <w:highlight w:val="none"/>
        </w:rPr>
        <w:t xml:space="preserve">日期：年 月   日 </w:t>
      </w:r>
    </w:p>
    <w:p>
      <w:pPr>
        <w:pStyle w:val="3"/>
        <w:spacing w:line="360" w:lineRule="auto"/>
        <w:jc w:val="center"/>
        <w:rPr>
          <w:rFonts w:ascii="宋体" w:hAnsi="宋体" w:eastAsia="宋体"/>
          <w:color w:val="auto"/>
          <w:highlight w:val="none"/>
        </w:rPr>
      </w:pPr>
      <w:bookmarkStart w:id="665" w:name="_Toc3814"/>
      <w:r>
        <w:rPr>
          <w:rFonts w:hint="eastAsia" w:ascii="宋体" w:hAnsi="宋体" w:eastAsia="宋体"/>
          <w:color w:val="auto"/>
          <w:highlight w:val="none"/>
        </w:rPr>
        <w:t>（三）项目负责人履历</w:t>
      </w:r>
      <w:bookmarkEnd w:id="665"/>
    </w:p>
    <w:tbl>
      <w:tblPr>
        <w:tblStyle w:val="67"/>
        <w:tblW w:w="96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9"/>
        <w:gridCol w:w="745"/>
        <w:gridCol w:w="1355"/>
        <w:gridCol w:w="510"/>
        <w:gridCol w:w="653"/>
        <w:gridCol w:w="187"/>
        <w:gridCol w:w="540"/>
        <w:gridCol w:w="1140"/>
        <w:gridCol w:w="826"/>
        <w:gridCol w:w="25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jc w:val="center"/>
        </w:trPr>
        <w:tc>
          <w:tcPr>
            <w:tcW w:w="1319" w:type="dxa"/>
            <w:vAlign w:val="center"/>
          </w:tcPr>
          <w:p>
            <w:pPr>
              <w:jc w:val="center"/>
              <w:rPr>
                <w:rFonts w:ascii="宋体"/>
                <w:color w:val="auto"/>
                <w:highlight w:val="none"/>
              </w:rPr>
            </w:pPr>
            <w:r>
              <w:rPr>
                <w:rFonts w:hint="eastAsia" w:ascii="宋体"/>
                <w:color w:val="auto"/>
                <w:highlight w:val="none"/>
              </w:rPr>
              <w:t>姓名</w:t>
            </w:r>
          </w:p>
        </w:tc>
        <w:tc>
          <w:tcPr>
            <w:tcW w:w="2610" w:type="dxa"/>
            <w:gridSpan w:val="3"/>
            <w:vAlign w:val="center"/>
          </w:tcPr>
          <w:p>
            <w:pPr>
              <w:jc w:val="center"/>
              <w:rPr>
                <w:rFonts w:ascii="宋体"/>
                <w:color w:val="auto"/>
                <w:highlight w:val="none"/>
              </w:rPr>
            </w:pPr>
          </w:p>
        </w:tc>
        <w:tc>
          <w:tcPr>
            <w:tcW w:w="840" w:type="dxa"/>
            <w:gridSpan w:val="2"/>
            <w:vAlign w:val="center"/>
          </w:tcPr>
          <w:p>
            <w:pPr>
              <w:jc w:val="center"/>
              <w:rPr>
                <w:rFonts w:ascii="宋体"/>
                <w:color w:val="auto"/>
                <w:highlight w:val="none"/>
              </w:rPr>
            </w:pPr>
            <w:r>
              <w:rPr>
                <w:rFonts w:hint="eastAsia" w:ascii="宋体"/>
                <w:color w:val="auto"/>
                <w:highlight w:val="none"/>
              </w:rPr>
              <w:t>性别</w:t>
            </w:r>
          </w:p>
        </w:tc>
        <w:tc>
          <w:tcPr>
            <w:tcW w:w="1680" w:type="dxa"/>
            <w:gridSpan w:val="2"/>
            <w:vAlign w:val="center"/>
          </w:tcPr>
          <w:p>
            <w:pPr>
              <w:jc w:val="center"/>
              <w:rPr>
                <w:rFonts w:ascii="宋体"/>
                <w:color w:val="auto"/>
                <w:highlight w:val="none"/>
              </w:rPr>
            </w:pPr>
          </w:p>
        </w:tc>
        <w:tc>
          <w:tcPr>
            <w:tcW w:w="1080" w:type="dxa"/>
            <w:gridSpan w:val="2"/>
            <w:vAlign w:val="center"/>
          </w:tcPr>
          <w:p>
            <w:pPr>
              <w:jc w:val="center"/>
              <w:rPr>
                <w:rFonts w:ascii="宋体"/>
                <w:color w:val="auto"/>
                <w:highlight w:val="none"/>
              </w:rPr>
            </w:pPr>
            <w:r>
              <w:rPr>
                <w:rFonts w:hint="eastAsia" w:ascii="宋体"/>
                <w:color w:val="auto"/>
                <w:highlight w:val="none"/>
              </w:rPr>
              <w:t>年龄</w:t>
            </w:r>
          </w:p>
        </w:tc>
        <w:tc>
          <w:tcPr>
            <w:tcW w:w="2142" w:type="dxa"/>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3" w:hRule="atLeast"/>
          <w:jc w:val="center"/>
        </w:trPr>
        <w:tc>
          <w:tcPr>
            <w:tcW w:w="1319" w:type="dxa"/>
            <w:vAlign w:val="center"/>
          </w:tcPr>
          <w:p>
            <w:pPr>
              <w:jc w:val="center"/>
              <w:rPr>
                <w:rFonts w:ascii="宋体"/>
                <w:color w:val="auto"/>
                <w:highlight w:val="none"/>
              </w:rPr>
            </w:pPr>
            <w:r>
              <w:rPr>
                <w:rFonts w:hint="eastAsia" w:ascii="宋体"/>
                <w:color w:val="auto"/>
                <w:highlight w:val="none"/>
              </w:rPr>
              <w:t>职务</w:t>
            </w:r>
          </w:p>
        </w:tc>
        <w:tc>
          <w:tcPr>
            <w:tcW w:w="2610" w:type="dxa"/>
            <w:gridSpan w:val="3"/>
            <w:vAlign w:val="center"/>
          </w:tcPr>
          <w:p>
            <w:pPr>
              <w:jc w:val="center"/>
              <w:rPr>
                <w:rFonts w:ascii="宋体"/>
                <w:color w:val="auto"/>
                <w:highlight w:val="none"/>
              </w:rPr>
            </w:pPr>
          </w:p>
        </w:tc>
        <w:tc>
          <w:tcPr>
            <w:tcW w:w="840" w:type="dxa"/>
            <w:gridSpan w:val="2"/>
            <w:vAlign w:val="center"/>
          </w:tcPr>
          <w:p>
            <w:pPr>
              <w:jc w:val="center"/>
              <w:rPr>
                <w:rFonts w:ascii="宋体"/>
                <w:color w:val="auto"/>
                <w:highlight w:val="none"/>
              </w:rPr>
            </w:pPr>
            <w:r>
              <w:rPr>
                <w:rFonts w:hint="eastAsia" w:ascii="宋体"/>
                <w:color w:val="auto"/>
                <w:highlight w:val="none"/>
              </w:rPr>
              <w:t>职称</w:t>
            </w:r>
          </w:p>
        </w:tc>
        <w:tc>
          <w:tcPr>
            <w:tcW w:w="1680" w:type="dxa"/>
            <w:gridSpan w:val="2"/>
            <w:vAlign w:val="center"/>
          </w:tcPr>
          <w:p>
            <w:pPr>
              <w:jc w:val="center"/>
              <w:rPr>
                <w:rFonts w:ascii="宋体"/>
                <w:color w:val="auto"/>
                <w:highlight w:val="none"/>
              </w:rPr>
            </w:pPr>
          </w:p>
        </w:tc>
        <w:tc>
          <w:tcPr>
            <w:tcW w:w="1080" w:type="dxa"/>
            <w:gridSpan w:val="2"/>
            <w:vAlign w:val="center"/>
          </w:tcPr>
          <w:p>
            <w:pPr>
              <w:jc w:val="center"/>
              <w:rPr>
                <w:rFonts w:ascii="宋体"/>
                <w:color w:val="auto"/>
                <w:highlight w:val="none"/>
              </w:rPr>
            </w:pPr>
            <w:r>
              <w:rPr>
                <w:rFonts w:hint="eastAsia" w:ascii="宋体"/>
                <w:color w:val="auto"/>
                <w:highlight w:val="none"/>
              </w:rPr>
              <w:t>学历</w:t>
            </w:r>
          </w:p>
        </w:tc>
        <w:tc>
          <w:tcPr>
            <w:tcW w:w="2142" w:type="dxa"/>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jc w:val="center"/>
        </w:trPr>
        <w:tc>
          <w:tcPr>
            <w:tcW w:w="3419" w:type="dxa"/>
            <w:gridSpan w:val="3"/>
            <w:vAlign w:val="center"/>
          </w:tcPr>
          <w:p>
            <w:pPr>
              <w:jc w:val="center"/>
              <w:rPr>
                <w:rFonts w:ascii="宋体"/>
                <w:color w:val="auto"/>
                <w:highlight w:val="none"/>
              </w:rPr>
            </w:pPr>
            <w:r>
              <w:rPr>
                <w:rFonts w:hint="eastAsia" w:ascii="宋体"/>
                <w:color w:val="auto"/>
                <w:highlight w:val="none"/>
              </w:rPr>
              <w:t>参加工作时间</w:t>
            </w:r>
          </w:p>
        </w:tc>
        <w:tc>
          <w:tcPr>
            <w:tcW w:w="1890" w:type="dxa"/>
            <w:gridSpan w:val="4"/>
            <w:vAlign w:val="center"/>
          </w:tcPr>
          <w:p>
            <w:pPr>
              <w:jc w:val="center"/>
              <w:rPr>
                <w:rFonts w:ascii="宋体"/>
                <w:color w:val="auto"/>
                <w:highlight w:val="none"/>
              </w:rPr>
            </w:pPr>
          </w:p>
        </w:tc>
        <w:tc>
          <w:tcPr>
            <w:tcW w:w="1966" w:type="dxa"/>
            <w:gridSpan w:val="2"/>
            <w:vAlign w:val="center"/>
          </w:tcPr>
          <w:p>
            <w:pPr>
              <w:rPr>
                <w:rFonts w:ascii="宋体"/>
                <w:color w:val="auto"/>
                <w:highlight w:val="none"/>
              </w:rPr>
            </w:pPr>
            <w:r>
              <w:rPr>
                <w:rFonts w:hint="eastAsia" w:ascii="宋体"/>
                <w:color w:val="auto"/>
                <w:highlight w:val="none"/>
              </w:rPr>
              <w:t>担任项目负责人年限</w:t>
            </w:r>
          </w:p>
        </w:tc>
        <w:tc>
          <w:tcPr>
            <w:tcW w:w="2396" w:type="dxa"/>
            <w:gridSpan w:val="2"/>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atLeast"/>
          <w:jc w:val="center"/>
        </w:trPr>
        <w:tc>
          <w:tcPr>
            <w:tcW w:w="3419" w:type="dxa"/>
            <w:gridSpan w:val="3"/>
            <w:vAlign w:val="center"/>
          </w:tcPr>
          <w:p>
            <w:pPr>
              <w:jc w:val="center"/>
              <w:rPr>
                <w:rFonts w:ascii="宋体"/>
                <w:color w:val="auto"/>
                <w:highlight w:val="none"/>
              </w:rPr>
            </w:pPr>
            <w:r>
              <w:rPr>
                <w:rFonts w:hint="eastAsia" w:ascii="宋体"/>
                <w:color w:val="auto"/>
                <w:highlight w:val="none"/>
              </w:rPr>
              <w:t>证书编号</w:t>
            </w:r>
          </w:p>
        </w:tc>
        <w:tc>
          <w:tcPr>
            <w:tcW w:w="6252" w:type="dxa"/>
            <w:gridSpan w:val="8"/>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0" w:hRule="atLeast"/>
          <w:jc w:val="center"/>
        </w:trPr>
        <w:tc>
          <w:tcPr>
            <w:tcW w:w="9671" w:type="dxa"/>
            <w:gridSpan w:val="11"/>
            <w:vAlign w:val="center"/>
          </w:tcPr>
          <w:p>
            <w:pPr>
              <w:jc w:val="center"/>
              <w:rPr>
                <w:rFonts w:ascii="宋体"/>
                <w:color w:val="auto"/>
                <w:highlight w:val="none"/>
              </w:rPr>
            </w:pPr>
            <w:r>
              <w:rPr>
                <w:rFonts w:hint="eastAsia" w:ascii="宋体"/>
                <w:color w:val="auto"/>
                <w:highlight w:val="none"/>
              </w:rPr>
              <w:t>项目经理工作经验项目情况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jc w:val="center"/>
        </w:trPr>
        <w:tc>
          <w:tcPr>
            <w:tcW w:w="2064" w:type="dxa"/>
            <w:gridSpan w:val="2"/>
            <w:vAlign w:val="center"/>
          </w:tcPr>
          <w:p>
            <w:pPr>
              <w:jc w:val="center"/>
              <w:rPr>
                <w:rFonts w:ascii="宋体"/>
                <w:color w:val="auto"/>
                <w:highlight w:val="none"/>
              </w:rPr>
            </w:pPr>
            <w:r>
              <w:rPr>
                <w:rFonts w:hint="eastAsia" w:ascii="宋体"/>
                <w:color w:val="auto"/>
                <w:highlight w:val="none"/>
              </w:rPr>
              <w:t>建设单位</w:t>
            </w:r>
          </w:p>
        </w:tc>
        <w:tc>
          <w:tcPr>
            <w:tcW w:w="2518" w:type="dxa"/>
            <w:gridSpan w:val="3"/>
            <w:vAlign w:val="center"/>
          </w:tcPr>
          <w:p>
            <w:pPr>
              <w:jc w:val="center"/>
              <w:rPr>
                <w:rFonts w:ascii="宋体"/>
                <w:color w:val="auto"/>
                <w:highlight w:val="none"/>
              </w:rPr>
            </w:pPr>
            <w:r>
              <w:rPr>
                <w:rFonts w:hint="eastAsia" w:ascii="宋体"/>
                <w:color w:val="auto"/>
                <w:highlight w:val="none"/>
              </w:rPr>
              <w:t>项目名称</w:t>
            </w:r>
          </w:p>
        </w:tc>
        <w:tc>
          <w:tcPr>
            <w:tcW w:w="2693" w:type="dxa"/>
            <w:gridSpan w:val="4"/>
            <w:vAlign w:val="center"/>
          </w:tcPr>
          <w:p>
            <w:pPr>
              <w:jc w:val="center"/>
              <w:rPr>
                <w:rFonts w:ascii="宋体"/>
                <w:color w:val="auto"/>
                <w:highlight w:val="none"/>
              </w:rPr>
            </w:pPr>
            <w:r>
              <w:rPr>
                <w:rFonts w:hint="eastAsia" w:ascii="宋体"/>
                <w:color w:val="auto"/>
                <w:highlight w:val="none"/>
              </w:rPr>
              <w:t>内容及规模</w:t>
            </w:r>
          </w:p>
        </w:tc>
        <w:tc>
          <w:tcPr>
            <w:tcW w:w="2396" w:type="dxa"/>
            <w:gridSpan w:val="2"/>
            <w:vAlign w:val="center"/>
          </w:tcPr>
          <w:p>
            <w:pPr>
              <w:jc w:val="center"/>
              <w:rPr>
                <w:rFonts w:ascii="宋体"/>
                <w:color w:val="auto"/>
                <w:highlight w:val="none"/>
              </w:rPr>
            </w:pPr>
            <w:r>
              <w:rPr>
                <w:rFonts w:hint="eastAsia" w:ascii="宋体"/>
                <w:color w:val="auto"/>
                <w:highlight w:val="none"/>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jc w:val="center"/>
        </w:trPr>
        <w:tc>
          <w:tcPr>
            <w:tcW w:w="2064" w:type="dxa"/>
            <w:gridSpan w:val="2"/>
            <w:vAlign w:val="center"/>
          </w:tcPr>
          <w:p>
            <w:pPr>
              <w:jc w:val="center"/>
              <w:rPr>
                <w:rFonts w:ascii="宋体"/>
                <w:color w:val="auto"/>
                <w:highlight w:val="none"/>
              </w:rPr>
            </w:pPr>
          </w:p>
        </w:tc>
        <w:tc>
          <w:tcPr>
            <w:tcW w:w="2518" w:type="dxa"/>
            <w:gridSpan w:val="3"/>
            <w:vAlign w:val="center"/>
          </w:tcPr>
          <w:p>
            <w:pPr>
              <w:jc w:val="center"/>
              <w:rPr>
                <w:rFonts w:ascii="宋体"/>
                <w:color w:val="auto"/>
                <w:highlight w:val="none"/>
              </w:rPr>
            </w:pPr>
          </w:p>
        </w:tc>
        <w:tc>
          <w:tcPr>
            <w:tcW w:w="2693" w:type="dxa"/>
            <w:gridSpan w:val="4"/>
            <w:vAlign w:val="center"/>
          </w:tcPr>
          <w:p>
            <w:pPr>
              <w:jc w:val="center"/>
              <w:rPr>
                <w:rFonts w:ascii="宋体"/>
                <w:color w:val="auto"/>
                <w:highlight w:val="none"/>
              </w:rPr>
            </w:pPr>
          </w:p>
        </w:tc>
        <w:tc>
          <w:tcPr>
            <w:tcW w:w="2396" w:type="dxa"/>
            <w:gridSpan w:val="2"/>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jc w:val="center"/>
        </w:trPr>
        <w:tc>
          <w:tcPr>
            <w:tcW w:w="2064" w:type="dxa"/>
            <w:gridSpan w:val="2"/>
            <w:vAlign w:val="center"/>
          </w:tcPr>
          <w:p>
            <w:pPr>
              <w:jc w:val="center"/>
              <w:rPr>
                <w:rFonts w:ascii="宋体"/>
                <w:color w:val="auto"/>
                <w:highlight w:val="none"/>
              </w:rPr>
            </w:pPr>
          </w:p>
        </w:tc>
        <w:tc>
          <w:tcPr>
            <w:tcW w:w="2518" w:type="dxa"/>
            <w:gridSpan w:val="3"/>
            <w:vAlign w:val="center"/>
          </w:tcPr>
          <w:p>
            <w:pPr>
              <w:jc w:val="center"/>
              <w:rPr>
                <w:rFonts w:ascii="宋体"/>
                <w:color w:val="auto"/>
                <w:highlight w:val="none"/>
              </w:rPr>
            </w:pPr>
          </w:p>
        </w:tc>
        <w:tc>
          <w:tcPr>
            <w:tcW w:w="2693" w:type="dxa"/>
            <w:gridSpan w:val="4"/>
            <w:vAlign w:val="center"/>
          </w:tcPr>
          <w:p>
            <w:pPr>
              <w:jc w:val="center"/>
              <w:rPr>
                <w:rFonts w:ascii="宋体"/>
                <w:color w:val="auto"/>
                <w:highlight w:val="none"/>
              </w:rPr>
            </w:pPr>
          </w:p>
        </w:tc>
        <w:tc>
          <w:tcPr>
            <w:tcW w:w="2396" w:type="dxa"/>
            <w:gridSpan w:val="2"/>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jc w:val="center"/>
        </w:trPr>
        <w:tc>
          <w:tcPr>
            <w:tcW w:w="2064" w:type="dxa"/>
            <w:gridSpan w:val="2"/>
            <w:vAlign w:val="center"/>
          </w:tcPr>
          <w:p>
            <w:pPr>
              <w:jc w:val="center"/>
              <w:rPr>
                <w:rFonts w:ascii="宋体"/>
                <w:color w:val="auto"/>
                <w:highlight w:val="none"/>
              </w:rPr>
            </w:pPr>
          </w:p>
        </w:tc>
        <w:tc>
          <w:tcPr>
            <w:tcW w:w="2518" w:type="dxa"/>
            <w:gridSpan w:val="3"/>
            <w:vAlign w:val="center"/>
          </w:tcPr>
          <w:p>
            <w:pPr>
              <w:jc w:val="center"/>
              <w:rPr>
                <w:rFonts w:ascii="宋体"/>
                <w:color w:val="auto"/>
                <w:highlight w:val="none"/>
              </w:rPr>
            </w:pPr>
          </w:p>
        </w:tc>
        <w:tc>
          <w:tcPr>
            <w:tcW w:w="2693" w:type="dxa"/>
            <w:gridSpan w:val="4"/>
            <w:vAlign w:val="center"/>
          </w:tcPr>
          <w:p>
            <w:pPr>
              <w:jc w:val="center"/>
              <w:rPr>
                <w:rFonts w:ascii="宋体"/>
                <w:color w:val="auto"/>
                <w:highlight w:val="none"/>
              </w:rPr>
            </w:pPr>
          </w:p>
        </w:tc>
        <w:tc>
          <w:tcPr>
            <w:tcW w:w="2396" w:type="dxa"/>
            <w:gridSpan w:val="2"/>
            <w:vAlign w:val="center"/>
          </w:tcPr>
          <w:p>
            <w:pPr>
              <w:jc w:val="cente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jc w:val="center"/>
        </w:trPr>
        <w:tc>
          <w:tcPr>
            <w:tcW w:w="2064" w:type="dxa"/>
            <w:gridSpan w:val="2"/>
            <w:vAlign w:val="center"/>
          </w:tcPr>
          <w:p>
            <w:pPr>
              <w:jc w:val="center"/>
              <w:rPr>
                <w:rFonts w:ascii="宋体"/>
                <w:color w:val="auto"/>
                <w:highlight w:val="none"/>
              </w:rPr>
            </w:pPr>
          </w:p>
        </w:tc>
        <w:tc>
          <w:tcPr>
            <w:tcW w:w="2518" w:type="dxa"/>
            <w:gridSpan w:val="3"/>
            <w:vAlign w:val="center"/>
          </w:tcPr>
          <w:p>
            <w:pPr>
              <w:jc w:val="center"/>
              <w:rPr>
                <w:rFonts w:ascii="宋体"/>
                <w:color w:val="auto"/>
                <w:highlight w:val="none"/>
              </w:rPr>
            </w:pPr>
          </w:p>
        </w:tc>
        <w:tc>
          <w:tcPr>
            <w:tcW w:w="2693" w:type="dxa"/>
            <w:gridSpan w:val="4"/>
            <w:vAlign w:val="center"/>
          </w:tcPr>
          <w:p>
            <w:pPr>
              <w:jc w:val="center"/>
              <w:rPr>
                <w:rFonts w:ascii="宋体"/>
                <w:color w:val="auto"/>
                <w:highlight w:val="none"/>
              </w:rPr>
            </w:pPr>
          </w:p>
        </w:tc>
        <w:tc>
          <w:tcPr>
            <w:tcW w:w="2396" w:type="dxa"/>
            <w:gridSpan w:val="2"/>
            <w:vAlign w:val="center"/>
          </w:tcPr>
          <w:p>
            <w:pPr>
              <w:jc w:val="center"/>
              <w:rPr>
                <w:rFonts w:ascii="宋体"/>
                <w:color w:val="auto"/>
                <w:highlight w:val="none"/>
              </w:rPr>
            </w:pPr>
          </w:p>
        </w:tc>
      </w:tr>
    </w:tbl>
    <w:p>
      <w:pPr>
        <w:ind w:firstLine="422"/>
        <w:outlineLvl w:val="2"/>
        <w:rPr>
          <w:rFonts w:ascii="宋体"/>
          <w:b/>
          <w:color w:val="auto"/>
          <w:highlight w:val="none"/>
        </w:rPr>
      </w:pPr>
      <w:bookmarkStart w:id="666" w:name="_Toc513650802"/>
      <w:bookmarkStart w:id="667" w:name="_Toc26214"/>
      <w:bookmarkStart w:id="668" w:name="_Toc511598761"/>
      <w:bookmarkStart w:id="669" w:name="_Toc511599548"/>
      <w:r>
        <w:rPr>
          <w:rFonts w:hint="eastAsia" w:ascii="宋体"/>
          <w:b/>
          <w:color w:val="auto"/>
          <w:highlight w:val="none"/>
        </w:rPr>
        <w:t>附资格证书、正式劳动合同及</w:t>
      </w:r>
      <w:r>
        <w:rPr>
          <w:rFonts w:ascii="宋体"/>
          <w:b/>
          <w:color w:val="auto"/>
          <w:highlight w:val="none"/>
        </w:rPr>
        <w:t>缴纳的社保证明</w:t>
      </w:r>
      <w:r>
        <w:rPr>
          <w:rFonts w:hint="eastAsia" w:ascii="宋体"/>
          <w:b/>
          <w:color w:val="auto"/>
          <w:highlight w:val="none"/>
        </w:rPr>
        <w:t>复印件</w:t>
      </w:r>
      <w:bookmarkEnd w:id="666"/>
      <w:bookmarkEnd w:id="667"/>
      <w:bookmarkEnd w:id="668"/>
      <w:bookmarkEnd w:id="669"/>
    </w:p>
    <w:p>
      <w:pPr>
        <w:autoSpaceDE w:val="0"/>
        <w:autoSpaceDN w:val="0"/>
        <w:spacing w:line="360" w:lineRule="auto"/>
        <w:ind w:firstLine="560" w:firstLineChars="200"/>
        <w:rPr>
          <w:rFonts w:ascii="仿宋_GB2312" w:eastAsia="仿宋_GB2312"/>
          <w:color w:val="auto"/>
          <w:sz w:val="28"/>
          <w:szCs w:val="28"/>
          <w:highlight w:val="none"/>
        </w:rPr>
      </w:pPr>
    </w:p>
    <w:p>
      <w:pPr>
        <w:autoSpaceDE w:val="0"/>
        <w:autoSpaceDN w:val="0"/>
        <w:spacing w:line="360" w:lineRule="auto"/>
        <w:ind w:firstLine="560" w:firstLineChars="200"/>
        <w:outlineLvl w:val="9"/>
        <w:rPr>
          <w:rFonts w:ascii="仿宋_GB2312" w:eastAsia="仿宋_GB2312"/>
          <w:color w:val="auto"/>
          <w:sz w:val="28"/>
          <w:szCs w:val="28"/>
          <w:highlight w:val="none"/>
        </w:rPr>
      </w:pPr>
    </w:p>
    <w:p>
      <w:pPr>
        <w:autoSpaceDE w:val="0"/>
        <w:autoSpaceDN w:val="0"/>
        <w:spacing w:line="360" w:lineRule="auto"/>
        <w:ind w:firstLine="560" w:firstLineChars="200"/>
        <w:outlineLvl w:val="9"/>
        <w:rPr>
          <w:rFonts w:ascii="仿宋_GB2312" w:eastAsia="仿宋_GB2312"/>
          <w:color w:val="auto"/>
          <w:sz w:val="28"/>
          <w:szCs w:val="28"/>
          <w:highlight w:val="none"/>
        </w:rPr>
      </w:pPr>
    </w:p>
    <w:p>
      <w:pPr>
        <w:autoSpaceDE w:val="0"/>
        <w:autoSpaceDN w:val="0"/>
        <w:spacing w:line="360" w:lineRule="auto"/>
        <w:ind w:firstLine="560" w:firstLineChars="20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谈判申请人（单位公章）：</w:t>
      </w:r>
    </w:p>
    <w:p>
      <w:pPr>
        <w:outlineLvl w:val="9"/>
        <w:rPr>
          <w:color w:val="auto"/>
          <w:highlight w:val="none"/>
        </w:rPr>
      </w:pPr>
    </w:p>
    <w:p>
      <w:pPr>
        <w:autoSpaceDE w:val="0"/>
        <w:autoSpaceDN w:val="0"/>
        <w:spacing w:line="360" w:lineRule="auto"/>
        <w:ind w:firstLine="560" w:firstLineChars="200"/>
        <w:outlineLvl w:val="9"/>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法定代表人或其授权代表（签字）： </w:t>
      </w:r>
    </w:p>
    <w:p>
      <w:pPr>
        <w:outlineLvl w:val="9"/>
        <w:rPr>
          <w:color w:val="auto"/>
          <w:highlight w:val="none"/>
        </w:rPr>
      </w:pPr>
    </w:p>
    <w:p>
      <w:pPr>
        <w:autoSpaceDE w:val="0"/>
        <w:autoSpaceDN w:val="0"/>
        <w:spacing w:line="360" w:lineRule="auto"/>
        <w:ind w:firstLine="560" w:firstLineChars="200"/>
        <w:outlineLvl w:val="9"/>
        <w:rPr>
          <w:rFonts w:hint="eastAsia" w:ascii="仿宋_GB2312" w:eastAsia="仿宋_GB2312"/>
          <w:color w:val="auto"/>
          <w:sz w:val="28"/>
          <w:szCs w:val="28"/>
          <w:highlight w:val="none"/>
        </w:rPr>
        <w:sectPr>
          <w:pgSz w:w="11906" w:h="16838"/>
          <w:pgMar w:top="1440" w:right="1800" w:bottom="1440" w:left="1800" w:header="510" w:footer="680" w:gutter="0"/>
          <w:cols w:space="720" w:num="1"/>
          <w:titlePg/>
          <w:docGrid w:type="linesAndChars" w:linePitch="312" w:charSpace="0"/>
        </w:sectPr>
      </w:pPr>
      <w:r>
        <w:rPr>
          <w:rFonts w:hint="eastAsia" w:ascii="仿宋_GB2312" w:eastAsia="仿宋_GB2312"/>
          <w:color w:val="auto"/>
          <w:sz w:val="28"/>
          <w:szCs w:val="28"/>
          <w:highlight w:val="none"/>
        </w:rPr>
        <w:t xml:space="preserve">日期：年 月   日 </w:t>
      </w:r>
    </w:p>
    <w:p>
      <w:pPr>
        <w:pStyle w:val="3"/>
        <w:spacing w:line="360" w:lineRule="auto"/>
        <w:jc w:val="center"/>
        <w:rPr>
          <w:rFonts w:ascii="宋体" w:hAnsi="宋体" w:eastAsia="宋体"/>
          <w:color w:val="auto"/>
          <w:highlight w:val="none"/>
        </w:rPr>
      </w:pPr>
      <w:bookmarkStart w:id="670" w:name="_Toc26719"/>
      <w:r>
        <w:rPr>
          <w:rFonts w:hint="eastAsia" w:ascii="宋体" w:hAnsi="宋体" w:eastAsia="宋体"/>
          <w:color w:val="auto"/>
          <w:highlight w:val="none"/>
        </w:rPr>
        <w:t>（四）申请人基本情况表</w:t>
      </w:r>
      <w:bookmarkEnd w:id="670"/>
    </w:p>
    <w:bookmarkEnd w:id="652"/>
    <w:bookmarkEnd w:id="653"/>
    <w:bookmarkEnd w:id="654"/>
    <w:bookmarkEnd w:id="655"/>
    <w:bookmarkEnd w:id="656"/>
    <w:bookmarkEnd w:id="657"/>
    <w:bookmarkEnd w:id="658"/>
    <w:bookmarkEnd w:id="659"/>
    <w:bookmarkEnd w:id="660"/>
    <w:tbl>
      <w:tblPr>
        <w:tblStyle w:val="6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204"/>
        <w:gridCol w:w="982"/>
        <w:gridCol w:w="965"/>
        <w:gridCol w:w="251"/>
        <w:gridCol w:w="18"/>
        <w:gridCol w:w="1765"/>
        <w:gridCol w:w="45"/>
        <w:gridCol w:w="844"/>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谈判申请人名称</w:t>
            </w:r>
          </w:p>
        </w:tc>
        <w:tc>
          <w:tcPr>
            <w:tcW w:w="7595" w:type="dxa"/>
            <w:gridSpan w:val="9"/>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注册地址</w:t>
            </w:r>
          </w:p>
        </w:tc>
        <w:tc>
          <w:tcPr>
            <w:tcW w:w="3402" w:type="dxa"/>
            <w:gridSpan w:val="4"/>
            <w:vAlign w:val="center"/>
          </w:tcPr>
          <w:p>
            <w:pPr>
              <w:adjustRightInd w:val="0"/>
              <w:snapToGrid w:val="0"/>
              <w:jc w:val="center"/>
              <w:rPr>
                <w:rFonts w:asciiTheme="minorEastAsia" w:hAnsiTheme="minorEastAsia" w:eastAsiaTheme="minorEastAsia"/>
                <w:color w:val="auto"/>
                <w:szCs w:val="21"/>
                <w:highlight w:val="none"/>
              </w:rPr>
            </w:pPr>
          </w:p>
        </w:tc>
        <w:tc>
          <w:tcPr>
            <w:tcW w:w="1828"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邮政编码</w:t>
            </w:r>
          </w:p>
        </w:tc>
        <w:tc>
          <w:tcPr>
            <w:tcW w:w="2365" w:type="dxa"/>
            <w:gridSpan w:val="2"/>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Merge w:val="restart"/>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联系方式</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联系人</w:t>
            </w:r>
          </w:p>
        </w:tc>
        <w:tc>
          <w:tcPr>
            <w:tcW w:w="2198" w:type="dxa"/>
            <w:gridSpan w:val="3"/>
            <w:vAlign w:val="center"/>
          </w:tcPr>
          <w:p>
            <w:pPr>
              <w:adjustRightInd w:val="0"/>
              <w:snapToGrid w:val="0"/>
              <w:jc w:val="center"/>
              <w:rPr>
                <w:rFonts w:asciiTheme="minorEastAsia" w:hAnsiTheme="minorEastAsia" w:eastAsiaTheme="minorEastAsia"/>
                <w:color w:val="auto"/>
                <w:szCs w:val="21"/>
                <w:highlight w:val="none"/>
              </w:rPr>
            </w:pPr>
          </w:p>
        </w:tc>
        <w:tc>
          <w:tcPr>
            <w:tcW w:w="1828"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电  话</w:t>
            </w:r>
          </w:p>
        </w:tc>
        <w:tc>
          <w:tcPr>
            <w:tcW w:w="2365" w:type="dxa"/>
            <w:gridSpan w:val="2"/>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Merge w:val="continue"/>
            <w:vAlign w:val="center"/>
          </w:tcPr>
          <w:p>
            <w:pPr>
              <w:adjustRightInd w:val="0"/>
              <w:snapToGrid w:val="0"/>
              <w:jc w:val="center"/>
              <w:rPr>
                <w:rFonts w:asciiTheme="minorEastAsia" w:hAnsiTheme="minorEastAsia" w:eastAsiaTheme="minorEastAsia"/>
                <w:color w:val="auto"/>
                <w:szCs w:val="21"/>
                <w:highlight w:val="none"/>
              </w:rPr>
            </w:pPr>
          </w:p>
        </w:tc>
        <w:tc>
          <w:tcPr>
            <w:tcW w:w="1204"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传  真</w:t>
            </w:r>
          </w:p>
        </w:tc>
        <w:tc>
          <w:tcPr>
            <w:tcW w:w="2198" w:type="dxa"/>
            <w:gridSpan w:val="3"/>
            <w:vAlign w:val="center"/>
          </w:tcPr>
          <w:p>
            <w:pPr>
              <w:adjustRightInd w:val="0"/>
              <w:snapToGrid w:val="0"/>
              <w:jc w:val="center"/>
              <w:rPr>
                <w:rFonts w:asciiTheme="minorEastAsia" w:hAnsiTheme="minorEastAsia" w:eastAsiaTheme="minorEastAsia"/>
                <w:color w:val="auto"/>
                <w:szCs w:val="21"/>
                <w:highlight w:val="none"/>
              </w:rPr>
            </w:pPr>
          </w:p>
        </w:tc>
        <w:tc>
          <w:tcPr>
            <w:tcW w:w="1828"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网  址</w:t>
            </w:r>
          </w:p>
        </w:tc>
        <w:tc>
          <w:tcPr>
            <w:tcW w:w="2365" w:type="dxa"/>
            <w:gridSpan w:val="2"/>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组织结构</w:t>
            </w:r>
          </w:p>
        </w:tc>
        <w:tc>
          <w:tcPr>
            <w:tcW w:w="7595" w:type="dxa"/>
            <w:gridSpan w:val="9"/>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法定代表人</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姓名</w:t>
            </w: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12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技术职称</w:t>
            </w:r>
          </w:p>
        </w:tc>
        <w:tc>
          <w:tcPr>
            <w:tcW w:w="1765" w:type="dxa"/>
            <w:vAlign w:val="center"/>
          </w:tcPr>
          <w:p>
            <w:pPr>
              <w:adjustRightInd w:val="0"/>
              <w:snapToGrid w:val="0"/>
              <w:jc w:val="center"/>
              <w:rPr>
                <w:rFonts w:asciiTheme="minorEastAsia" w:hAnsiTheme="minorEastAsia" w:eastAsiaTheme="minorEastAsia"/>
                <w:color w:val="auto"/>
                <w:szCs w:val="21"/>
                <w:highlight w:val="none"/>
              </w:rPr>
            </w:pPr>
          </w:p>
        </w:tc>
        <w:tc>
          <w:tcPr>
            <w:tcW w:w="889" w:type="dxa"/>
            <w:gridSpan w:val="2"/>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电话</w:t>
            </w:r>
          </w:p>
        </w:tc>
        <w:tc>
          <w:tcPr>
            <w:tcW w:w="1521" w:type="dxa"/>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技术负责人</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姓名</w:t>
            </w: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12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技术职称</w:t>
            </w:r>
          </w:p>
        </w:tc>
        <w:tc>
          <w:tcPr>
            <w:tcW w:w="1765" w:type="dxa"/>
            <w:vAlign w:val="center"/>
          </w:tcPr>
          <w:p>
            <w:pPr>
              <w:adjustRightInd w:val="0"/>
              <w:snapToGrid w:val="0"/>
              <w:jc w:val="center"/>
              <w:rPr>
                <w:rFonts w:asciiTheme="minorEastAsia" w:hAnsiTheme="minorEastAsia" w:eastAsiaTheme="minorEastAsia"/>
                <w:color w:val="auto"/>
                <w:szCs w:val="21"/>
                <w:highlight w:val="none"/>
              </w:rPr>
            </w:pPr>
          </w:p>
        </w:tc>
        <w:tc>
          <w:tcPr>
            <w:tcW w:w="889" w:type="dxa"/>
            <w:gridSpan w:val="2"/>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电话</w:t>
            </w:r>
          </w:p>
        </w:tc>
        <w:tc>
          <w:tcPr>
            <w:tcW w:w="1521" w:type="dxa"/>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成立时间</w:t>
            </w:r>
          </w:p>
        </w:tc>
        <w:tc>
          <w:tcPr>
            <w:tcW w:w="2186" w:type="dxa"/>
            <w:gridSpan w:val="2"/>
            <w:vAlign w:val="center"/>
          </w:tcPr>
          <w:p>
            <w:pPr>
              <w:adjustRightInd w:val="0"/>
              <w:snapToGrid w:val="0"/>
              <w:jc w:val="center"/>
              <w:rPr>
                <w:rFonts w:asciiTheme="minorEastAsia" w:hAnsiTheme="minorEastAsia" w:eastAsiaTheme="minorEastAsia"/>
                <w:color w:val="auto"/>
                <w:szCs w:val="21"/>
                <w:highlight w:val="none"/>
              </w:rPr>
            </w:pPr>
          </w:p>
        </w:tc>
        <w:tc>
          <w:tcPr>
            <w:tcW w:w="5409" w:type="dxa"/>
            <w:gridSpan w:val="7"/>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企业资质等级</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965" w:type="dxa"/>
            <w:vMerge w:val="restart"/>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其中</w:t>
            </w:r>
          </w:p>
        </w:tc>
        <w:tc>
          <w:tcPr>
            <w:tcW w:w="20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项目经理</w:t>
            </w:r>
          </w:p>
        </w:tc>
        <w:tc>
          <w:tcPr>
            <w:tcW w:w="2410" w:type="dxa"/>
            <w:gridSpan w:val="3"/>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营业执照号</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965" w:type="dxa"/>
            <w:vMerge w:val="continue"/>
            <w:vAlign w:val="center"/>
          </w:tcPr>
          <w:p>
            <w:pPr>
              <w:adjustRightInd w:val="0"/>
              <w:snapToGrid w:val="0"/>
              <w:jc w:val="center"/>
              <w:rPr>
                <w:rFonts w:asciiTheme="minorEastAsia" w:hAnsiTheme="minorEastAsia" w:eastAsiaTheme="minorEastAsia"/>
                <w:color w:val="auto"/>
                <w:szCs w:val="21"/>
                <w:highlight w:val="none"/>
              </w:rPr>
            </w:pPr>
          </w:p>
        </w:tc>
        <w:tc>
          <w:tcPr>
            <w:tcW w:w="20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高级职称人员</w:t>
            </w:r>
          </w:p>
        </w:tc>
        <w:tc>
          <w:tcPr>
            <w:tcW w:w="2410" w:type="dxa"/>
            <w:gridSpan w:val="3"/>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注册资金</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965" w:type="dxa"/>
            <w:vMerge w:val="continue"/>
            <w:vAlign w:val="center"/>
          </w:tcPr>
          <w:p>
            <w:pPr>
              <w:adjustRightInd w:val="0"/>
              <w:snapToGrid w:val="0"/>
              <w:jc w:val="center"/>
              <w:rPr>
                <w:rFonts w:asciiTheme="minorEastAsia" w:hAnsiTheme="minorEastAsia" w:eastAsiaTheme="minorEastAsia"/>
                <w:color w:val="auto"/>
                <w:szCs w:val="21"/>
                <w:highlight w:val="none"/>
              </w:rPr>
            </w:pPr>
          </w:p>
        </w:tc>
        <w:tc>
          <w:tcPr>
            <w:tcW w:w="20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中级职称人员</w:t>
            </w:r>
          </w:p>
        </w:tc>
        <w:tc>
          <w:tcPr>
            <w:tcW w:w="2410" w:type="dxa"/>
            <w:gridSpan w:val="3"/>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开户银行</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965" w:type="dxa"/>
            <w:vMerge w:val="continue"/>
            <w:vAlign w:val="center"/>
          </w:tcPr>
          <w:p>
            <w:pPr>
              <w:adjustRightInd w:val="0"/>
              <w:snapToGrid w:val="0"/>
              <w:jc w:val="center"/>
              <w:rPr>
                <w:rFonts w:asciiTheme="minorEastAsia" w:hAnsiTheme="minorEastAsia" w:eastAsiaTheme="minorEastAsia"/>
                <w:color w:val="auto"/>
                <w:szCs w:val="21"/>
                <w:highlight w:val="none"/>
              </w:rPr>
            </w:pPr>
          </w:p>
        </w:tc>
        <w:tc>
          <w:tcPr>
            <w:tcW w:w="20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初级职称人员</w:t>
            </w:r>
          </w:p>
        </w:tc>
        <w:tc>
          <w:tcPr>
            <w:tcW w:w="2410" w:type="dxa"/>
            <w:gridSpan w:val="3"/>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账号</w:t>
            </w:r>
          </w:p>
        </w:tc>
        <w:tc>
          <w:tcPr>
            <w:tcW w:w="1204" w:type="dxa"/>
            <w:vAlign w:val="center"/>
          </w:tcPr>
          <w:p>
            <w:pPr>
              <w:adjustRightInd w:val="0"/>
              <w:snapToGrid w:val="0"/>
              <w:jc w:val="center"/>
              <w:rPr>
                <w:rFonts w:asciiTheme="minorEastAsia" w:hAnsiTheme="minorEastAsia" w:eastAsiaTheme="minorEastAsia"/>
                <w:color w:val="auto"/>
                <w:szCs w:val="21"/>
                <w:highlight w:val="none"/>
              </w:rPr>
            </w:pPr>
          </w:p>
        </w:tc>
        <w:tc>
          <w:tcPr>
            <w:tcW w:w="982" w:type="dxa"/>
            <w:vAlign w:val="center"/>
          </w:tcPr>
          <w:p>
            <w:pPr>
              <w:adjustRightInd w:val="0"/>
              <w:snapToGrid w:val="0"/>
              <w:jc w:val="center"/>
              <w:rPr>
                <w:rFonts w:asciiTheme="minorEastAsia" w:hAnsiTheme="minorEastAsia" w:eastAsiaTheme="minorEastAsia"/>
                <w:color w:val="auto"/>
                <w:szCs w:val="21"/>
                <w:highlight w:val="none"/>
              </w:rPr>
            </w:pPr>
          </w:p>
        </w:tc>
        <w:tc>
          <w:tcPr>
            <w:tcW w:w="965" w:type="dxa"/>
            <w:vMerge w:val="continue"/>
            <w:vAlign w:val="center"/>
          </w:tcPr>
          <w:p>
            <w:pPr>
              <w:adjustRightInd w:val="0"/>
              <w:snapToGrid w:val="0"/>
              <w:jc w:val="center"/>
              <w:rPr>
                <w:rFonts w:asciiTheme="minorEastAsia" w:hAnsiTheme="minorEastAsia" w:eastAsiaTheme="minorEastAsia"/>
                <w:color w:val="auto"/>
                <w:szCs w:val="21"/>
                <w:highlight w:val="none"/>
              </w:rPr>
            </w:pPr>
          </w:p>
        </w:tc>
        <w:tc>
          <w:tcPr>
            <w:tcW w:w="2034" w:type="dxa"/>
            <w:gridSpan w:val="3"/>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技  工</w:t>
            </w:r>
          </w:p>
        </w:tc>
        <w:tc>
          <w:tcPr>
            <w:tcW w:w="2410" w:type="dxa"/>
            <w:gridSpan w:val="3"/>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经营范围</w:t>
            </w:r>
          </w:p>
        </w:tc>
        <w:tc>
          <w:tcPr>
            <w:tcW w:w="7595" w:type="dxa"/>
            <w:gridSpan w:val="9"/>
            <w:vAlign w:val="center"/>
          </w:tcPr>
          <w:p>
            <w:pPr>
              <w:adjustRightInd w:val="0"/>
              <w:snapToGrid w:val="0"/>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91" w:type="dxa"/>
            <w:vAlign w:val="center"/>
          </w:tcPr>
          <w:p>
            <w:pPr>
              <w:adjustRightInd w:val="0"/>
              <w:snapToGrid w:val="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备注</w:t>
            </w:r>
          </w:p>
        </w:tc>
        <w:tc>
          <w:tcPr>
            <w:tcW w:w="7595" w:type="dxa"/>
            <w:gridSpan w:val="9"/>
            <w:vAlign w:val="center"/>
          </w:tcPr>
          <w:p>
            <w:pPr>
              <w:adjustRightInd w:val="0"/>
              <w:snapToGrid w:val="0"/>
              <w:jc w:val="center"/>
              <w:rPr>
                <w:rFonts w:asciiTheme="minorEastAsia" w:hAnsiTheme="minorEastAsia" w:eastAsiaTheme="minorEastAsia"/>
                <w:color w:val="auto"/>
                <w:szCs w:val="21"/>
                <w:highlight w:val="none"/>
              </w:rPr>
            </w:pPr>
          </w:p>
        </w:tc>
      </w:tr>
    </w:tbl>
    <w:p>
      <w:pPr>
        <w:spacing w:line="360" w:lineRule="auto"/>
        <w:rPr>
          <w:rFonts w:hAnsi="宋体"/>
          <w:bCs/>
          <w:color w:val="auto"/>
          <w:szCs w:val="21"/>
          <w:highlight w:val="none"/>
        </w:rPr>
      </w:pPr>
      <w:r>
        <w:rPr>
          <w:rFonts w:hint="eastAsia" w:ascii="宋体" w:hAnsi="宋体"/>
          <w:color w:val="auto"/>
          <w:szCs w:val="21"/>
          <w:highlight w:val="none"/>
        </w:rPr>
        <w:t>说明：表格不够可另附页。</w:t>
      </w:r>
    </w:p>
    <w:p>
      <w:pPr>
        <w:autoSpaceDE w:val="0"/>
        <w:autoSpaceDN w:val="0"/>
        <w:adjustRightInd w:val="0"/>
        <w:spacing w:line="360" w:lineRule="auto"/>
        <w:ind w:firstLine="210" w:firstLineChars="100"/>
        <w:jc w:val="left"/>
        <w:rPr>
          <w:rFonts w:ascii="宋体" w:cs="宋体"/>
          <w:color w:val="auto"/>
          <w:kern w:val="0"/>
          <w:szCs w:val="21"/>
          <w:highlight w:val="none"/>
        </w:rPr>
      </w:pPr>
      <w:r>
        <w:rPr>
          <w:rFonts w:hint="eastAsia" w:ascii="宋体" w:cs="宋体"/>
          <w:color w:val="auto"/>
          <w:kern w:val="0"/>
          <w:szCs w:val="21"/>
          <w:highlight w:val="none"/>
        </w:rPr>
        <w:t>谈判申请人（单位公章）：</w:t>
      </w:r>
    </w:p>
    <w:p>
      <w:pPr>
        <w:autoSpaceDE w:val="0"/>
        <w:autoSpaceDN w:val="0"/>
        <w:adjustRightInd w:val="0"/>
        <w:spacing w:line="360" w:lineRule="auto"/>
        <w:ind w:firstLine="210" w:firstLineChars="100"/>
        <w:jc w:val="left"/>
        <w:rPr>
          <w:rFonts w:ascii="宋体" w:cs="宋体"/>
          <w:color w:val="auto"/>
          <w:kern w:val="0"/>
          <w:szCs w:val="21"/>
          <w:highlight w:val="none"/>
        </w:rPr>
      </w:pPr>
      <w:r>
        <w:rPr>
          <w:rFonts w:ascii="宋体" w:cs="宋体"/>
          <w:color w:val="auto"/>
          <w:kern w:val="0"/>
          <w:szCs w:val="21"/>
          <w:highlight w:val="none"/>
        </w:rPr>
        <w:t>法定代表人或委托代理人</w:t>
      </w:r>
      <w:r>
        <w:rPr>
          <w:rFonts w:hint="eastAsia" w:ascii="宋体" w:cs="宋体"/>
          <w:color w:val="auto"/>
          <w:kern w:val="0"/>
          <w:szCs w:val="21"/>
          <w:highlight w:val="none"/>
        </w:rPr>
        <w:t>（签字或盖章）：</w:t>
      </w:r>
    </w:p>
    <w:p>
      <w:pPr>
        <w:spacing w:line="360" w:lineRule="auto"/>
        <w:rPr>
          <w:rFonts w:ascii="宋体" w:hAnsi="宋体" w:cs="宋体"/>
          <w:color w:val="auto"/>
          <w:szCs w:val="21"/>
          <w:highlight w:val="none"/>
          <w:u w:val="single"/>
        </w:rPr>
      </w:pPr>
      <w:r>
        <w:rPr>
          <w:rFonts w:hint="eastAsia" w:ascii="宋体" w:cs="宋体"/>
          <w:color w:val="auto"/>
          <w:kern w:val="0"/>
          <w:szCs w:val="21"/>
          <w:highlight w:val="none"/>
        </w:rPr>
        <w:t>日期：</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p>
    <w:p>
      <w:pPr>
        <w:widowControl/>
        <w:jc w:val="left"/>
        <w:rPr>
          <w:rFonts w:asciiTheme="minorEastAsia" w:hAnsiTheme="minorEastAsia" w:eastAsiaTheme="minorEastAsia"/>
          <w:color w:val="auto"/>
          <w:sz w:val="28"/>
          <w:szCs w:val="28"/>
          <w:highlight w:val="none"/>
        </w:rPr>
      </w:pPr>
      <w:r>
        <w:rPr>
          <w:rFonts w:asciiTheme="minorEastAsia" w:hAnsiTheme="minorEastAsia" w:eastAsiaTheme="minorEastAsia"/>
          <w:color w:val="auto"/>
          <w:sz w:val="28"/>
          <w:szCs w:val="28"/>
          <w:highlight w:val="none"/>
        </w:rPr>
        <w:br w:type="page"/>
      </w:r>
    </w:p>
    <w:p>
      <w:pPr>
        <w:pStyle w:val="3"/>
        <w:spacing w:line="360" w:lineRule="auto"/>
        <w:jc w:val="center"/>
        <w:rPr>
          <w:rFonts w:ascii="宋体" w:hAnsi="宋体" w:eastAsia="宋体"/>
          <w:color w:val="auto"/>
          <w:highlight w:val="none"/>
        </w:rPr>
      </w:pPr>
      <w:bookmarkStart w:id="671" w:name="_Toc7162"/>
      <w:bookmarkStart w:id="672" w:name="_Toc25250"/>
      <w:bookmarkStart w:id="673" w:name="_Toc439554176"/>
      <w:bookmarkStart w:id="674" w:name="_Toc55229807"/>
      <w:bookmarkStart w:id="675" w:name="_Toc55303766"/>
      <w:bookmarkStart w:id="676" w:name="_Toc24652"/>
      <w:bookmarkStart w:id="677" w:name="_Toc55310079"/>
      <w:bookmarkStart w:id="678" w:name="_Toc27817"/>
      <w:bookmarkStart w:id="679" w:name="_Toc440110304"/>
      <w:bookmarkStart w:id="680" w:name="_Toc435803802"/>
      <w:bookmarkStart w:id="681" w:name="OLE_LINK69"/>
      <w:bookmarkStart w:id="682" w:name="OLE_LINK68"/>
      <w:bookmarkStart w:id="683" w:name="_Toc386046243"/>
      <w:r>
        <w:rPr>
          <w:rFonts w:hint="eastAsia" w:ascii="宋体" w:hAnsi="宋体" w:eastAsia="宋体"/>
          <w:color w:val="auto"/>
          <w:highlight w:val="none"/>
        </w:rPr>
        <w:t>（五）申请人认为应提供的其它相关资料</w:t>
      </w:r>
      <w:bookmarkEnd w:id="671"/>
      <w:bookmarkEnd w:id="672"/>
      <w:bookmarkEnd w:id="673"/>
      <w:bookmarkEnd w:id="674"/>
      <w:bookmarkEnd w:id="675"/>
      <w:bookmarkEnd w:id="676"/>
      <w:bookmarkEnd w:id="677"/>
      <w:bookmarkEnd w:id="678"/>
      <w:bookmarkEnd w:id="679"/>
      <w:bookmarkEnd w:id="680"/>
    </w:p>
    <w:p>
      <w:pPr>
        <w:spacing w:line="360" w:lineRule="auto"/>
        <w:ind w:firstLine="480" w:firstLineChars="200"/>
        <w:rPr>
          <w:rFonts w:hAnsi="宋体"/>
          <w:bCs/>
          <w:color w:val="auto"/>
          <w:sz w:val="24"/>
          <w:szCs w:val="24"/>
          <w:highlight w:val="none"/>
        </w:rPr>
      </w:pPr>
      <w:r>
        <w:rPr>
          <w:rFonts w:hint="eastAsia" w:ascii="宋体" w:cs="宋体"/>
          <w:color w:val="auto"/>
          <w:kern w:val="0"/>
          <w:sz w:val="24"/>
          <w:szCs w:val="24"/>
          <w:highlight w:val="none"/>
        </w:rPr>
        <w:t>谈判文件规定的其他资料或申请人认为有必要提供的相关资料</w:t>
      </w:r>
      <w:bookmarkEnd w:id="681"/>
      <w:bookmarkEnd w:id="682"/>
      <w:r>
        <w:rPr>
          <w:rFonts w:hint="eastAsia" w:ascii="宋体" w:cs="宋体"/>
          <w:color w:val="auto"/>
          <w:kern w:val="0"/>
          <w:sz w:val="24"/>
          <w:szCs w:val="24"/>
          <w:highlight w:val="none"/>
        </w:rPr>
        <w:t>。</w:t>
      </w:r>
    </w:p>
    <w:p>
      <w:pPr>
        <w:adjustRightInd w:val="0"/>
        <w:snapToGrid w:val="0"/>
        <w:spacing w:before="240" w:line="360" w:lineRule="auto"/>
        <w:rPr>
          <w:rFonts w:asciiTheme="minorEastAsia" w:hAnsiTheme="minorEastAsia" w:eastAsiaTheme="minorEastAsia"/>
          <w:b/>
          <w:color w:val="auto"/>
          <w:sz w:val="24"/>
          <w:szCs w:val="21"/>
          <w:highlight w:val="none"/>
        </w:rPr>
      </w:pPr>
      <w:r>
        <w:rPr>
          <w:rFonts w:asciiTheme="minorEastAsia" w:hAnsiTheme="minorEastAsia" w:eastAsiaTheme="minorEastAsia"/>
          <w:b/>
          <w:color w:val="auto"/>
          <w:sz w:val="24"/>
          <w:szCs w:val="21"/>
          <w:highlight w:val="none"/>
        </w:rPr>
        <w:br w:type="page"/>
      </w:r>
    </w:p>
    <w:bookmarkEnd w:id="683"/>
    <w:p>
      <w:pPr>
        <w:pStyle w:val="4"/>
        <w:ind w:firstLine="0" w:firstLineChars="0"/>
        <w:rPr>
          <w:rFonts w:hint="eastAsia" w:asciiTheme="minorEastAsia" w:hAnsiTheme="minorEastAsia" w:eastAsiaTheme="minorEastAsia"/>
          <w:bCs w:val="0"/>
          <w:snapToGrid w:val="0"/>
          <w:color w:val="auto"/>
          <w:highlight w:val="none"/>
        </w:rPr>
        <w:sectPr>
          <w:pgSz w:w="11906" w:h="16838"/>
          <w:pgMar w:top="1440" w:right="1800" w:bottom="1440" w:left="1800" w:header="510" w:footer="680" w:gutter="0"/>
          <w:cols w:space="720" w:num="1"/>
          <w:titlePg/>
          <w:docGrid w:type="linesAndChars" w:linePitch="312" w:charSpace="0"/>
        </w:sectPr>
      </w:pPr>
      <w:bookmarkStart w:id="684" w:name="_Toc130562792"/>
      <w:bookmarkStart w:id="685" w:name="_Toc130564368"/>
      <w:bookmarkStart w:id="686" w:name="_Toc139987968"/>
      <w:bookmarkStart w:id="687" w:name="_Toc130564935"/>
    </w:p>
    <w:bookmarkEnd w:id="684"/>
    <w:bookmarkEnd w:id="685"/>
    <w:bookmarkEnd w:id="686"/>
    <w:bookmarkEnd w:id="687"/>
    <w:p>
      <w:pPr>
        <w:pStyle w:val="3"/>
        <w:spacing w:line="360" w:lineRule="auto"/>
        <w:jc w:val="center"/>
        <w:rPr>
          <w:rFonts w:ascii="宋体" w:hAnsi="宋体" w:eastAsia="宋体"/>
          <w:color w:val="auto"/>
          <w:highlight w:val="none"/>
        </w:rPr>
      </w:pPr>
      <w:bookmarkStart w:id="688" w:name="_Toc7106"/>
      <w:r>
        <w:rPr>
          <w:rFonts w:hint="eastAsia" w:ascii="宋体" w:hAnsi="宋体" w:eastAsia="宋体"/>
          <w:color w:val="auto"/>
          <w:highlight w:val="none"/>
        </w:rPr>
        <w:t>（六）项目实施方案</w:t>
      </w:r>
      <w:bookmarkEnd w:id="688"/>
    </w:p>
    <w:p>
      <w:pPr>
        <w:spacing w:line="360" w:lineRule="auto"/>
        <w:jc w:val="left"/>
        <w:rPr>
          <w:rFonts w:asciiTheme="minorEastAsia" w:hAnsiTheme="minorEastAsia" w:eastAsiaTheme="minorEastAsia"/>
          <w:b/>
          <w:bCs/>
          <w:color w:val="auto"/>
          <w:kern w:val="0"/>
          <w:sz w:val="32"/>
          <w:szCs w:val="32"/>
          <w:highlight w:val="none"/>
        </w:rPr>
      </w:pPr>
      <w:r>
        <w:rPr>
          <w:rFonts w:hint="eastAsia" w:asciiTheme="minorEastAsia" w:hAnsiTheme="minorEastAsia" w:eastAsiaTheme="minorEastAsia" w:cstheme="minorEastAsia"/>
          <w:color w:val="auto"/>
          <w:sz w:val="24"/>
          <w:szCs w:val="24"/>
          <w:highlight w:val="none"/>
        </w:rPr>
        <w:t>（谈判申请人自拟：包括人员配备、工作重点、难点分析、质量控制措施、服务周期、服务承诺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设计原则</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深度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项目勘察设计方案合理性</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设计进度及质量控制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设备、材料供货方案</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施工方案</w:t>
      </w:r>
      <w:r>
        <w:rPr>
          <w:rFonts w:hint="eastAsia" w:asciiTheme="minorEastAsia" w:hAnsiTheme="minorEastAsia" w:eastAsiaTheme="minorEastAsia" w:cstheme="minorEastAsia"/>
          <w:color w:val="auto"/>
          <w:sz w:val="24"/>
          <w:szCs w:val="24"/>
          <w:highlight w:val="none"/>
          <w:lang w:eastAsia="zh-CN"/>
        </w:rPr>
        <w:t>）</w:t>
      </w:r>
      <w:r>
        <w:rPr>
          <w:rFonts w:asciiTheme="minorEastAsia" w:hAnsiTheme="minorEastAsia" w:eastAsiaTheme="minorEastAsia"/>
          <w:b/>
          <w:bCs/>
          <w:color w:val="auto"/>
          <w:sz w:val="24"/>
          <w:highlight w:val="none"/>
        </w:rPr>
        <w:br w:type="page"/>
      </w:r>
      <w:bookmarkStart w:id="689" w:name="_Toc520"/>
      <w:bookmarkStart w:id="690" w:name="_Toc14099"/>
      <w:r>
        <w:rPr>
          <w:rFonts w:hint="eastAsia" w:asciiTheme="minorEastAsia" w:hAnsiTheme="minorEastAsia" w:eastAsiaTheme="minorEastAsia"/>
          <w:b/>
          <w:bCs/>
          <w:color w:val="auto"/>
          <w:kern w:val="0"/>
          <w:sz w:val="32"/>
          <w:szCs w:val="32"/>
          <w:highlight w:val="none"/>
        </w:rPr>
        <w:t>第五章 技术标准和要求</w:t>
      </w:r>
      <w:bookmarkEnd w:id="689"/>
      <w:bookmarkEnd w:id="6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eastAsiaTheme="minorEastAsia" w:cstheme="minorEastAsia"/>
          <w:color w:val="auto"/>
          <w:sz w:val="24"/>
          <w:szCs w:val="24"/>
          <w:highlight w:val="none"/>
          <w:lang w:val="en-US" w:eastAsia="zh-CN"/>
        </w:rPr>
      </w:pPr>
      <w:bookmarkStart w:id="691" w:name="_Toc5591"/>
      <w:bookmarkStart w:id="692" w:name="_Toc130564943"/>
      <w:bookmarkStart w:id="693" w:name="_Toc86124092"/>
      <w:bookmarkStart w:id="694" w:name="_Toc519163265"/>
      <w:r>
        <w:rPr>
          <w:rFonts w:hint="default" w:asciiTheme="minorEastAsia" w:hAnsiTheme="minorEastAsia" w:eastAsiaTheme="minorEastAsia" w:cstheme="minorEastAsia"/>
          <w:color w:val="auto"/>
          <w:sz w:val="24"/>
          <w:szCs w:val="24"/>
          <w:highlight w:val="none"/>
          <w:lang w:val="en-US" w:eastAsia="zh-CN"/>
        </w:rPr>
        <w:t>服务标准</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规范达标、文档齐全，满足国家、行业质量标准、控制标准和验收规范，在质量管理过程中达到或超过质量标准，通过各级验收合格</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施工验收标准按《10kV~800kV输变电及配电工程质量验收与评定标准》配网工程执行。</w:t>
      </w:r>
      <w:bookmarkEnd w:id="691"/>
      <w:bookmarkStart w:id="695" w:name="_Toc8102"/>
    </w:p>
    <w:p>
      <w:pPr>
        <w:pStyle w:val="3"/>
        <w:spacing w:line="360" w:lineRule="auto"/>
        <w:jc w:val="left"/>
        <w:rPr>
          <w:rFonts w:hint="eastAsia" w:ascii="宋体" w:hAnsi="宋体" w:eastAsia="宋体" w:cs="Times New Roman"/>
          <w:color w:val="auto"/>
          <w:highlight w:val="none"/>
          <w:lang w:val="en-US" w:eastAsia="zh-CN"/>
        </w:rPr>
      </w:pPr>
      <w:bookmarkStart w:id="696" w:name="_Toc9558"/>
      <w:r>
        <w:rPr>
          <w:rFonts w:hint="eastAsia" w:ascii="宋体" w:hAnsi="宋体" w:eastAsia="宋体" w:cs="Times New Roman"/>
          <w:color w:val="auto"/>
          <w:highlight w:val="none"/>
          <w:lang w:val="en-US" w:eastAsia="zh-CN"/>
        </w:rPr>
        <w:t>（一）背阴山尾矿库分布式光伏</w:t>
      </w:r>
      <w:r>
        <w:rPr>
          <w:rFonts w:hint="eastAsia" w:ascii="宋体" w:hAnsi="宋体" w:eastAsia="宋体" w:cs="Times New Roman"/>
          <w:color w:val="auto"/>
          <w:highlight w:val="none"/>
        </w:rPr>
        <w:t>接入系统方</w:t>
      </w:r>
      <w:r>
        <w:rPr>
          <w:rFonts w:hint="eastAsia" w:ascii="宋体" w:hAnsi="宋体" w:eastAsia="宋体" w:cs="Times New Roman"/>
          <w:color w:val="auto"/>
          <w:highlight w:val="none"/>
          <w:lang w:val="en-US" w:eastAsia="zh-CN"/>
        </w:rPr>
        <w:t>案</w:t>
      </w:r>
      <w:bookmarkEnd w:id="695"/>
      <w:bookmarkEnd w:id="696"/>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1.光伏电站工程概况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背阴山尾矿库分布式光伏发电项目位于红河州个旧市老厂镇西北侧约1公里处。直流侧装机容量19.95MWp，交流侧装机容量15MW，年均发电量2560.23万kW·h，计划于2025年2月建成投产。本项目采用“自发自用、余电上网”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2.接入系统方案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本项目并网电压按6.3kV考虑，分布式光伏电站以3回6.3kV线路接至35kV老厂变6.3kV母线，分布式光伏接网线路采用同塔三回路架设，新建线路长约</w:t>
      </w:r>
      <w:r>
        <w:rPr>
          <w:rFonts w:hint="eastAsia" w:asciiTheme="minorEastAsia" w:hAnsiTheme="minorEastAsia" w:eastAsiaTheme="minorEastAsia" w:cstheme="minorEastAsia"/>
          <w:color w:val="auto"/>
          <w:sz w:val="24"/>
          <w:szCs w:val="24"/>
          <w:highlight w:val="none"/>
          <w:lang w:val="en-US" w:eastAsia="zh-CN"/>
        </w:rPr>
        <w:t>3×2.3（架空）+3×0.2km（电缆）（具体以实际路径为准）</w:t>
      </w:r>
      <w:r>
        <w:rPr>
          <w:rFonts w:hint="eastAsia" w:asciiTheme="minorEastAsia" w:hAnsiTheme="minorEastAsia" w:eastAsiaTheme="minorEastAsia" w:cstheme="minorEastAsia"/>
          <w:color w:val="auto"/>
          <w:sz w:val="24"/>
          <w:szCs w:val="24"/>
          <w:highlight w:val="none"/>
          <w:lang w:val="en-US" w:eastAsia="zh-CN"/>
        </w:rPr>
        <w:t>。接入系统图如下：</w:t>
      </w:r>
    </w:p>
    <w:p>
      <w:pPr>
        <w:jc w:val="center"/>
        <w:rPr>
          <w:rFonts w:hint="eastAsia"/>
          <w:color w:val="auto"/>
          <w:highlight w:val="none"/>
        </w:rPr>
        <w:sectPr>
          <w:pgSz w:w="11906" w:h="16838"/>
          <w:pgMar w:top="1440" w:right="1800" w:bottom="1440" w:left="1800" w:header="510" w:footer="680" w:gutter="0"/>
          <w:cols w:space="720" w:num="1"/>
          <w:titlePg/>
          <w:docGrid w:type="linesAndChars" w:linePitch="312" w:charSpace="0"/>
        </w:sectPr>
      </w:pPr>
      <w:r>
        <w:rPr>
          <w:rFonts w:hint="eastAsia"/>
          <w:color w:val="auto"/>
          <w:highlight w:val="none"/>
        </w:rPr>
        <w:object>
          <v:shape id="_x0000_i1025" o:spt="75" type="#_x0000_t75" style="height:233pt;width:416.4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r>
        <w:rPr>
          <w:rFonts w:hint="eastAsia"/>
          <w:color w:val="auto"/>
          <w:highlight w:val="none"/>
          <w:lang w:val="en-US" w:eastAsia="zh-CN"/>
        </w:rPr>
        <w:t>图：</w:t>
      </w:r>
      <w:r>
        <w:rPr>
          <w:rFonts w:hint="eastAsia"/>
          <w:color w:val="auto"/>
          <w:highlight w:val="none"/>
        </w:rPr>
        <w:t>接入系统方式图</w:t>
      </w:r>
    </w:p>
    <w:p>
      <w:pPr>
        <w:pStyle w:val="476"/>
        <w:ind w:left="-315" w:leftChars="-150" w:firstLine="0" w:firstLineChars="0"/>
        <w:jc w:val="center"/>
        <w:rPr>
          <w:rFonts w:ascii="Times New Roman" w:hAnsi="Times New Roman" w:cs="Times New Roman"/>
          <w:b/>
          <w:bCs/>
          <w:color w:val="auto"/>
          <w:sz w:val="10"/>
          <w:szCs w:val="10"/>
          <w:highlight w:val="none"/>
        </w:rPr>
      </w:pPr>
      <w:r>
        <w:rPr>
          <w:rFonts w:hint="eastAsia"/>
          <w:color w:val="auto"/>
          <w:highlight w:val="none"/>
        </w:rPr>
        <w:object>
          <v:shape id="_x0000_i1026" o:spt="75" type="#_x0000_t75" style="height:279.65pt;width:477.2pt;" o:ole="t" filled="f" o:preferrelative="t" stroked="f" coordsize="21600,21600">
            <v:path/>
            <v:fill on="f" focussize="0,0"/>
            <v:stroke on="f" joinstyle="miter"/>
            <v:imagedata r:id="rId22" cropleft="1473f" cropright="1778f" o:title=""/>
            <o:lock v:ext="edit" aspectratio="t"/>
            <w10:wrap type="none"/>
            <w10:anchorlock/>
          </v:shape>
          <o:OLEObject Type="Embed" ProgID="Visio.Drawing.15" ShapeID="_x0000_i1026" DrawAspect="Content" ObjectID="_1468075726" r:id="rId21">
            <o:LockedField>false</o:LockedField>
          </o:OLEObject>
        </w:object>
      </w:r>
    </w:p>
    <w:p>
      <w:pPr>
        <w:pStyle w:val="476"/>
        <w:spacing w:after="231" w:afterLines="50"/>
        <w:ind w:firstLine="0" w:firstLineChars="0"/>
        <w:jc w:val="center"/>
        <w:rPr>
          <w:rFonts w:hint="eastAsia"/>
          <w:b/>
          <w:bCs/>
          <w:color w:val="auto"/>
          <w:sz w:val="24"/>
          <w:szCs w:val="24"/>
          <w:highlight w:val="none"/>
        </w:rPr>
      </w:pPr>
      <w:r>
        <w:rPr>
          <w:rFonts w:hint="eastAsia"/>
          <w:b/>
          <w:bCs/>
          <w:color w:val="auto"/>
          <w:sz w:val="24"/>
          <w:szCs w:val="24"/>
          <w:highlight w:val="none"/>
        </w:rPr>
        <w:t>图</w:t>
      </w:r>
      <w:r>
        <w:rPr>
          <w:rFonts w:hint="eastAsia"/>
          <w:b/>
          <w:bCs/>
          <w:color w:val="auto"/>
          <w:sz w:val="24"/>
          <w:szCs w:val="24"/>
          <w:highlight w:val="none"/>
          <w:lang w:val="en-US" w:eastAsia="zh-CN"/>
        </w:rPr>
        <w:t xml:space="preserve"> </w:t>
      </w:r>
      <w:r>
        <w:rPr>
          <w:b/>
          <w:bCs/>
          <w:color w:val="auto"/>
          <w:sz w:val="24"/>
          <w:szCs w:val="24"/>
          <w:highlight w:val="none"/>
        </w:rPr>
        <w:t xml:space="preserve"> </w:t>
      </w:r>
      <w:r>
        <w:rPr>
          <w:rFonts w:hint="eastAsia"/>
          <w:b/>
          <w:bCs/>
          <w:color w:val="auto"/>
          <w:sz w:val="24"/>
          <w:szCs w:val="24"/>
          <w:highlight w:val="none"/>
        </w:rPr>
        <w:t>3</w:t>
      </w:r>
      <w:r>
        <w:rPr>
          <w:b/>
          <w:bCs/>
          <w:color w:val="auto"/>
          <w:sz w:val="24"/>
          <w:szCs w:val="24"/>
          <w:highlight w:val="none"/>
        </w:rPr>
        <w:t>5kV</w:t>
      </w:r>
      <w:r>
        <w:rPr>
          <w:rFonts w:hint="eastAsia"/>
          <w:b/>
          <w:bCs/>
          <w:color w:val="auto"/>
          <w:sz w:val="24"/>
          <w:szCs w:val="24"/>
          <w:highlight w:val="none"/>
        </w:rPr>
        <w:t>老厂变改造后接线示意图</w:t>
      </w:r>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3.系统对光伏电站相关要求</w:t>
      </w:r>
    </w:p>
    <w:tbl>
      <w:tblPr>
        <w:tblStyle w:val="67"/>
        <w:tblW w:w="87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3"/>
        <w:gridCol w:w="708"/>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Header/>
          <w:jc w:val="center"/>
        </w:trPr>
        <w:tc>
          <w:tcPr>
            <w:tcW w:w="2490" w:type="dxa"/>
            <w:gridSpan w:val="3"/>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    目</w:t>
            </w:r>
          </w:p>
        </w:tc>
        <w:tc>
          <w:tcPr>
            <w:tcW w:w="6260" w:type="dxa"/>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89" w:type="dxa"/>
            <w:vMerge w:val="restart"/>
            <w:vAlign w:val="center"/>
          </w:tcPr>
          <w:p>
            <w:pPr>
              <w:pStyle w:val="17"/>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并网</w:t>
            </w:r>
          </w:p>
        </w:tc>
        <w:tc>
          <w:tcPr>
            <w:tcW w:w="1701" w:type="dxa"/>
            <w:gridSpan w:val="2"/>
            <w:vAlign w:val="center"/>
          </w:tcPr>
          <w:p>
            <w:pPr>
              <w:pStyle w:val="17"/>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变压器</w:t>
            </w:r>
          </w:p>
        </w:tc>
        <w:tc>
          <w:tcPr>
            <w:tcW w:w="6260" w:type="dxa"/>
            <w:vAlign w:val="center"/>
          </w:tcPr>
          <w:p>
            <w:pPr>
              <w:widowControl/>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新增</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台箱变，容量为</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000+2*1500</w:t>
            </w:r>
            <w:r>
              <w:rPr>
                <w:rFonts w:hint="eastAsia" w:ascii="仿宋" w:hAnsi="仿宋" w:eastAsia="仿宋" w:cs="仿宋"/>
                <w:color w:val="auto"/>
                <w:sz w:val="24"/>
                <w:highlight w:val="none"/>
              </w:rPr>
              <w:t>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89" w:type="dxa"/>
            <w:vMerge w:val="continue"/>
            <w:vAlign w:val="center"/>
          </w:tcPr>
          <w:p>
            <w:pPr>
              <w:pStyle w:val="17"/>
              <w:ind w:firstLine="0" w:firstLineChars="0"/>
              <w:jc w:val="center"/>
              <w:rPr>
                <w:rFonts w:hint="eastAsia" w:ascii="仿宋" w:hAnsi="仿宋" w:eastAsia="仿宋" w:cs="仿宋"/>
                <w:color w:val="auto"/>
                <w:sz w:val="24"/>
                <w:szCs w:val="24"/>
                <w:highlight w:val="none"/>
              </w:rPr>
            </w:pPr>
          </w:p>
        </w:tc>
        <w:tc>
          <w:tcPr>
            <w:tcW w:w="1701" w:type="dxa"/>
            <w:gridSpan w:val="2"/>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无功补偿</w:t>
            </w:r>
          </w:p>
        </w:tc>
        <w:tc>
          <w:tcPr>
            <w:tcW w:w="6260"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要求光伏电站</w:t>
            </w:r>
            <w:r>
              <w:rPr>
                <w:rFonts w:ascii="仿宋" w:hAnsi="仿宋" w:eastAsia="仿宋" w:cs="仿宋"/>
                <w:color w:val="auto"/>
                <w:sz w:val="24"/>
                <w:szCs w:val="24"/>
                <w:highlight w:val="none"/>
              </w:rPr>
              <w:t>在超前0.95～滞后0.95范围</w:t>
            </w:r>
            <w:r>
              <w:rPr>
                <w:rFonts w:hint="eastAsia" w:ascii="仿宋" w:hAnsi="仿宋" w:eastAsia="仿宋" w:cs="仿宋"/>
                <w:color w:val="auto"/>
                <w:sz w:val="24"/>
                <w:szCs w:val="24"/>
                <w:highlight w:val="none"/>
              </w:rPr>
              <w:t>内</w:t>
            </w:r>
            <w:r>
              <w:rPr>
                <w:rFonts w:ascii="仿宋" w:hAnsi="仿宋" w:eastAsia="仿宋" w:cs="仿宋"/>
                <w:color w:val="auto"/>
                <w:sz w:val="24"/>
                <w:szCs w:val="24"/>
                <w:highlight w:val="none"/>
              </w:rPr>
              <w:t>连续可调</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789" w:type="dxa"/>
            <w:vMerge w:val="continue"/>
            <w:vAlign w:val="center"/>
          </w:tcPr>
          <w:p>
            <w:pPr>
              <w:pStyle w:val="17"/>
              <w:ind w:firstLine="0" w:firstLineChars="0"/>
              <w:jc w:val="center"/>
              <w:rPr>
                <w:rFonts w:hint="eastAsia" w:ascii="仿宋" w:hAnsi="仿宋" w:eastAsia="仿宋" w:cs="仿宋"/>
                <w:color w:val="auto"/>
                <w:sz w:val="24"/>
                <w:szCs w:val="24"/>
                <w:highlight w:val="none"/>
              </w:rPr>
            </w:pPr>
          </w:p>
        </w:tc>
        <w:tc>
          <w:tcPr>
            <w:tcW w:w="1701" w:type="dxa"/>
            <w:gridSpan w:val="2"/>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有功功率自动控制</w:t>
            </w:r>
          </w:p>
        </w:tc>
        <w:tc>
          <w:tcPr>
            <w:tcW w:w="6260" w:type="dxa"/>
            <w:vAlign w:val="center"/>
          </w:tcPr>
          <w:p>
            <w:pPr>
              <w:autoSpaceDE w:val="0"/>
              <w:autoSpaceDN w:val="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要求建设分布式新能源A</w:t>
            </w:r>
            <w:r>
              <w:rPr>
                <w:rFonts w:ascii="仿宋" w:hAnsi="仿宋" w:eastAsia="仿宋" w:cs="仿宋"/>
                <w:color w:val="auto"/>
                <w:sz w:val="24"/>
                <w:highlight w:val="none"/>
              </w:rPr>
              <w:t>GC</w:t>
            </w:r>
            <w:r>
              <w:rPr>
                <w:rFonts w:hint="eastAsia" w:ascii="仿宋" w:hAnsi="仿宋" w:eastAsia="仿宋" w:cs="仿宋"/>
                <w:color w:val="auto"/>
                <w:sz w:val="24"/>
                <w:highlight w:val="none"/>
              </w:rPr>
              <w:t>子站，用于接收、执行主站的有功控制指令，进行场站内有功控制决策完成就地控制，并向主站回馈信息。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789" w:type="dxa"/>
            <w:vMerge w:val="restart"/>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继电保护</w:t>
            </w:r>
          </w:p>
        </w:tc>
        <w:tc>
          <w:tcPr>
            <w:tcW w:w="1701" w:type="dxa"/>
            <w:gridSpan w:val="2"/>
            <w:vAlign w:val="center"/>
          </w:tcPr>
          <w:p>
            <w:pPr>
              <w:pStyle w:val="17"/>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系统侧</w:t>
            </w:r>
          </w:p>
        </w:tc>
        <w:tc>
          <w:tcPr>
            <w:tcW w:w="6260" w:type="dxa"/>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沿用1</w:t>
            </w:r>
            <w:r>
              <w:rPr>
                <w:rFonts w:ascii="仿宋" w:hAnsi="仿宋" w:eastAsia="仿宋" w:cs="仿宋"/>
                <w:color w:val="auto"/>
                <w:sz w:val="24"/>
                <w:highlight w:val="none"/>
              </w:rPr>
              <w:t>10kV</w:t>
            </w:r>
            <w:r>
              <w:rPr>
                <w:rFonts w:hint="eastAsia" w:ascii="仿宋" w:hAnsi="仿宋" w:eastAsia="仿宋" w:cs="仿宋"/>
                <w:color w:val="auto"/>
                <w:sz w:val="24"/>
                <w:highlight w:val="none"/>
              </w:rPr>
              <w:t>拉达冲变3</w:t>
            </w:r>
            <w:r>
              <w:rPr>
                <w:rFonts w:ascii="仿宋" w:hAnsi="仿宋" w:eastAsia="仿宋" w:cs="仿宋"/>
                <w:color w:val="auto"/>
                <w:sz w:val="24"/>
                <w:highlight w:val="none"/>
              </w:rPr>
              <w:t>5kV</w:t>
            </w:r>
            <w:r>
              <w:rPr>
                <w:rFonts w:hint="eastAsia" w:ascii="仿宋" w:hAnsi="仿宋" w:eastAsia="仿宋" w:cs="仿宋"/>
                <w:color w:val="auto"/>
                <w:sz w:val="24"/>
                <w:highlight w:val="none"/>
              </w:rPr>
              <w:t>老厂线、35kV拉黄T线原有线路保护测控装置，本期维持不变。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789" w:type="dxa"/>
            <w:vMerge w:val="continue"/>
            <w:vAlign w:val="center"/>
          </w:tcPr>
          <w:p>
            <w:pPr>
              <w:widowControl/>
              <w:jc w:val="center"/>
              <w:rPr>
                <w:rFonts w:hint="eastAsia" w:ascii="仿宋" w:hAnsi="仿宋" w:eastAsia="仿宋" w:cs="仿宋"/>
                <w:color w:val="auto"/>
                <w:sz w:val="24"/>
                <w:szCs w:val="24"/>
                <w:highlight w:val="none"/>
              </w:rPr>
            </w:pPr>
          </w:p>
        </w:tc>
        <w:tc>
          <w:tcPr>
            <w:tcW w:w="1701" w:type="dxa"/>
            <w:gridSpan w:val="2"/>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电站侧</w:t>
            </w:r>
          </w:p>
        </w:tc>
        <w:tc>
          <w:tcPr>
            <w:tcW w:w="6260" w:type="dxa"/>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光伏电站主变低压侧母线的断路器应具备短路瞬时、长延时保护功能、低压脱口功能。要求逆变器具有交流过压、欠压保护，超频、欠频保护，防孤岛保护，短路保护，交流及直流的过流保护，过载保护，反极性保护，高温保护等保护功能。并网点应配置线路保护、电压保护、频率保护、防孤岛保护等功能的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89" w:type="dxa"/>
            <w:vMerge w:val="restart"/>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电能量计量系统</w:t>
            </w:r>
          </w:p>
        </w:tc>
        <w:tc>
          <w:tcPr>
            <w:tcW w:w="1701" w:type="dxa"/>
            <w:gridSpan w:val="2"/>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电能量采集装置</w:t>
            </w:r>
          </w:p>
        </w:tc>
        <w:tc>
          <w:tcPr>
            <w:tcW w:w="6260" w:type="dxa"/>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35kV老厂变配置</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台电能量采集装置。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789" w:type="dxa"/>
            <w:vMerge w:val="continue"/>
            <w:vAlign w:val="center"/>
          </w:tcPr>
          <w:p>
            <w:pPr>
              <w:jc w:val="left"/>
              <w:rPr>
                <w:rFonts w:hint="eastAsia" w:ascii="仿宋" w:hAnsi="仿宋" w:eastAsia="仿宋" w:cs="仿宋"/>
                <w:color w:val="auto"/>
                <w:sz w:val="24"/>
                <w:szCs w:val="24"/>
                <w:highlight w:val="none"/>
              </w:rPr>
            </w:pPr>
          </w:p>
        </w:tc>
        <w:tc>
          <w:tcPr>
            <w:tcW w:w="1701" w:type="dxa"/>
            <w:gridSpan w:val="2"/>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电能质量在线监测装置</w:t>
            </w:r>
          </w:p>
        </w:tc>
        <w:tc>
          <w:tcPr>
            <w:tcW w:w="6260" w:type="dxa"/>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35kV老厂变配置1台电能质量在线监测装置。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关口点</w:t>
            </w:r>
          </w:p>
        </w:tc>
        <w:tc>
          <w:tcPr>
            <w:tcW w:w="6260" w:type="dxa"/>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关口计量点维持现状不变，即设置在35kV老厂变35kV老厂变35kV#1、#2主变35kV侧，沿用已有的关口计量表。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电能表</w:t>
            </w:r>
          </w:p>
        </w:tc>
        <w:tc>
          <w:tcPr>
            <w:tcW w:w="6260" w:type="dxa"/>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35kV 老厂变光伏接入间隔内新增</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只电能表，用作发电量计量，电能表采用有功 C 级电能表。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规范</w:t>
            </w:r>
          </w:p>
        </w:tc>
        <w:tc>
          <w:tcPr>
            <w:tcW w:w="6260"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满足《电能计量装置技术管理规程》及云南电网相关规范要求。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规约</w:t>
            </w:r>
          </w:p>
        </w:tc>
        <w:tc>
          <w:tcPr>
            <w:tcW w:w="6260"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采用D</w:t>
            </w:r>
            <w:r>
              <w:rPr>
                <w:rFonts w:ascii="仿宋" w:hAnsi="仿宋" w:eastAsia="仿宋" w:cs="仿宋"/>
                <w:color w:val="auto"/>
                <w:sz w:val="24"/>
                <w:szCs w:val="24"/>
                <w:highlight w:val="none"/>
              </w:rPr>
              <w:t>L/T719-2000</w:t>
            </w:r>
            <w:r>
              <w:rPr>
                <w:rFonts w:hint="eastAsia" w:ascii="仿宋" w:hAnsi="仿宋" w:eastAsia="仿宋" w:cs="仿宋"/>
                <w:color w:val="auto"/>
                <w:sz w:val="24"/>
                <w:szCs w:val="24"/>
                <w:highlight w:val="none"/>
              </w:rPr>
              <w:t>或I</w:t>
            </w:r>
            <w:r>
              <w:rPr>
                <w:rFonts w:ascii="仿宋" w:hAnsi="仿宋" w:eastAsia="仿宋" w:cs="仿宋"/>
                <w:color w:val="auto"/>
                <w:sz w:val="24"/>
                <w:szCs w:val="24"/>
                <w:highlight w:val="none"/>
              </w:rPr>
              <w:t>EC870-5-102</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计量T</w:t>
            </w:r>
            <w:r>
              <w:rPr>
                <w:rFonts w:ascii="仿宋" w:hAnsi="仿宋" w:eastAsia="仿宋" w:cs="仿宋"/>
                <w:color w:val="auto"/>
                <w:sz w:val="24"/>
                <w:szCs w:val="24"/>
                <w:highlight w:val="none"/>
              </w:rPr>
              <w:t>V</w:t>
            </w:r>
          </w:p>
        </w:tc>
        <w:tc>
          <w:tcPr>
            <w:tcW w:w="6260"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精度0</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级，计量二次回路容量1</w:t>
            </w:r>
            <w:r>
              <w:rPr>
                <w:rFonts w:ascii="仿宋" w:hAnsi="仿宋" w:eastAsia="仿宋" w:cs="仿宋"/>
                <w:color w:val="auto"/>
                <w:sz w:val="24"/>
                <w:szCs w:val="24"/>
                <w:highlight w:val="none"/>
              </w:rPr>
              <w:t>5VA</w:t>
            </w:r>
            <w:r>
              <w:rPr>
                <w:rFonts w:hint="eastAsia" w:ascii="仿宋" w:hAnsi="仿宋" w:eastAsia="仿宋" w:cs="仿宋"/>
                <w:color w:val="auto"/>
                <w:sz w:val="24"/>
                <w:szCs w:val="24"/>
                <w:highlight w:val="none"/>
              </w:rPr>
              <w:t>（最大不超过3</w:t>
            </w:r>
            <w:r>
              <w:rPr>
                <w:rFonts w:ascii="仿宋" w:hAnsi="仿宋" w:eastAsia="仿宋" w:cs="仿宋"/>
                <w:color w:val="auto"/>
                <w:sz w:val="24"/>
                <w:szCs w:val="24"/>
                <w:highlight w:val="none"/>
              </w:rPr>
              <w:t>0VA</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89" w:type="dxa"/>
            <w:vMerge w:val="continue"/>
            <w:vAlign w:val="center"/>
          </w:tcPr>
          <w:p>
            <w:pPr>
              <w:widowControl/>
              <w:jc w:val="left"/>
              <w:rPr>
                <w:rFonts w:hint="eastAsia" w:ascii="仿宋" w:hAnsi="仿宋" w:eastAsia="仿宋" w:cs="仿宋"/>
                <w:color w:val="auto"/>
                <w:sz w:val="24"/>
                <w:szCs w:val="24"/>
                <w:highlight w:val="none"/>
              </w:rPr>
            </w:pP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计量T</w:t>
            </w:r>
            <w:r>
              <w:rPr>
                <w:rFonts w:ascii="仿宋" w:hAnsi="仿宋" w:eastAsia="仿宋" w:cs="仿宋"/>
                <w:color w:val="auto"/>
                <w:sz w:val="24"/>
                <w:szCs w:val="24"/>
                <w:highlight w:val="none"/>
              </w:rPr>
              <w:t>A</w:t>
            </w:r>
          </w:p>
        </w:tc>
        <w:tc>
          <w:tcPr>
            <w:tcW w:w="6260"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精度0</w:t>
            </w:r>
            <w:r>
              <w:rPr>
                <w:rFonts w:ascii="仿宋" w:hAnsi="仿宋" w:eastAsia="仿宋" w:cs="仿宋"/>
                <w:color w:val="auto"/>
                <w:sz w:val="24"/>
                <w:szCs w:val="24"/>
                <w:highlight w:val="none"/>
              </w:rPr>
              <w:t>.2S</w:t>
            </w:r>
            <w:r>
              <w:rPr>
                <w:rFonts w:hint="eastAsia" w:ascii="仿宋" w:hAnsi="仿宋" w:eastAsia="仿宋" w:cs="仿宋"/>
                <w:color w:val="auto"/>
                <w:sz w:val="24"/>
                <w:szCs w:val="24"/>
                <w:highlight w:val="none"/>
              </w:rPr>
              <w:t>级，二次电流为1</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时5</w:t>
            </w:r>
            <w:r>
              <w:rPr>
                <w:rFonts w:ascii="仿宋" w:hAnsi="仿宋" w:eastAsia="仿宋" w:cs="仿宋"/>
                <w:color w:val="auto"/>
                <w:sz w:val="24"/>
                <w:szCs w:val="24"/>
                <w:highlight w:val="none"/>
              </w:rPr>
              <w:t>VA</w:t>
            </w:r>
            <w:r>
              <w:rPr>
                <w:rFonts w:hint="eastAsia" w:ascii="仿宋" w:hAnsi="仿宋" w:eastAsia="仿宋" w:cs="仿宋"/>
                <w:color w:val="auto"/>
                <w:sz w:val="24"/>
                <w:szCs w:val="24"/>
                <w:highlight w:val="none"/>
              </w:rPr>
              <w:t>（最大不超过1</w:t>
            </w:r>
            <w:r>
              <w:rPr>
                <w:rFonts w:ascii="仿宋" w:hAnsi="仿宋" w:eastAsia="仿宋" w:cs="仿宋"/>
                <w:color w:val="auto"/>
                <w:sz w:val="24"/>
                <w:szCs w:val="24"/>
                <w:highlight w:val="none"/>
              </w:rPr>
              <w:t>0VA</w:t>
            </w:r>
            <w:r>
              <w:rPr>
                <w:rFonts w:hint="eastAsia" w:ascii="仿宋" w:hAnsi="仿宋" w:eastAsia="仿宋" w:cs="仿宋"/>
                <w:color w:val="auto"/>
                <w:sz w:val="24"/>
                <w:szCs w:val="24"/>
                <w:highlight w:val="none"/>
              </w:rPr>
              <w:t>）；二次电流为5</w:t>
            </w: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rPr>
              <w:t>时1</w:t>
            </w:r>
            <w:r>
              <w:rPr>
                <w:rFonts w:ascii="仿宋" w:hAnsi="仿宋" w:eastAsia="仿宋" w:cs="仿宋"/>
                <w:color w:val="auto"/>
                <w:sz w:val="24"/>
                <w:szCs w:val="24"/>
                <w:highlight w:val="none"/>
              </w:rPr>
              <w:t>5VA</w:t>
            </w:r>
            <w:r>
              <w:rPr>
                <w:rFonts w:hint="eastAsia" w:ascii="仿宋" w:hAnsi="仿宋" w:eastAsia="仿宋" w:cs="仿宋"/>
                <w:color w:val="auto"/>
                <w:sz w:val="24"/>
                <w:szCs w:val="24"/>
                <w:highlight w:val="none"/>
              </w:rPr>
              <w:t>（最大不超过3</w:t>
            </w:r>
            <w:r>
              <w:rPr>
                <w:rFonts w:ascii="仿宋" w:hAnsi="仿宋" w:eastAsia="仿宋" w:cs="仿宋"/>
                <w:color w:val="auto"/>
                <w:sz w:val="24"/>
                <w:szCs w:val="24"/>
                <w:highlight w:val="none"/>
              </w:rPr>
              <w:t>0VA</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789" w:type="dxa"/>
            <w:vMerge w:val="restart"/>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通信部分</w:t>
            </w:r>
          </w:p>
        </w:tc>
        <w:tc>
          <w:tcPr>
            <w:tcW w:w="1701" w:type="dxa"/>
            <w:gridSpan w:val="2"/>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系统通信</w:t>
            </w:r>
          </w:p>
        </w:tc>
        <w:tc>
          <w:tcPr>
            <w:tcW w:w="6260" w:type="dxa"/>
            <w:vAlign w:val="center"/>
          </w:tcPr>
          <w:p>
            <w:pPr>
              <w:widowControl/>
              <w:spacing w:line="32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光伏电站加装1套边缘网关，上传光伏电站</w:t>
            </w:r>
            <w:r>
              <w:rPr>
                <w:rFonts w:hint="eastAsia" w:ascii="仿宋" w:hAnsi="仿宋" w:eastAsia="仿宋" w:cs="仿宋"/>
                <w:color w:val="auto"/>
                <w:sz w:val="24"/>
                <w:highlight w:val="none"/>
              </w:rPr>
              <w:t>AGC子站及</w:t>
            </w:r>
            <w:r>
              <w:rPr>
                <w:rFonts w:hint="eastAsia" w:ascii="仿宋" w:hAnsi="仿宋" w:eastAsia="仿宋" w:cs="仿宋"/>
                <w:color w:val="auto"/>
                <w:sz w:val="24"/>
                <w:szCs w:val="24"/>
                <w:highlight w:val="none"/>
              </w:rPr>
              <w:t>两遥信息。并网点远动信息上传至红河配调，并满足网络安全要求。35kV老厂变维持现状通信方式不变。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789" w:type="dxa"/>
            <w:vMerge w:val="continue"/>
            <w:vAlign w:val="center"/>
          </w:tcPr>
          <w:p>
            <w:pPr>
              <w:widowControl/>
              <w:jc w:val="center"/>
              <w:rPr>
                <w:rFonts w:hint="eastAsia" w:ascii="仿宋" w:hAnsi="仿宋" w:eastAsia="仿宋" w:cs="仿宋"/>
                <w:color w:val="auto"/>
                <w:sz w:val="24"/>
                <w:szCs w:val="24"/>
                <w:highlight w:val="none"/>
              </w:rPr>
            </w:pPr>
          </w:p>
        </w:tc>
        <w:tc>
          <w:tcPr>
            <w:tcW w:w="1701" w:type="dxa"/>
            <w:gridSpan w:val="2"/>
            <w:vAlign w:val="center"/>
          </w:tcPr>
          <w:p>
            <w:pPr>
              <w:widowControl/>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站内通信</w:t>
            </w:r>
          </w:p>
        </w:tc>
        <w:tc>
          <w:tcPr>
            <w:tcW w:w="6260" w:type="dxa"/>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789" w:type="dxa"/>
            <w:vMerge w:val="restart"/>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对侧</w:t>
            </w:r>
          </w:p>
        </w:tc>
        <w:tc>
          <w:tcPr>
            <w:tcW w:w="993" w:type="dxa"/>
            <w:vMerge w:val="restart"/>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110kV拉达冲</w:t>
            </w:r>
            <w:r>
              <w:rPr>
                <w:rFonts w:ascii="仿宋" w:hAnsi="仿宋" w:eastAsia="仿宋" w:cs="仿宋"/>
                <w:color w:val="auto"/>
                <w:sz w:val="24"/>
                <w:szCs w:val="24"/>
                <w:highlight w:val="none"/>
              </w:rPr>
              <w:t>变</w:t>
            </w:r>
          </w:p>
        </w:tc>
        <w:tc>
          <w:tcPr>
            <w:tcW w:w="708" w:type="dxa"/>
            <w:vAlign w:val="center"/>
          </w:tcPr>
          <w:p>
            <w:pPr>
              <w:widowControl/>
              <w:spacing w:line="3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一次部分</w:t>
            </w:r>
          </w:p>
        </w:tc>
        <w:tc>
          <w:tcPr>
            <w:tcW w:w="6260" w:type="dxa"/>
            <w:vAlign w:val="center"/>
          </w:tcPr>
          <w:p>
            <w:pPr>
              <w:spacing w:line="3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789" w:type="dxa"/>
            <w:vMerge w:val="continue"/>
            <w:vAlign w:val="center"/>
          </w:tcPr>
          <w:p>
            <w:pPr>
              <w:widowControl/>
              <w:jc w:val="center"/>
              <w:rPr>
                <w:rFonts w:hint="eastAsia" w:ascii="仿宋" w:hAnsi="仿宋" w:eastAsia="仿宋" w:cs="仿宋"/>
                <w:color w:val="auto"/>
                <w:sz w:val="24"/>
                <w:szCs w:val="24"/>
                <w:highlight w:val="none"/>
              </w:rPr>
            </w:pPr>
          </w:p>
        </w:tc>
        <w:tc>
          <w:tcPr>
            <w:tcW w:w="993" w:type="dxa"/>
            <w:vMerge w:val="continue"/>
            <w:vAlign w:val="center"/>
          </w:tcPr>
          <w:p>
            <w:pPr>
              <w:widowControl/>
              <w:jc w:val="left"/>
              <w:rPr>
                <w:rFonts w:hint="eastAsia" w:ascii="仿宋" w:hAnsi="仿宋" w:eastAsia="仿宋" w:cs="仿宋"/>
                <w:color w:val="auto"/>
                <w:sz w:val="24"/>
                <w:szCs w:val="24"/>
                <w:highlight w:val="none"/>
              </w:rPr>
            </w:pPr>
          </w:p>
        </w:tc>
        <w:tc>
          <w:tcPr>
            <w:tcW w:w="708"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二次部分</w:t>
            </w:r>
          </w:p>
        </w:tc>
        <w:tc>
          <w:tcPr>
            <w:tcW w:w="6260" w:type="dxa"/>
            <w:vAlign w:val="center"/>
          </w:tcPr>
          <w:p>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维持不变。</w:t>
            </w:r>
          </w:p>
        </w:tc>
      </w:tr>
    </w:tbl>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4.光伏电站并网基本要求</w:t>
      </w:r>
    </w:p>
    <w:tbl>
      <w:tblPr>
        <w:tblStyle w:val="67"/>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4"/>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Header/>
          <w:jc w:val="center"/>
        </w:trPr>
        <w:tc>
          <w:tcPr>
            <w:tcW w:w="3354" w:type="dxa"/>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    目</w:t>
            </w:r>
          </w:p>
        </w:tc>
        <w:tc>
          <w:tcPr>
            <w:tcW w:w="5706" w:type="dxa"/>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功率因数</w:t>
            </w:r>
          </w:p>
        </w:tc>
        <w:tc>
          <w:tcPr>
            <w:tcW w:w="5706" w:type="dxa"/>
            <w:vAlign w:val="center"/>
          </w:tcPr>
          <w:p>
            <w:pPr>
              <w:widowControl/>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光伏电站通过逆变器协调控制，并网逆变器应满足额定有功出力下功率因数在0</w:t>
            </w:r>
            <w:r>
              <w:rPr>
                <w:rFonts w:ascii="仿宋" w:hAnsi="仿宋" w:eastAsia="仿宋" w:cs="仿宋"/>
                <w:color w:val="auto"/>
                <w:sz w:val="24"/>
                <w:szCs w:val="24"/>
                <w:highlight w:val="none"/>
              </w:rPr>
              <w:t>.95</w:t>
            </w:r>
            <w:r>
              <w:rPr>
                <w:rFonts w:hint="eastAsia" w:ascii="仿宋" w:hAnsi="仿宋" w:eastAsia="仿宋" w:cs="仿宋"/>
                <w:color w:val="auto"/>
                <w:sz w:val="24"/>
                <w:szCs w:val="24"/>
                <w:highlight w:val="none"/>
              </w:rPr>
              <w:t>（超前）</w:t>
            </w:r>
            <w:r>
              <w:rPr>
                <w:rFonts w:eastAsia="仿宋" w:cs="Times New Roman"/>
                <w:color w:val="auto"/>
                <w:sz w:val="24"/>
                <w:szCs w:val="24"/>
                <w:highlight w:val="none"/>
              </w:rPr>
              <w:t>~</w:t>
            </w:r>
            <w:r>
              <w:rPr>
                <w:rFonts w:ascii="仿宋" w:hAnsi="仿宋" w:eastAsia="仿宋" w:cs="仿宋"/>
                <w:color w:val="auto"/>
                <w:sz w:val="24"/>
                <w:szCs w:val="24"/>
                <w:highlight w:val="none"/>
              </w:rPr>
              <w:t>0.95</w:t>
            </w:r>
            <w:r>
              <w:rPr>
                <w:rFonts w:hint="eastAsia" w:ascii="仿宋" w:hAnsi="仿宋" w:eastAsia="仿宋" w:cs="仿宋"/>
                <w:color w:val="auto"/>
                <w:sz w:val="24"/>
                <w:szCs w:val="24"/>
                <w:highlight w:val="none"/>
              </w:rPr>
              <w:t>（滞后）范围内动态可调。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谐波治理</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谐波、闪变、电压不平衡等电能质量指标满足国标要求，并对光伏电站注入电网的谐波分量进行实测，正式投运前如不能满足国家相关规程规定，应采取相应治理措施至达标后方可投运。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低电压穿越</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并网点电压跌至</w:t>
            </w:r>
            <w:r>
              <w:rPr>
                <w:rFonts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rPr>
              <w:t>时，光伏电站应能不脱网连续运行0</w:t>
            </w:r>
            <w:r>
              <w:rPr>
                <w:rFonts w:ascii="仿宋" w:hAnsi="仿宋" w:eastAsia="仿宋" w:cs="仿宋"/>
                <w:color w:val="auto"/>
                <w:kern w:val="0"/>
                <w:sz w:val="24"/>
                <w:szCs w:val="24"/>
                <w:highlight w:val="none"/>
              </w:rPr>
              <w:t>.15s</w:t>
            </w:r>
            <w:r>
              <w:rPr>
                <w:rFonts w:hint="eastAsia" w:ascii="仿宋" w:hAnsi="仿宋" w:eastAsia="仿宋" w:cs="仿宋"/>
                <w:color w:val="auto"/>
                <w:kern w:val="0"/>
                <w:sz w:val="24"/>
                <w:szCs w:val="24"/>
                <w:highlight w:val="none"/>
              </w:rPr>
              <w:t>；并网点电压跌至2</w:t>
            </w:r>
            <w:r>
              <w:rPr>
                <w:rFonts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rPr>
              <w:t>额定电压时，光伏电站应不脱网连续运行0</w:t>
            </w:r>
            <w:r>
              <w:rPr>
                <w:rFonts w:ascii="仿宋" w:hAnsi="仿宋" w:eastAsia="仿宋" w:cs="仿宋"/>
                <w:color w:val="auto"/>
                <w:kern w:val="0"/>
                <w:sz w:val="24"/>
                <w:szCs w:val="24"/>
                <w:highlight w:val="none"/>
              </w:rPr>
              <w:t>.625s</w:t>
            </w:r>
            <w:r>
              <w:rPr>
                <w:rFonts w:hint="eastAsia" w:ascii="仿宋" w:hAnsi="仿宋" w:eastAsia="仿宋" w:cs="仿宋"/>
                <w:color w:val="auto"/>
                <w:kern w:val="0"/>
                <w:sz w:val="24"/>
                <w:szCs w:val="24"/>
                <w:highlight w:val="none"/>
              </w:rPr>
              <w:t>；且并网点电压在发生跌落后2</w:t>
            </w:r>
            <w:r>
              <w:rPr>
                <w:rFonts w:ascii="仿宋" w:hAnsi="仿宋" w:eastAsia="仿宋" w:cs="仿宋"/>
                <w:color w:val="auto"/>
                <w:kern w:val="0"/>
                <w:sz w:val="24"/>
                <w:szCs w:val="24"/>
                <w:highlight w:val="none"/>
              </w:rPr>
              <w:t>s</w:t>
            </w:r>
            <w:r>
              <w:rPr>
                <w:rFonts w:hint="eastAsia" w:ascii="仿宋" w:hAnsi="仿宋" w:eastAsia="仿宋" w:cs="仿宋"/>
                <w:color w:val="auto"/>
                <w:kern w:val="0"/>
                <w:sz w:val="24"/>
                <w:szCs w:val="24"/>
                <w:highlight w:val="none"/>
              </w:rPr>
              <w:t>内恢复至9</w:t>
            </w:r>
            <w:r>
              <w:rPr>
                <w:rFonts w:ascii="仿宋" w:hAnsi="仿宋" w:eastAsia="仿宋" w:cs="仿宋"/>
                <w:color w:val="auto"/>
                <w:kern w:val="0"/>
                <w:sz w:val="24"/>
                <w:szCs w:val="24"/>
                <w:highlight w:val="none"/>
              </w:rPr>
              <w:t>0%</w:t>
            </w:r>
            <w:r>
              <w:rPr>
                <w:rFonts w:hint="eastAsia" w:ascii="仿宋" w:hAnsi="仿宋" w:eastAsia="仿宋" w:cs="仿宋"/>
                <w:color w:val="auto"/>
                <w:kern w:val="0"/>
                <w:sz w:val="24"/>
                <w:szCs w:val="24"/>
                <w:highlight w:val="none"/>
              </w:rPr>
              <w:t>额定电压时，保证不脱网连续运行。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功率预测</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按《G</w:t>
            </w:r>
            <w:r>
              <w:rPr>
                <w:rFonts w:ascii="仿宋" w:hAnsi="仿宋" w:eastAsia="仿宋" w:cs="仿宋"/>
                <w:color w:val="auto"/>
                <w:kern w:val="0"/>
                <w:sz w:val="24"/>
                <w:szCs w:val="24"/>
                <w:highlight w:val="none"/>
              </w:rPr>
              <w:t>B/T 19964-2012</w:t>
            </w:r>
            <w:r>
              <w:rPr>
                <w:rFonts w:hint="eastAsia" w:ascii="仿宋" w:hAnsi="仿宋" w:eastAsia="仿宋" w:cs="仿宋"/>
                <w:color w:val="auto"/>
                <w:kern w:val="0"/>
                <w:sz w:val="24"/>
                <w:szCs w:val="24"/>
                <w:highlight w:val="none"/>
              </w:rPr>
              <w:t>》的相关要求配置光伏发电功率预测系统。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频率波动</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当频率在4</w:t>
            </w:r>
            <w:r>
              <w:rPr>
                <w:rFonts w:ascii="仿宋" w:hAnsi="仿宋" w:eastAsia="仿宋" w:cs="仿宋"/>
                <w:color w:val="auto"/>
                <w:kern w:val="0"/>
                <w:sz w:val="24"/>
                <w:szCs w:val="24"/>
                <w:highlight w:val="none"/>
              </w:rPr>
              <w:t>8Hz</w:t>
            </w:r>
            <w:r>
              <w:rPr>
                <w:rFonts w:eastAsia="仿宋" w:cs="Times New Roman"/>
                <w:color w:val="auto"/>
                <w:sz w:val="24"/>
                <w:szCs w:val="24"/>
                <w:highlight w:val="none"/>
              </w:rPr>
              <w:t>~</w:t>
            </w:r>
            <w:r>
              <w:rPr>
                <w:rFonts w:ascii="仿宋" w:hAnsi="仿宋" w:eastAsia="仿宋" w:cs="仿宋"/>
                <w:color w:val="auto"/>
                <w:sz w:val="24"/>
                <w:szCs w:val="24"/>
                <w:highlight w:val="none"/>
              </w:rPr>
              <w:t>51.5Hz</w:t>
            </w:r>
            <w:r>
              <w:rPr>
                <w:rFonts w:hint="eastAsia" w:ascii="仿宋" w:hAnsi="仿宋" w:eastAsia="仿宋" w:cs="仿宋"/>
                <w:color w:val="auto"/>
                <w:sz w:val="24"/>
                <w:szCs w:val="24"/>
                <w:highlight w:val="none"/>
              </w:rPr>
              <w:t>以内正常持续运行；当频率高于</w:t>
            </w:r>
            <w:r>
              <w:rPr>
                <w:rFonts w:ascii="仿宋" w:hAnsi="仿宋" w:eastAsia="仿宋" w:cs="仿宋"/>
                <w:color w:val="auto"/>
                <w:sz w:val="24"/>
                <w:szCs w:val="24"/>
                <w:highlight w:val="none"/>
              </w:rPr>
              <w:t>51.5Hz</w:t>
            </w:r>
            <w:r>
              <w:rPr>
                <w:rFonts w:hint="eastAsia" w:ascii="仿宋" w:hAnsi="仿宋" w:eastAsia="仿宋" w:cs="仿宋"/>
                <w:color w:val="auto"/>
                <w:sz w:val="24"/>
                <w:szCs w:val="24"/>
                <w:highlight w:val="none"/>
              </w:rPr>
              <w:t>时允许光伏阵列脱网，且不允许处于停运状态的光伏电站并网；当频率低于</w:t>
            </w:r>
            <w:r>
              <w:rPr>
                <w:rFonts w:hint="eastAsia" w:ascii="仿宋" w:hAnsi="仿宋" w:eastAsia="仿宋" w:cs="仿宋"/>
                <w:color w:val="auto"/>
                <w:kern w:val="0"/>
                <w:sz w:val="24"/>
                <w:szCs w:val="24"/>
                <w:highlight w:val="none"/>
              </w:rPr>
              <w:t>4</w:t>
            </w:r>
            <w:r>
              <w:rPr>
                <w:rFonts w:ascii="仿宋" w:hAnsi="仿宋" w:eastAsia="仿宋" w:cs="仿宋"/>
                <w:color w:val="auto"/>
                <w:kern w:val="0"/>
                <w:sz w:val="24"/>
                <w:szCs w:val="24"/>
                <w:highlight w:val="none"/>
              </w:rPr>
              <w:t>8Hz</w:t>
            </w:r>
            <w:r>
              <w:rPr>
                <w:rFonts w:hint="eastAsia" w:ascii="仿宋" w:hAnsi="仿宋" w:eastAsia="仿宋" w:cs="仿宋"/>
                <w:color w:val="auto"/>
                <w:kern w:val="0"/>
                <w:sz w:val="24"/>
                <w:szCs w:val="24"/>
                <w:highlight w:val="none"/>
              </w:rPr>
              <w:t>时，根据光伏电站逆变器允许运行的最低频率而定。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有功及无功调节</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根据调度部门指令控制有功功率输出。</w:t>
            </w:r>
          </w:p>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根据并网点电压水平调节无功输出，参与电网电压调节。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防孤岛保护</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配置的防孤岛保护装置动作时间应不大于2</w:t>
            </w:r>
            <w:r>
              <w:rPr>
                <w:rFonts w:ascii="仿宋" w:hAnsi="仿宋" w:eastAsia="仿宋" w:cs="仿宋"/>
                <w:color w:val="auto"/>
                <w:kern w:val="0"/>
                <w:sz w:val="24"/>
                <w:szCs w:val="24"/>
                <w:highlight w:val="none"/>
              </w:rPr>
              <w:t>s</w:t>
            </w:r>
            <w:r>
              <w:rPr>
                <w:rFonts w:hint="eastAsia" w:ascii="仿宋" w:hAnsi="仿宋" w:eastAsia="仿宋" w:cs="仿宋"/>
                <w:color w:val="auto"/>
                <w:kern w:val="0"/>
                <w:sz w:val="24"/>
                <w:szCs w:val="24"/>
                <w:highlight w:val="none"/>
              </w:rPr>
              <w:t>，与电网侧线路保护相配合。</w:t>
            </w:r>
          </w:p>
        </w:tc>
      </w:tr>
    </w:tbl>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p>
    <w:p>
      <w:pPr>
        <w:spacing w:line="360" w:lineRule="auto"/>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5.线路路径</w:t>
      </w:r>
    </w:p>
    <w:tbl>
      <w:tblPr>
        <w:tblStyle w:val="67"/>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4"/>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Header/>
          <w:jc w:val="center"/>
        </w:trPr>
        <w:tc>
          <w:tcPr>
            <w:tcW w:w="3354" w:type="dxa"/>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    目</w:t>
            </w:r>
          </w:p>
        </w:tc>
        <w:tc>
          <w:tcPr>
            <w:tcW w:w="5706" w:type="dxa"/>
            <w:vAlign w:val="center"/>
          </w:tcPr>
          <w:p>
            <w:pPr>
              <w:autoSpaceDE w:val="0"/>
              <w:autoSpaceDN w:val="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354" w:type="dxa"/>
            <w:vAlign w:val="center"/>
          </w:tcPr>
          <w:p>
            <w:pPr>
              <w:pStyle w:val="17"/>
              <w:ind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线路路径</w:t>
            </w:r>
          </w:p>
        </w:tc>
        <w:tc>
          <w:tcPr>
            <w:tcW w:w="5706" w:type="dxa"/>
            <w:vAlign w:val="center"/>
          </w:tcPr>
          <w:p>
            <w:pPr>
              <w:autoSpaceDE w:val="0"/>
              <w:autoSpaceDN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同意设计推荐的</w:t>
            </w:r>
            <w:r>
              <w:rPr>
                <w:rFonts w:hint="eastAsia" w:ascii="仿宋" w:hAnsi="仿宋" w:eastAsia="仿宋" w:cs="仿宋"/>
                <w:color w:val="auto"/>
                <w:sz w:val="24"/>
                <w:szCs w:val="24"/>
                <w:highlight w:val="none"/>
              </w:rPr>
              <w:t>6.3</w:t>
            </w:r>
            <w:r>
              <w:rPr>
                <w:rFonts w:ascii="仿宋" w:hAnsi="仿宋" w:eastAsia="仿宋" w:cs="仿宋"/>
                <w:color w:val="auto"/>
                <w:sz w:val="24"/>
                <w:szCs w:val="24"/>
                <w:highlight w:val="none"/>
              </w:rPr>
              <w:t>kV</w:t>
            </w:r>
            <w:r>
              <w:rPr>
                <w:rFonts w:hint="eastAsia" w:ascii="仿宋" w:hAnsi="仿宋" w:eastAsia="仿宋" w:cs="仿宋"/>
                <w:color w:val="auto"/>
                <w:kern w:val="0"/>
                <w:sz w:val="24"/>
                <w:szCs w:val="24"/>
                <w:highlight w:val="none"/>
              </w:rPr>
              <w:t>线路方案，</w:t>
            </w:r>
            <w:r>
              <w:rPr>
                <w:rFonts w:hint="eastAsia" w:ascii="仿宋" w:hAnsi="仿宋" w:eastAsia="仿宋" w:cs="仿宋"/>
                <w:color w:val="auto"/>
                <w:sz w:val="24"/>
                <w:szCs w:val="24"/>
                <w:highlight w:val="none"/>
              </w:rPr>
              <w:t>新建6.3</w:t>
            </w:r>
            <w:r>
              <w:rPr>
                <w:rFonts w:ascii="仿宋" w:hAnsi="仿宋" w:eastAsia="仿宋" w:cs="仿宋"/>
                <w:color w:val="auto"/>
                <w:sz w:val="24"/>
                <w:szCs w:val="24"/>
                <w:highlight w:val="none"/>
              </w:rPr>
              <w:t>kV</w:t>
            </w:r>
            <w:r>
              <w:rPr>
                <w:rFonts w:hint="eastAsia" w:ascii="仿宋" w:hAnsi="仿宋" w:eastAsia="仿宋" w:cs="仿宋"/>
                <w:color w:val="auto"/>
                <w:sz w:val="24"/>
                <w:szCs w:val="24"/>
                <w:highlight w:val="none"/>
              </w:rPr>
              <w:t>送出线路通道请业主自行协调解决</w:t>
            </w:r>
            <w:r>
              <w:rPr>
                <w:rFonts w:hint="eastAsia" w:ascii="仿宋" w:hAnsi="仿宋" w:eastAsia="仿宋" w:cs="仿宋"/>
                <w:color w:val="auto"/>
                <w:kern w:val="0"/>
                <w:sz w:val="24"/>
                <w:szCs w:val="24"/>
                <w:highlight w:val="none"/>
              </w:rPr>
              <w:t>。</w:t>
            </w:r>
          </w:p>
        </w:tc>
      </w:tr>
    </w:tbl>
    <w:p>
      <w:pPr>
        <w:rPr>
          <w:rFonts w:hint="eastAsia"/>
          <w:color w:val="auto"/>
          <w:highlight w:val="none"/>
          <w:lang w:val="en-US" w:eastAsia="zh-CN"/>
        </w:rPr>
      </w:pPr>
    </w:p>
    <w:p>
      <w:pPr>
        <w:pStyle w:val="3"/>
        <w:numPr>
          <w:ilvl w:val="0"/>
          <w:numId w:val="6"/>
        </w:numPr>
        <w:spacing w:line="360" w:lineRule="auto"/>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主要工程规模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1.</w:t>
      </w:r>
      <w:r>
        <w:rPr>
          <w:rFonts w:hint="eastAsia" w:cs="Times New Roman" w:asciiTheme="minorEastAsia" w:hAnsiTheme="minorEastAsia" w:eastAsiaTheme="minorEastAsia"/>
          <w:b/>
          <w:bCs w:val="0"/>
          <w:color w:val="auto"/>
          <w:kern w:val="2"/>
          <w:sz w:val="21"/>
          <w:szCs w:val="21"/>
          <w:highlight w:val="none"/>
          <w:lang w:val="en-US" w:eastAsia="zh-CN" w:bidi="ar-SA"/>
        </w:rPr>
        <w:t>变电站一次部分：</w:t>
      </w:r>
      <w:r>
        <w:rPr>
          <w:rFonts w:hint="eastAsia" w:cs="Times New Roman" w:asciiTheme="minorEastAsia" w:hAnsiTheme="minorEastAsia" w:eastAsiaTheme="minorEastAsia"/>
          <w:bCs/>
          <w:color w:val="auto"/>
          <w:kern w:val="2"/>
          <w:sz w:val="21"/>
          <w:szCs w:val="21"/>
          <w:highlight w:val="none"/>
          <w:lang w:val="en-US" w:eastAsia="zh-CN" w:bidi="ar-SA"/>
        </w:rPr>
        <w:t>本期启用6.3kV II段母线6221备用间隔作为老山村分布式光伏项目接入间隔使用，更换开关柜内电流互感器，新增间隔内电力电缆。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本期在老厂变新增1台户外开关箱，用于扩展6.3kVⅠ段母线出线间隔。本期启用Ⅰ段母线上的6111备用开关，作为户外开关箱与原Ⅰ段母线的联络开关，更换6111备用开关柜内电流互感器。户外开关箱内新增5个出线间隔，其中两回用于木老寨、面山光伏接入，3回为备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
          <w:bCs w:val="0"/>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2.</w:t>
      </w:r>
      <w:r>
        <w:rPr>
          <w:rFonts w:hint="eastAsia" w:cs="Times New Roman" w:asciiTheme="minorEastAsia" w:hAnsiTheme="minorEastAsia" w:eastAsiaTheme="minorEastAsia"/>
          <w:b/>
          <w:bCs w:val="0"/>
          <w:color w:val="auto"/>
          <w:kern w:val="2"/>
          <w:sz w:val="21"/>
          <w:szCs w:val="21"/>
          <w:highlight w:val="none"/>
          <w:lang w:val="en-US" w:eastAsia="zh-CN" w:bidi="ar-SA"/>
        </w:rPr>
        <w:t>变电站二次设备建设规模：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1）35kV老厂变侧：</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1）本期沿用6.3kVⅠ段备用6111间隔、6.3kVⅡ段备用6221间隔保护测控装置PCS-9611。6111、6221间隔的二次接线、五防配置均已完善，本期完成6.3kVⅠ段6111间隔、6.3kVⅡ段6221间隔计算机监控系统后台主接线命名及两个间隔后台数据库命名更改、五防后台主接线命名更改，校核2个间隔6111、6221保护定值后完成调试。新增6.3kVⅠA段5个出线间隔的保护测控装置，就地安装于新增环网柜的高压开关柜上。</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（2）站内已配置2台独立的南京南瑞继保电气有限公司的6.3kVⅠ段、Ⅱ段小电流接地选线装置PCS-9657N，出厂日期为2022年9月，本期沿用，6.3kVⅠ段备用6111间隔已接入6.3kVⅠ段小电流接地选线装置1n PCS-9657N，6.3kVⅡ段备用6221间隔接入6.3kVⅡ段小电流接地选线装置2n PCS-9657N。本期3个光伏接入后，完成6.3kVⅠ段备用6111、6.3kVⅡ段备用6221间隔调试；将6.3kVⅠA段的5回出线间隔接入6.3kVⅠ段小电流接地选线装置1n PCS-9657N备用单元（装置备用接入16路），完成调试。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3）本期沿用6.3kVⅠ段备用6111间隔开关柜内电能表（三相三相多功能电能表DSSD3366）；更换6.3kVⅡ段备用6221间隔开关柜内电能表（三相三相多功能电能表DSSD3366），新增6.3kVⅠA段每回出线间隔电能表，共计6只。更换及新增的电能表均选用有功C级、无功2.0级的三相四线多功能电能表，6.3kVⅠA段3个备用间隔的电能表就地安装于高压开关柜，背阴山光伏一、二、三期间隔的电能表安装于主控室电度表屏备用位置，采用联合接线盒安装，完成铅封工作。本站未配置集中式的电能量采集终端，建议本期新增1只壁挂式电能量采集终端，完成本期新增光伏接入间隔电能表的接入。</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（4）本期新增1台4间隔的电能质量在线监测装置，用于监测本期光伏接入的6.3kVⅡ段6221间隔，6.3kVⅠA段背阴山光伏二、三期接入间隔的电能质量。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（5）本期新增1台公用测控装置，与新增的1台电能质量在线监测装置集中组屏1面屏柜安装于控制室16P旁扩建屏位。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2）、110kV拉达冲变侧：</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eastAsia"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本期背阴山尾矿光伏接入35kV老厂变6.3kV侧后，作为35kV老厂变的主供、备供线路的35kV老厂线、35kV拉黄T线老厂变支线，需重新校核110kV拉达冲变35kV老厂线8A7、拉黄T线8A8间隔35kV线路保护测控装置CSC-211定值及调试。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default" w:cs="Times New Roman" w:asciiTheme="minorEastAsia" w:hAnsiTheme="minorEastAsia" w:eastAsiaTheme="minorEastAsia"/>
          <w:bCs/>
          <w:color w:val="auto"/>
          <w:kern w:val="2"/>
          <w:sz w:val="21"/>
          <w:szCs w:val="21"/>
          <w:highlight w:val="none"/>
          <w:lang w:val="en-US" w:eastAsia="zh-CN" w:bidi="ar-SA"/>
        </w:rPr>
      </w:pPr>
      <w:r>
        <w:rPr>
          <w:rFonts w:hint="eastAsia" w:cs="Times New Roman" w:asciiTheme="minorEastAsia" w:hAnsiTheme="minorEastAsia" w:eastAsiaTheme="minorEastAsia"/>
          <w:bCs/>
          <w:color w:val="auto"/>
          <w:kern w:val="2"/>
          <w:sz w:val="21"/>
          <w:szCs w:val="21"/>
          <w:highlight w:val="none"/>
          <w:lang w:val="en-US" w:eastAsia="zh-CN" w:bidi="ar-SA"/>
        </w:rPr>
        <w:t>3、10kV线路部分：本工程为背阴山尾矿库分布式光伏发电项目送出线路工程，6kV由光伏电厂集电线路末端位置，止于35kV老厂变，采6.3kV用同杆塔三回路采用架空+电缆两种方式，架设至35kV老厂变电站6.3kV母线，线路两侧采用电缆敷设；本次新建线路约3*1.20km，3*JL/LB20A-240/30mm²铝包钢芯铝绞线，新立杆塔22基；新建电缆通道81米，新增YH10CX-17/50避雷器18组，新建2米*2米电缆井3座。</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1"/>
        <w:rPr>
          <w:rFonts w:hint="default" w:cs="Times New Roman" w:asciiTheme="minorEastAsia" w:hAnsiTheme="minorEastAsia" w:eastAsiaTheme="minorEastAsia"/>
          <w:bCs/>
          <w:color w:val="auto"/>
          <w:kern w:val="2"/>
          <w:sz w:val="21"/>
          <w:szCs w:val="21"/>
          <w:highlight w:val="none"/>
          <w:lang w:val="en-US" w:eastAsia="zh-CN" w:bidi="ar-SA"/>
        </w:rPr>
        <w:sectPr>
          <w:pgSz w:w="11906" w:h="16838"/>
          <w:pgMar w:top="1440" w:right="1800" w:bottom="1440" w:left="1800" w:header="510" w:footer="680" w:gutter="0"/>
          <w:cols w:space="720" w:num="1"/>
          <w:titlePg/>
          <w:docGrid w:type="linesAndChars" w:linePitch="312" w:charSpace="0"/>
        </w:sectPr>
      </w:pPr>
    </w:p>
    <w:p>
      <w:pPr>
        <w:pStyle w:val="2"/>
        <w:bidi w:val="0"/>
        <w:rPr>
          <w:color w:val="auto"/>
          <w:highlight w:val="none"/>
        </w:rPr>
      </w:pPr>
      <w:bookmarkStart w:id="697" w:name="_Toc31843"/>
      <w:bookmarkStart w:id="698" w:name="_Toc31140"/>
      <w:r>
        <w:rPr>
          <w:color w:val="auto"/>
          <w:highlight w:val="none"/>
        </w:rPr>
        <w:t>第六章</w:t>
      </w:r>
      <w:r>
        <w:rPr>
          <w:rFonts w:hint="eastAsia"/>
          <w:color w:val="auto"/>
          <w:highlight w:val="none"/>
        </w:rPr>
        <w:t xml:space="preserve"> 谈判程序和评审方法</w:t>
      </w:r>
      <w:bookmarkEnd w:id="692"/>
      <w:bookmarkEnd w:id="693"/>
      <w:bookmarkEnd w:id="694"/>
      <w:bookmarkEnd w:id="697"/>
      <w:bookmarkEnd w:id="698"/>
    </w:p>
    <w:p>
      <w:pPr>
        <w:keepNext/>
        <w:keepLines/>
        <w:spacing w:after="120" w:line="360" w:lineRule="auto"/>
        <w:outlineLvl w:val="1"/>
        <w:rPr>
          <w:rFonts w:asciiTheme="minorEastAsia" w:hAnsiTheme="minorEastAsia" w:eastAsiaTheme="minorEastAsia"/>
          <w:b/>
          <w:bCs/>
          <w:color w:val="auto"/>
          <w:sz w:val="24"/>
          <w:highlight w:val="none"/>
        </w:rPr>
      </w:pPr>
      <w:bookmarkStart w:id="699" w:name="_Toc130564944"/>
      <w:bookmarkStart w:id="700" w:name="_Toc519163266"/>
      <w:bookmarkStart w:id="701" w:name="_Toc347849269"/>
      <w:bookmarkStart w:id="702" w:name="_Toc490599303"/>
      <w:bookmarkStart w:id="703" w:name="_Toc8646"/>
      <w:bookmarkStart w:id="704" w:name="_Toc378499750"/>
      <w:r>
        <w:rPr>
          <w:rFonts w:hint="eastAsia" w:asciiTheme="minorEastAsia" w:hAnsiTheme="minorEastAsia" w:eastAsiaTheme="minorEastAsia"/>
          <w:b/>
          <w:bCs/>
          <w:color w:val="auto"/>
          <w:sz w:val="24"/>
          <w:highlight w:val="none"/>
        </w:rPr>
        <w:t>一、谈判</w:t>
      </w:r>
      <w:r>
        <w:rPr>
          <w:rFonts w:asciiTheme="minorEastAsia" w:hAnsiTheme="minorEastAsia" w:eastAsiaTheme="minorEastAsia"/>
          <w:b/>
          <w:bCs/>
          <w:color w:val="auto"/>
          <w:sz w:val="24"/>
          <w:highlight w:val="none"/>
        </w:rPr>
        <w:t>方法</w:t>
      </w:r>
      <w:bookmarkEnd w:id="699"/>
      <w:bookmarkEnd w:id="700"/>
      <w:bookmarkEnd w:id="701"/>
      <w:bookmarkEnd w:id="702"/>
      <w:bookmarkEnd w:id="703"/>
      <w:bookmarkEnd w:id="704"/>
    </w:p>
    <w:p>
      <w:pPr>
        <w:spacing w:line="360" w:lineRule="auto"/>
        <w:ind w:firstLine="420" w:firstLineChars="200"/>
        <w:rPr>
          <w:rFonts w:asciiTheme="minorEastAsia" w:hAnsiTheme="minorEastAsia" w:eastAsiaTheme="minorEastAsia"/>
          <w:color w:val="auto"/>
          <w:szCs w:val="21"/>
          <w:highlight w:val="none"/>
        </w:rPr>
      </w:pPr>
      <w:bookmarkStart w:id="705" w:name="_Toc519163267"/>
      <w:bookmarkStart w:id="706" w:name="_Toc378499751"/>
      <w:bookmarkStart w:id="707" w:name="_Toc86124095"/>
      <w:bookmarkStart w:id="708" w:name="_Toc347849270"/>
      <w:r>
        <w:rPr>
          <w:rFonts w:hint="eastAsia" w:asciiTheme="minorEastAsia" w:hAnsiTheme="minorEastAsia" w:eastAsiaTheme="minorEastAsia"/>
          <w:color w:val="auto"/>
          <w:szCs w:val="21"/>
          <w:highlight w:val="none"/>
        </w:rPr>
        <w:t>本次谈判原则为：根据报价、商务、技术综合评估打分的高低确定成交谈判申请人，综合得分最高的为第一成交候选人，以此类推（综合得分相同时，以最终报价低者优先；综合得分相同，且最终报价相同时，依次按项目实施方案、项目理解及需求分析情况得分高优先、业绩多优先的顺序，排列各谈判申请人的次序）推荐成交候选人。</w:t>
      </w:r>
      <w:bookmarkEnd w:id="705"/>
    </w:p>
    <w:p>
      <w:pPr>
        <w:keepNext/>
        <w:keepLines/>
        <w:spacing w:after="120" w:line="360" w:lineRule="auto"/>
        <w:outlineLvl w:val="1"/>
        <w:rPr>
          <w:rFonts w:asciiTheme="minorEastAsia" w:hAnsiTheme="minorEastAsia" w:eastAsiaTheme="minorEastAsia"/>
          <w:b/>
          <w:bCs/>
          <w:color w:val="auto"/>
          <w:sz w:val="24"/>
          <w:highlight w:val="none"/>
        </w:rPr>
      </w:pPr>
      <w:bookmarkStart w:id="709" w:name="_Toc29170"/>
      <w:bookmarkStart w:id="710" w:name="_Toc130564945"/>
      <w:bookmarkStart w:id="711" w:name="_Toc519163268"/>
      <w:bookmarkStart w:id="712" w:name="_Toc490599305"/>
      <w:r>
        <w:rPr>
          <w:rFonts w:hint="eastAsia" w:asciiTheme="minorEastAsia" w:hAnsiTheme="minorEastAsia" w:eastAsiaTheme="minorEastAsia"/>
          <w:b/>
          <w:bCs/>
          <w:color w:val="auto"/>
          <w:sz w:val="24"/>
          <w:highlight w:val="none"/>
        </w:rPr>
        <w:t>二、谈判</w:t>
      </w:r>
      <w:r>
        <w:rPr>
          <w:rFonts w:asciiTheme="minorEastAsia" w:hAnsiTheme="minorEastAsia" w:eastAsiaTheme="minorEastAsia"/>
          <w:b/>
          <w:bCs/>
          <w:color w:val="auto"/>
          <w:sz w:val="24"/>
          <w:highlight w:val="none"/>
        </w:rPr>
        <w:t>标准</w:t>
      </w:r>
      <w:bookmarkEnd w:id="706"/>
      <w:bookmarkEnd w:id="707"/>
      <w:bookmarkEnd w:id="708"/>
      <w:bookmarkEnd w:id="709"/>
      <w:bookmarkEnd w:id="710"/>
      <w:bookmarkEnd w:id="711"/>
      <w:bookmarkEnd w:id="712"/>
    </w:p>
    <w:p>
      <w:pPr>
        <w:keepNext/>
        <w:keepLines/>
        <w:tabs>
          <w:tab w:val="left" w:pos="900"/>
        </w:tabs>
        <w:spacing w:after="120" w:line="360" w:lineRule="auto"/>
        <w:jc w:val="left"/>
        <w:outlineLvl w:val="2"/>
        <w:rPr>
          <w:rFonts w:asciiTheme="minorEastAsia" w:hAnsiTheme="minorEastAsia" w:eastAsiaTheme="minorEastAsia"/>
          <w:b/>
          <w:bCs/>
          <w:color w:val="auto"/>
          <w:sz w:val="24"/>
          <w:highlight w:val="none"/>
        </w:rPr>
      </w:pPr>
      <w:bookmarkStart w:id="713" w:name="_Toc107864058"/>
      <w:bookmarkStart w:id="714" w:name="_Toc378499752"/>
      <w:bookmarkStart w:id="715" w:name="_Toc16552"/>
      <w:bookmarkStart w:id="716" w:name="_Toc347849271"/>
      <w:bookmarkStart w:id="717" w:name="_Toc130564379"/>
      <w:bookmarkStart w:id="718" w:name="_Toc86124096"/>
      <w:bookmarkStart w:id="719" w:name="_Toc490599306"/>
      <w:bookmarkStart w:id="720" w:name="_Toc130564946"/>
      <w:bookmarkStart w:id="721" w:name="_Toc48271429"/>
      <w:bookmarkStart w:id="722" w:name="_Toc385344498"/>
      <w:bookmarkStart w:id="723" w:name="_Toc139987974"/>
      <w:bookmarkStart w:id="724" w:name="_Toc191374449"/>
      <w:bookmarkStart w:id="725" w:name="_Toc519163269"/>
      <w:bookmarkStart w:id="726" w:name="_Toc329810237"/>
      <w:r>
        <w:rPr>
          <w:rFonts w:asciiTheme="minorEastAsia" w:hAnsiTheme="minorEastAsia" w:eastAsiaTheme="minorEastAsia"/>
          <w:b/>
          <w:bCs/>
          <w:color w:val="auto"/>
          <w:sz w:val="24"/>
          <w:highlight w:val="none"/>
        </w:rPr>
        <w:t>2.1</w:t>
      </w:r>
      <w:r>
        <w:rPr>
          <w:rFonts w:hint="eastAsia" w:asciiTheme="minorEastAsia" w:hAnsiTheme="minorEastAsia" w:eastAsiaTheme="minorEastAsia"/>
          <w:b/>
          <w:bCs/>
          <w:color w:val="auto"/>
          <w:sz w:val="24"/>
          <w:szCs w:val="21"/>
          <w:highlight w:val="none"/>
        </w:rPr>
        <w:t>实质性要求</w:t>
      </w:r>
      <w:r>
        <w:rPr>
          <w:rFonts w:hint="eastAsia" w:asciiTheme="minorEastAsia" w:hAnsiTheme="minorEastAsia" w:eastAsiaTheme="minorEastAsia"/>
          <w:b/>
          <w:bCs/>
          <w:color w:val="auto"/>
          <w:sz w:val="24"/>
          <w:highlight w:val="none"/>
        </w:rPr>
        <w:t>审查</w:t>
      </w:r>
      <w:r>
        <w:rPr>
          <w:rFonts w:asciiTheme="minorEastAsia" w:hAnsiTheme="minorEastAsia" w:eastAsiaTheme="minorEastAsia"/>
          <w:b/>
          <w:bCs/>
          <w:color w:val="auto"/>
          <w:sz w:val="24"/>
          <w:highlight w:val="none"/>
        </w:rPr>
        <w:t>标准</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tbl>
      <w:tblPr>
        <w:tblStyle w:val="6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73"/>
        <w:gridCol w:w="1534"/>
        <w:gridCol w:w="5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tblHeader/>
          <w:jc w:val="center"/>
        </w:trPr>
        <w:tc>
          <w:tcPr>
            <w:tcW w:w="1773" w:type="dxa"/>
            <w:gridSpan w:val="2"/>
            <w:vAlign w:val="center"/>
          </w:tcPr>
          <w:p>
            <w:pPr>
              <w:spacing w:before="100" w:beforeAutospacing="1" w:after="100" w:afterAutospacing="1"/>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条款号</w:t>
            </w:r>
          </w:p>
        </w:tc>
        <w:tc>
          <w:tcPr>
            <w:tcW w:w="1534" w:type="dxa"/>
            <w:vAlign w:val="center"/>
          </w:tcPr>
          <w:p>
            <w:pPr>
              <w:spacing w:before="100" w:beforeAutospacing="1" w:after="100" w:afterAutospacing="1"/>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审 查 内 容</w:t>
            </w:r>
          </w:p>
        </w:tc>
        <w:tc>
          <w:tcPr>
            <w:tcW w:w="5215" w:type="dxa"/>
            <w:vAlign w:val="center"/>
          </w:tcPr>
          <w:p>
            <w:pPr>
              <w:spacing w:before="100" w:beforeAutospacing="1" w:after="100" w:afterAutospacing="1"/>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审 查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jc w:val="center"/>
        </w:trPr>
        <w:tc>
          <w:tcPr>
            <w:tcW w:w="800" w:type="dxa"/>
            <w:vMerge w:val="restart"/>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2.1</w:t>
            </w:r>
          </w:p>
        </w:tc>
        <w:tc>
          <w:tcPr>
            <w:tcW w:w="973" w:type="dxa"/>
            <w:vMerge w:val="restart"/>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实质性要求审查标准</w:t>
            </w:r>
          </w:p>
        </w:tc>
        <w:tc>
          <w:tcPr>
            <w:tcW w:w="1534"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资格条件</w:t>
            </w:r>
          </w:p>
        </w:tc>
        <w:tc>
          <w:tcPr>
            <w:tcW w:w="5215"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符合第二章“谈判申请人须知”规定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exact"/>
          <w:jc w:val="center"/>
        </w:trPr>
        <w:tc>
          <w:tcPr>
            <w:tcW w:w="800" w:type="dxa"/>
            <w:vMerge w:val="continue"/>
            <w:vAlign w:val="center"/>
          </w:tcPr>
          <w:p>
            <w:pPr>
              <w:spacing w:before="100" w:beforeAutospacing="1" w:after="100" w:afterAutospacing="1"/>
              <w:jc w:val="center"/>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jc w:val="center"/>
              <w:rPr>
                <w:rFonts w:asciiTheme="minorEastAsia" w:hAnsiTheme="minorEastAsia" w:eastAsiaTheme="minorEastAsia"/>
                <w:color w:val="auto"/>
                <w:szCs w:val="21"/>
                <w:highlight w:val="none"/>
              </w:rPr>
            </w:pPr>
          </w:p>
        </w:tc>
        <w:tc>
          <w:tcPr>
            <w:tcW w:w="1534"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谈判保证金</w:t>
            </w:r>
          </w:p>
        </w:tc>
        <w:tc>
          <w:tcPr>
            <w:tcW w:w="5215"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符合第二章“谈判申请人须知”规定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exact"/>
          <w:jc w:val="center"/>
        </w:trPr>
        <w:tc>
          <w:tcPr>
            <w:tcW w:w="800" w:type="dxa"/>
            <w:vMerge w:val="continue"/>
            <w:vAlign w:val="center"/>
          </w:tcPr>
          <w:p>
            <w:pPr>
              <w:spacing w:before="100" w:beforeAutospacing="1" w:after="100" w:afterAutospacing="1"/>
              <w:jc w:val="center"/>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jc w:val="center"/>
              <w:rPr>
                <w:rFonts w:asciiTheme="minorEastAsia" w:hAnsiTheme="minorEastAsia" w:eastAsiaTheme="minorEastAsia"/>
                <w:color w:val="auto"/>
                <w:szCs w:val="21"/>
                <w:highlight w:val="none"/>
              </w:rPr>
            </w:pPr>
          </w:p>
        </w:tc>
        <w:tc>
          <w:tcPr>
            <w:tcW w:w="1534"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营业执照</w:t>
            </w:r>
          </w:p>
        </w:tc>
        <w:tc>
          <w:tcPr>
            <w:tcW w:w="5215"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与投标名称一致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jc w:val="center"/>
        </w:trPr>
        <w:tc>
          <w:tcPr>
            <w:tcW w:w="800"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1534" w:type="dxa"/>
            <w:vAlign w:val="center"/>
          </w:tcPr>
          <w:p>
            <w:pPr>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法定代表人身份证明书</w:t>
            </w:r>
          </w:p>
        </w:tc>
        <w:tc>
          <w:tcPr>
            <w:tcW w:w="5215" w:type="dxa"/>
            <w:vAlign w:val="center"/>
          </w:tcPr>
          <w:p>
            <w:pP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符合</w:t>
            </w:r>
            <w:r>
              <w:rPr>
                <w:rFonts w:hint="eastAsia" w:asciiTheme="minorEastAsia" w:hAnsiTheme="minorEastAsia" w:eastAsiaTheme="minorEastAsia"/>
                <w:color w:val="auto"/>
                <w:szCs w:val="21"/>
                <w:highlight w:val="none"/>
              </w:rPr>
              <w:t>谈判</w:t>
            </w:r>
            <w:r>
              <w:rPr>
                <w:rFonts w:asciiTheme="minorEastAsia" w:hAnsiTheme="minorEastAsia" w:eastAsiaTheme="minorEastAsia"/>
                <w:color w:val="auto"/>
                <w:szCs w:val="21"/>
                <w:highlight w:val="none"/>
              </w:rPr>
              <w:t>文件</w:t>
            </w:r>
            <w:r>
              <w:rPr>
                <w:rFonts w:hint="eastAsia" w:asciiTheme="minorEastAsia" w:hAnsiTheme="minorEastAsia" w:eastAsiaTheme="minorEastAsia"/>
                <w:color w:val="auto"/>
                <w:szCs w:val="21"/>
                <w:highlight w:val="none"/>
              </w:rPr>
              <w:t>规</w:t>
            </w:r>
            <w:r>
              <w:rPr>
                <w:rFonts w:asciiTheme="minorEastAsia" w:hAnsiTheme="minorEastAsia" w:eastAsiaTheme="minorEastAsia"/>
                <w:color w:val="auto"/>
                <w:szCs w:val="21"/>
                <w:highlight w:val="none"/>
              </w:rPr>
              <w:t>定格式及内容</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并盖单位章；</w:t>
            </w:r>
            <w:r>
              <w:rPr>
                <w:rFonts w:hint="eastAsia" w:asciiTheme="minorEastAsia" w:hAnsiTheme="minorEastAsia" w:eastAsiaTheme="minorEastAsia"/>
                <w:color w:val="auto"/>
                <w:szCs w:val="21"/>
                <w:highlight w:val="none"/>
              </w:rPr>
              <w:t>资格证明文件</w:t>
            </w:r>
            <w:r>
              <w:rPr>
                <w:rFonts w:asciiTheme="minorEastAsia" w:hAnsiTheme="minorEastAsia" w:eastAsiaTheme="minorEastAsia"/>
                <w:color w:val="auto"/>
                <w:szCs w:val="21"/>
                <w:highlight w:val="none"/>
              </w:rPr>
              <w:t>文件正本中法定代表人身份证明书为原件。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0" w:hRule="atLeast"/>
          <w:jc w:val="center"/>
        </w:trPr>
        <w:tc>
          <w:tcPr>
            <w:tcW w:w="800"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1534" w:type="dxa"/>
            <w:vAlign w:val="center"/>
          </w:tcPr>
          <w:p>
            <w:pPr>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法定代表人授权委托书</w:t>
            </w:r>
          </w:p>
        </w:tc>
        <w:tc>
          <w:tcPr>
            <w:tcW w:w="5215" w:type="dxa"/>
            <w:vAlign w:val="center"/>
          </w:tcPr>
          <w:p>
            <w:pP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有法定代表人及其委托代理人签字</w:t>
            </w:r>
            <w:r>
              <w:rPr>
                <w:rFonts w:hint="eastAsia" w:asciiTheme="minorEastAsia" w:hAnsiTheme="minorEastAsia" w:eastAsiaTheme="minorEastAsia"/>
                <w:color w:val="auto"/>
                <w:szCs w:val="21"/>
                <w:highlight w:val="none"/>
              </w:rPr>
              <w:t>或盖章</w:t>
            </w:r>
            <w:r>
              <w:rPr>
                <w:rFonts w:asciiTheme="minorEastAsia" w:hAnsiTheme="minorEastAsia" w:eastAsiaTheme="minorEastAsia"/>
                <w:color w:val="auto"/>
                <w:szCs w:val="21"/>
                <w:highlight w:val="none"/>
              </w:rPr>
              <w:t>，并盖单位章；符合</w:t>
            </w:r>
            <w:r>
              <w:rPr>
                <w:rFonts w:hint="eastAsia" w:asciiTheme="minorEastAsia" w:hAnsiTheme="minorEastAsia" w:eastAsiaTheme="minorEastAsia"/>
                <w:color w:val="auto"/>
                <w:szCs w:val="21"/>
                <w:highlight w:val="none"/>
              </w:rPr>
              <w:t>谈判</w:t>
            </w:r>
            <w:r>
              <w:rPr>
                <w:rFonts w:asciiTheme="minorEastAsia" w:hAnsiTheme="minorEastAsia" w:eastAsiaTheme="minorEastAsia"/>
                <w:color w:val="auto"/>
                <w:szCs w:val="21"/>
                <w:highlight w:val="none"/>
              </w:rPr>
              <w:t>文件</w:t>
            </w:r>
            <w:r>
              <w:rPr>
                <w:rFonts w:hint="eastAsia" w:asciiTheme="minorEastAsia" w:hAnsiTheme="minorEastAsia" w:eastAsiaTheme="minorEastAsia"/>
                <w:color w:val="auto"/>
                <w:szCs w:val="21"/>
                <w:highlight w:val="none"/>
              </w:rPr>
              <w:t>规</w:t>
            </w:r>
            <w:r>
              <w:rPr>
                <w:rFonts w:asciiTheme="minorEastAsia" w:hAnsiTheme="minorEastAsia" w:eastAsiaTheme="minorEastAsia"/>
                <w:color w:val="auto"/>
                <w:szCs w:val="21"/>
                <w:highlight w:val="none"/>
              </w:rPr>
              <w:t>定格式及内容；</w:t>
            </w:r>
            <w:r>
              <w:rPr>
                <w:rFonts w:hint="eastAsia" w:asciiTheme="minorEastAsia" w:hAnsiTheme="minorEastAsia" w:eastAsiaTheme="minorEastAsia"/>
                <w:color w:val="auto"/>
                <w:szCs w:val="21"/>
                <w:highlight w:val="none"/>
              </w:rPr>
              <w:t>资格证明文件</w:t>
            </w:r>
            <w:r>
              <w:rPr>
                <w:rFonts w:asciiTheme="minorEastAsia" w:hAnsiTheme="minorEastAsia" w:eastAsiaTheme="minorEastAsia"/>
                <w:color w:val="auto"/>
                <w:szCs w:val="21"/>
                <w:highlight w:val="none"/>
              </w:rPr>
              <w:t>正本中法定代表人授权委托书为原件。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800"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1534" w:type="dxa"/>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响应文件格式</w:t>
            </w:r>
          </w:p>
        </w:tc>
        <w:tc>
          <w:tcPr>
            <w:tcW w:w="5215" w:type="dxa"/>
            <w:vAlign w:val="center"/>
          </w:tcPr>
          <w:p>
            <w:p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符合谈判文件格式要求，其他资料按“谈判申请人须知”前附表要求提供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7" w:hRule="exact"/>
          <w:jc w:val="center"/>
        </w:trPr>
        <w:tc>
          <w:tcPr>
            <w:tcW w:w="800"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973" w:type="dxa"/>
            <w:vMerge w:val="continue"/>
            <w:vAlign w:val="center"/>
          </w:tcPr>
          <w:p>
            <w:pPr>
              <w:spacing w:before="100" w:beforeAutospacing="1" w:after="100" w:afterAutospacing="1"/>
              <w:rPr>
                <w:rFonts w:asciiTheme="minorEastAsia" w:hAnsiTheme="minorEastAsia" w:eastAsiaTheme="minorEastAsia"/>
                <w:color w:val="auto"/>
                <w:szCs w:val="21"/>
                <w:highlight w:val="none"/>
              </w:rPr>
            </w:pPr>
          </w:p>
        </w:tc>
        <w:tc>
          <w:tcPr>
            <w:tcW w:w="1534" w:type="dxa"/>
            <w:vAlign w:val="center"/>
          </w:tcPr>
          <w:p>
            <w:pPr>
              <w:spacing w:before="100" w:beforeAutospacing="1" w:after="100" w:afterAutospacing="1"/>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其它实质性要求</w:t>
            </w:r>
          </w:p>
        </w:tc>
        <w:tc>
          <w:tcPr>
            <w:tcW w:w="5215" w:type="dxa"/>
            <w:vAlign w:val="center"/>
          </w:tcPr>
          <w:p>
            <w:pPr>
              <w:numPr>
                <w:ilvl w:val="0"/>
                <w:numId w:val="7"/>
              </w:numPr>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服务期限；</w:t>
            </w:r>
          </w:p>
          <w:p>
            <w:pPr>
              <w:numPr>
                <w:ilvl w:val="0"/>
                <w:numId w:val="7"/>
              </w:numPr>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服务质量标准；</w:t>
            </w:r>
          </w:p>
          <w:p>
            <w:pPr>
              <w:numPr>
                <w:ilvl w:val="0"/>
                <w:numId w:val="7"/>
              </w:num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响应文件中附有招标人不可接受条款的；</w:t>
            </w:r>
          </w:p>
          <w:p>
            <w:pPr>
              <w:numPr>
                <w:ilvl w:val="0"/>
                <w:numId w:val="7"/>
              </w:numP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法律法规或竞争性谈判文件要求的其他条款。</w:t>
            </w:r>
          </w:p>
        </w:tc>
      </w:tr>
    </w:tbl>
    <w:p>
      <w:pPr>
        <w:keepNext/>
        <w:keepLines/>
        <w:tabs>
          <w:tab w:val="left" w:pos="900"/>
        </w:tabs>
        <w:spacing w:after="120" w:line="360" w:lineRule="auto"/>
        <w:jc w:val="left"/>
        <w:outlineLvl w:val="2"/>
        <w:rPr>
          <w:rFonts w:asciiTheme="minorEastAsia" w:hAnsiTheme="minorEastAsia" w:eastAsiaTheme="minorEastAsia"/>
          <w:b/>
          <w:bCs/>
          <w:color w:val="auto"/>
          <w:sz w:val="24"/>
          <w:highlight w:val="none"/>
        </w:rPr>
      </w:pPr>
      <w:bookmarkStart w:id="727" w:name="_Toc86124097"/>
      <w:bookmarkStart w:id="728" w:name="_Toc139987975"/>
      <w:bookmarkStart w:id="729" w:name="_Toc385344499"/>
      <w:bookmarkStart w:id="730" w:name="_Toc3076"/>
      <w:bookmarkStart w:id="731" w:name="_Toc490599307"/>
      <w:bookmarkStart w:id="732" w:name="_Toc378499753"/>
      <w:bookmarkStart w:id="733" w:name="_Toc130564947"/>
      <w:bookmarkStart w:id="734" w:name="_Toc347849272"/>
      <w:bookmarkStart w:id="735" w:name="_Toc329810238"/>
      <w:bookmarkStart w:id="736" w:name="_Toc519163270"/>
      <w:bookmarkStart w:id="737" w:name="_Toc48271430"/>
      <w:bookmarkStart w:id="738" w:name="_Toc107864059"/>
      <w:bookmarkStart w:id="739" w:name="_Toc130564380"/>
      <w:r>
        <w:rPr>
          <w:rFonts w:asciiTheme="minorEastAsia" w:hAnsiTheme="minorEastAsia" w:eastAsiaTheme="minorEastAsia"/>
          <w:b/>
          <w:bCs/>
          <w:color w:val="auto"/>
          <w:sz w:val="24"/>
          <w:highlight w:val="none"/>
        </w:rPr>
        <w:t>2.2 谈判标准</w:t>
      </w:r>
      <w:bookmarkEnd w:id="727"/>
      <w:bookmarkEnd w:id="728"/>
      <w:bookmarkEnd w:id="729"/>
      <w:bookmarkEnd w:id="730"/>
      <w:bookmarkEnd w:id="731"/>
      <w:bookmarkEnd w:id="732"/>
      <w:bookmarkEnd w:id="733"/>
      <w:bookmarkEnd w:id="734"/>
      <w:bookmarkEnd w:id="735"/>
      <w:bookmarkEnd w:id="736"/>
      <w:bookmarkEnd w:id="737"/>
      <w:bookmarkEnd w:id="738"/>
      <w:bookmarkEnd w:id="739"/>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谈判小组</w:t>
      </w:r>
      <w:r>
        <w:rPr>
          <w:rFonts w:asciiTheme="minorEastAsia" w:hAnsiTheme="minorEastAsia" w:eastAsiaTheme="minorEastAsia"/>
          <w:color w:val="auto"/>
          <w:kern w:val="0"/>
          <w:szCs w:val="21"/>
          <w:highlight w:val="none"/>
        </w:rPr>
        <w:t>按谈判文件中规定的</w:t>
      </w:r>
      <w:r>
        <w:rPr>
          <w:rFonts w:hint="eastAsia" w:asciiTheme="minorEastAsia" w:hAnsiTheme="minorEastAsia" w:eastAsiaTheme="minorEastAsia"/>
          <w:color w:val="auto"/>
          <w:kern w:val="0"/>
          <w:szCs w:val="21"/>
          <w:highlight w:val="none"/>
        </w:rPr>
        <w:t>谈判</w:t>
      </w:r>
      <w:r>
        <w:rPr>
          <w:rFonts w:asciiTheme="minorEastAsia" w:hAnsiTheme="minorEastAsia" w:eastAsiaTheme="minorEastAsia"/>
          <w:color w:val="auto"/>
          <w:kern w:val="0"/>
          <w:szCs w:val="21"/>
          <w:highlight w:val="none"/>
        </w:rPr>
        <w:t>方法和标准，对</w:t>
      </w:r>
      <w:r>
        <w:rPr>
          <w:rFonts w:hint="eastAsia" w:asciiTheme="minorEastAsia" w:hAnsiTheme="minorEastAsia" w:eastAsiaTheme="minorEastAsia"/>
          <w:color w:val="auto"/>
          <w:szCs w:val="21"/>
          <w:highlight w:val="none"/>
        </w:rPr>
        <w:t>实质性要求</w:t>
      </w:r>
      <w:r>
        <w:rPr>
          <w:rFonts w:hint="eastAsia" w:asciiTheme="minorEastAsia" w:hAnsiTheme="minorEastAsia" w:eastAsiaTheme="minorEastAsia"/>
          <w:color w:val="auto"/>
          <w:highlight w:val="none"/>
        </w:rPr>
        <w:t>审查</w:t>
      </w:r>
      <w:r>
        <w:rPr>
          <w:rFonts w:asciiTheme="minorEastAsia" w:hAnsiTheme="minorEastAsia" w:eastAsiaTheme="minorEastAsia"/>
          <w:color w:val="auto"/>
          <w:kern w:val="0"/>
          <w:szCs w:val="21"/>
          <w:highlight w:val="none"/>
        </w:rPr>
        <w:t>合格的响应文件进行</w:t>
      </w:r>
      <w:r>
        <w:rPr>
          <w:rFonts w:hint="eastAsia" w:asciiTheme="minorEastAsia" w:hAnsiTheme="minorEastAsia" w:eastAsiaTheme="minorEastAsia"/>
          <w:color w:val="auto"/>
          <w:kern w:val="0"/>
          <w:szCs w:val="21"/>
          <w:highlight w:val="none"/>
        </w:rPr>
        <w:t>综合评估</w:t>
      </w:r>
      <w:r>
        <w:rPr>
          <w:rFonts w:asciiTheme="minorEastAsia" w:hAnsiTheme="minorEastAsia" w:eastAsiaTheme="minorEastAsia"/>
          <w:color w:val="auto"/>
          <w:kern w:val="0"/>
          <w:szCs w:val="21"/>
          <w:highlight w:val="none"/>
        </w:rPr>
        <w:t>比较与评价</w:t>
      </w:r>
      <w:r>
        <w:rPr>
          <w:rFonts w:asciiTheme="minorEastAsia" w:hAnsiTheme="minorEastAsia" w:eastAsiaTheme="minorEastAsia"/>
          <w:color w:val="auto"/>
          <w:szCs w:val="21"/>
          <w:highlight w:val="none"/>
        </w:rPr>
        <w:t>，按照</w:t>
      </w:r>
      <w:r>
        <w:rPr>
          <w:rFonts w:hint="eastAsia" w:asciiTheme="minorEastAsia" w:hAnsiTheme="minorEastAsia" w:eastAsiaTheme="minorEastAsia"/>
          <w:color w:val="auto"/>
          <w:szCs w:val="21"/>
          <w:highlight w:val="none"/>
        </w:rPr>
        <w:t>得分</w:t>
      </w:r>
      <w:r>
        <w:rPr>
          <w:rFonts w:asciiTheme="minorEastAsia" w:hAnsiTheme="minorEastAsia" w:eastAsiaTheme="minorEastAsia"/>
          <w:color w:val="auto"/>
          <w:szCs w:val="21"/>
          <w:highlight w:val="none"/>
        </w:rPr>
        <w:t>由</w:t>
      </w:r>
      <w:r>
        <w:rPr>
          <w:rFonts w:hint="eastAsia" w:asciiTheme="minorEastAsia" w:hAnsiTheme="minorEastAsia" w:eastAsiaTheme="minorEastAsia"/>
          <w:color w:val="auto"/>
          <w:szCs w:val="21"/>
          <w:highlight w:val="none"/>
        </w:rPr>
        <w:t>高</w:t>
      </w:r>
      <w:r>
        <w:rPr>
          <w:rFonts w:asciiTheme="minorEastAsia" w:hAnsiTheme="minorEastAsia" w:eastAsiaTheme="minorEastAsia"/>
          <w:color w:val="auto"/>
          <w:szCs w:val="21"/>
          <w:highlight w:val="none"/>
        </w:rPr>
        <w:t>到</w:t>
      </w:r>
      <w:r>
        <w:rPr>
          <w:rFonts w:hint="eastAsia" w:asciiTheme="minorEastAsia" w:hAnsiTheme="minorEastAsia" w:eastAsiaTheme="minorEastAsia"/>
          <w:color w:val="auto"/>
          <w:szCs w:val="21"/>
          <w:highlight w:val="none"/>
        </w:rPr>
        <w:t>低</w:t>
      </w:r>
      <w:r>
        <w:rPr>
          <w:rFonts w:asciiTheme="minorEastAsia" w:hAnsiTheme="minorEastAsia" w:eastAsiaTheme="minorEastAsia"/>
          <w:color w:val="auto"/>
          <w:szCs w:val="21"/>
          <w:highlight w:val="none"/>
        </w:rPr>
        <w:t>的顺序提出3名以上成交候选人</w:t>
      </w:r>
      <w:r>
        <w:rPr>
          <w:rFonts w:hint="eastAsia" w:asciiTheme="minorEastAsia" w:hAnsiTheme="minorEastAsia" w:eastAsiaTheme="minorEastAsia"/>
          <w:color w:val="auto"/>
          <w:szCs w:val="21"/>
          <w:highlight w:val="none"/>
        </w:rPr>
        <w:t>。</w:t>
      </w:r>
    </w:p>
    <w:p>
      <w:pPr>
        <w:keepNext/>
        <w:keepLines/>
        <w:spacing w:after="120" w:line="360" w:lineRule="auto"/>
        <w:outlineLvl w:val="1"/>
        <w:rPr>
          <w:rFonts w:asciiTheme="minorEastAsia" w:hAnsiTheme="minorEastAsia" w:eastAsiaTheme="minorEastAsia"/>
          <w:b/>
          <w:bCs/>
          <w:color w:val="auto"/>
          <w:sz w:val="24"/>
          <w:highlight w:val="none"/>
        </w:rPr>
      </w:pPr>
      <w:bookmarkStart w:id="740" w:name="_Toc519163271"/>
      <w:bookmarkStart w:id="741" w:name="_Toc191374451"/>
      <w:bookmarkStart w:id="742" w:name="_Toc25575"/>
      <w:bookmarkStart w:id="743" w:name="_Toc130564948"/>
      <w:bookmarkStart w:id="744" w:name="_Toc490599308"/>
      <w:bookmarkStart w:id="745" w:name="_Toc347849273"/>
      <w:bookmarkStart w:id="746" w:name="_Toc378499754"/>
      <w:bookmarkStart w:id="747" w:name="_Toc86124098"/>
      <w:r>
        <w:rPr>
          <w:rFonts w:hint="eastAsia" w:asciiTheme="minorEastAsia" w:hAnsiTheme="minorEastAsia" w:eastAsiaTheme="minorEastAsia"/>
          <w:b/>
          <w:bCs/>
          <w:color w:val="auto"/>
          <w:sz w:val="24"/>
          <w:highlight w:val="none"/>
        </w:rPr>
        <w:t>三、谈判</w:t>
      </w:r>
      <w:r>
        <w:rPr>
          <w:rFonts w:asciiTheme="minorEastAsia" w:hAnsiTheme="minorEastAsia" w:eastAsiaTheme="minorEastAsia"/>
          <w:b/>
          <w:bCs/>
          <w:color w:val="auto"/>
          <w:sz w:val="24"/>
          <w:highlight w:val="none"/>
        </w:rPr>
        <w:t>程序</w:t>
      </w:r>
      <w:bookmarkEnd w:id="740"/>
      <w:bookmarkEnd w:id="741"/>
      <w:bookmarkEnd w:id="742"/>
      <w:bookmarkEnd w:id="743"/>
      <w:bookmarkEnd w:id="744"/>
      <w:bookmarkEnd w:id="745"/>
      <w:bookmarkEnd w:id="746"/>
      <w:bookmarkEnd w:id="747"/>
    </w:p>
    <w:p>
      <w:pPr>
        <w:keepNext/>
        <w:keepLines/>
        <w:tabs>
          <w:tab w:val="left" w:pos="900"/>
        </w:tabs>
        <w:spacing w:after="120" w:line="360" w:lineRule="auto"/>
        <w:jc w:val="left"/>
        <w:outlineLvl w:val="2"/>
        <w:rPr>
          <w:rFonts w:asciiTheme="minorEastAsia" w:hAnsiTheme="minorEastAsia" w:eastAsiaTheme="minorEastAsia"/>
          <w:b/>
          <w:bCs/>
          <w:color w:val="auto"/>
          <w:sz w:val="24"/>
          <w:highlight w:val="none"/>
        </w:rPr>
      </w:pPr>
      <w:bookmarkStart w:id="748" w:name="_Toc191374452"/>
      <w:bookmarkStart w:id="749" w:name="_Toc329810240"/>
      <w:bookmarkStart w:id="750" w:name="_Toc48271432"/>
      <w:bookmarkStart w:id="751" w:name="_Toc378499755"/>
      <w:bookmarkStart w:id="752" w:name="_Toc347849274"/>
      <w:bookmarkStart w:id="753" w:name="_Toc86124099"/>
      <w:bookmarkStart w:id="754" w:name="_Toc19719"/>
      <w:bookmarkStart w:id="755" w:name="_Toc385344501"/>
      <w:bookmarkStart w:id="756" w:name="_Toc139987977"/>
      <w:bookmarkStart w:id="757" w:name="_Toc490599309"/>
      <w:bookmarkStart w:id="758" w:name="_Toc130564949"/>
      <w:bookmarkStart w:id="759" w:name="_Toc107864061"/>
      <w:bookmarkStart w:id="760" w:name="_Toc519163272"/>
      <w:r>
        <w:rPr>
          <w:rFonts w:asciiTheme="minorEastAsia" w:hAnsiTheme="minorEastAsia" w:eastAsiaTheme="minorEastAsia"/>
          <w:b/>
          <w:bCs/>
          <w:color w:val="auto"/>
          <w:sz w:val="24"/>
          <w:highlight w:val="none"/>
        </w:rPr>
        <w:t xml:space="preserve">3.1 </w:t>
      </w:r>
      <w:bookmarkEnd w:id="748"/>
      <w:bookmarkEnd w:id="749"/>
      <w:bookmarkEnd w:id="750"/>
      <w:bookmarkEnd w:id="751"/>
      <w:bookmarkEnd w:id="752"/>
      <w:bookmarkEnd w:id="753"/>
      <w:r>
        <w:rPr>
          <w:rFonts w:hint="eastAsia" w:asciiTheme="minorEastAsia" w:hAnsiTheme="minorEastAsia" w:eastAsiaTheme="minorEastAsia"/>
          <w:b/>
          <w:bCs/>
          <w:color w:val="auto"/>
          <w:sz w:val="24"/>
          <w:szCs w:val="21"/>
          <w:highlight w:val="none"/>
        </w:rPr>
        <w:t>实质性要求</w:t>
      </w:r>
      <w:r>
        <w:rPr>
          <w:rFonts w:hint="eastAsia" w:asciiTheme="minorEastAsia" w:hAnsiTheme="minorEastAsia" w:eastAsiaTheme="minorEastAsia"/>
          <w:b/>
          <w:bCs/>
          <w:color w:val="auto"/>
          <w:sz w:val="24"/>
          <w:highlight w:val="none"/>
        </w:rPr>
        <w:t>审查</w:t>
      </w:r>
      <w:bookmarkEnd w:id="754"/>
      <w:bookmarkEnd w:id="755"/>
      <w:bookmarkEnd w:id="756"/>
      <w:bookmarkEnd w:id="757"/>
      <w:bookmarkEnd w:id="758"/>
      <w:bookmarkEnd w:id="759"/>
      <w:bookmarkEnd w:id="760"/>
    </w:p>
    <w:p>
      <w:pPr>
        <w:spacing w:line="360" w:lineRule="auto"/>
        <w:ind w:left="210" w:leftChars="100" w:firstLine="420" w:firstLineChars="200"/>
        <w:jc w:val="left"/>
        <w:rPr>
          <w:rFonts w:asciiTheme="minorEastAsia" w:hAnsiTheme="minorEastAsia" w:eastAsiaTheme="minorEastAsia"/>
          <w:bCs/>
          <w:color w:val="auto"/>
          <w:szCs w:val="21"/>
          <w:highlight w:val="none"/>
        </w:rPr>
      </w:pPr>
      <w:r>
        <w:rPr>
          <w:rFonts w:asciiTheme="minorEastAsia" w:hAnsiTheme="minorEastAsia" w:eastAsiaTheme="minorEastAsia"/>
          <w:color w:val="auto"/>
          <w:szCs w:val="21"/>
          <w:highlight w:val="none"/>
        </w:rPr>
        <w:t>3.1.1谈判小组依据本章第2.1项规定的标准对响应文件进行</w:t>
      </w:r>
      <w:r>
        <w:rPr>
          <w:rFonts w:hint="eastAsia" w:asciiTheme="minorEastAsia" w:hAnsiTheme="minorEastAsia" w:eastAsiaTheme="minorEastAsia"/>
          <w:color w:val="auto"/>
          <w:szCs w:val="21"/>
          <w:highlight w:val="none"/>
        </w:rPr>
        <w:t>实质性要求审查</w:t>
      </w:r>
      <w:r>
        <w:rPr>
          <w:rFonts w:asciiTheme="minorEastAsia" w:hAnsiTheme="minorEastAsia" w:eastAsiaTheme="minorEastAsia"/>
          <w:color w:val="auto"/>
          <w:szCs w:val="21"/>
          <w:highlight w:val="none"/>
        </w:rPr>
        <w:t>。</w:t>
      </w:r>
      <w:r>
        <w:rPr>
          <w:rFonts w:asciiTheme="minorEastAsia" w:hAnsiTheme="minorEastAsia" w:eastAsiaTheme="minorEastAsia"/>
          <w:bCs/>
          <w:color w:val="auto"/>
          <w:szCs w:val="21"/>
          <w:highlight w:val="none"/>
        </w:rPr>
        <w:t>有一项不符合</w:t>
      </w:r>
      <w:r>
        <w:rPr>
          <w:rFonts w:hint="eastAsia" w:asciiTheme="minorEastAsia" w:hAnsiTheme="minorEastAsia" w:eastAsiaTheme="minorEastAsia"/>
          <w:bCs/>
          <w:color w:val="auto"/>
          <w:szCs w:val="21"/>
          <w:highlight w:val="none"/>
        </w:rPr>
        <w:t>谈判</w:t>
      </w:r>
      <w:r>
        <w:rPr>
          <w:rFonts w:asciiTheme="minorEastAsia" w:hAnsiTheme="minorEastAsia" w:eastAsiaTheme="minorEastAsia"/>
          <w:bCs/>
          <w:color w:val="auto"/>
          <w:szCs w:val="21"/>
          <w:highlight w:val="none"/>
        </w:rPr>
        <w:t>标准的，</w:t>
      </w:r>
      <w:r>
        <w:rPr>
          <w:rFonts w:hint="eastAsia" w:asciiTheme="minorEastAsia" w:hAnsiTheme="minorEastAsia" w:eastAsiaTheme="minorEastAsia"/>
          <w:bCs/>
          <w:color w:val="auto"/>
          <w:szCs w:val="21"/>
          <w:highlight w:val="none"/>
        </w:rPr>
        <w:t>不通过</w:t>
      </w:r>
      <w:r>
        <w:rPr>
          <w:rFonts w:hint="eastAsia" w:asciiTheme="minorEastAsia" w:hAnsiTheme="minorEastAsia" w:eastAsiaTheme="minorEastAsia"/>
          <w:color w:val="auto"/>
          <w:szCs w:val="21"/>
          <w:highlight w:val="none"/>
        </w:rPr>
        <w:t>实质性要求</w:t>
      </w:r>
      <w:r>
        <w:rPr>
          <w:rFonts w:hint="eastAsia" w:asciiTheme="minorEastAsia" w:hAnsiTheme="minorEastAsia" w:eastAsiaTheme="minorEastAsia"/>
          <w:color w:val="auto"/>
          <w:highlight w:val="none"/>
        </w:rPr>
        <w:t>审查</w:t>
      </w:r>
      <w:r>
        <w:rPr>
          <w:rFonts w:hint="eastAsia" w:asciiTheme="minorEastAsia" w:hAnsiTheme="minorEastAsia" w:eastAsiaTheme="minorEastAsia"/>
          <w:bCs/>
          <w:color w:val="auto"/>
          <w:szCs w:val="21"/>
          <w:highlight w:val="none"/>
        </w:rPr>
        <w:t>，</w:t>
      </w:r>
      <w:r>
        <w:rPr>
          <w:rFonts w:asciiTheme="minorEastAsia" w:hAnsiTheme="minorEastAsia" w:eastAsiaTheme="minorEastAsia"/>
          <w:bCs/>
          <w:color w:val="auto"/>
          <w:szCs w:val="21"/>
          <w:highlight w:val="none"/>
        </w:rPr>
        <w:t>不再参与谈判</w:t>
      </w:r>
      <w:r>
        <w:rPr>
          <w:rFonts w:hint="eastAsia" w:asciiTheme="minorEastAsia" w:hAnsiTheme="minorEastAsia" w:eastAsiaTheme="minorEastAsia"/>
          <w:bCs/>
          <w:color w:val="auto"/>
          <w:szCs w:val="21"/>
          <w:highlight w:val="none"/>
        </w:rPr>
        <w:t>。</w:t>
      </w:r>
    </w:p>
    <w:p>
      <w:pPr>
        <w:spacing w:line="360" w:lineRule="auto"/>
        <w:ind w:left="210" w:leftChars="100" w:firstLine="420" w:firstLineChars="200"/>
        <w:jc w:val="left"/>
        <w:rPr>
          <w:rFonts w:asciiTheme="minorEastAsia" w:hAnsiTheme="minorEastAsia" w:eastAsiaTheme="minorEastAsia"/>
          <w:b/>
          <w:color w:val="auto"/>
          <w:szCs w:val="21"/>
          <w:highlight w:val="none"/>
        </w:rPr>
      </w:pPr>
      <w:r>
        <w:rPr>
          <w:rFonts w:hint="eastAsia" w:asciiTheme="minorEastAsia" w:hAnsiTheme="minorEastAsia" w:eastAsiaTheme="minorEastAsia"/>
          <w:bCs/>
          <w:color w:val="auto"/>
          <w:szCs w:val="21"/>
          <w:highlight w:val="none"/>
        </w:rPr>
        <w:t>3.1.2</w:t>
      </w:r>
      <w:r>
        <w:rPr>
          <w:rFonts w:hint="eastAsia" w:asciiTheme="minorEastAsia" w:hAnsiTheme="minorEastAsia" w:eastAsiaTheme="minorEastAsia"/>
          <w:color w:val="auto"/>
          <w:szCs w:val="21"/>
          <w:highlight w:val="none"/>
        </w:rPr>
        <w:t>其它实质性要求审查以谈判文件及谈判申请人提供的响应文件为准进行审查；响应文件中未提供相应技术支持资料或所提供技术资料不全，</w:t>
      </w:r>
      <w:r>
        <w:rPr>
          <w:rFonts w:hint="eastAsia" w:asciiTheme="minorEastAsia" w:hAnsiTheme="minorEastAsia" w:eastAsiaTheme="minorEastAsia"/>
          <w:b/>
          <w:color w:val="auto"/>
          <w:szCs w:val="21"/>
          <w:highlight w:val="none"/>
          <w:u w:val="single"/>
        </w:rPr>
        <w:t>按不实质性响应谈判文件处理</w:t>
      </w:r>
      <w:r>
        <w:rPr>
          <w:rFonts w:hint="eastAsia" w:asciiTheme="minorEastAsia" w:hAnsiTheme="minorEastAsia" w:eastAsiaTheme="minorEastAsia"/>
          <w:color w:val="auto"/>
          <w:szCs w:val="21"/>
          <w:highlight w:val="none"/>
        </w:rPr>
        <w:t>；如响应文件中所提供的内容有严重偏离或达不到项目需求，则</w:t>
      </w:r>
      <w:r>
        <w:rPr>
          <w:rFonts w:hint="eastAsia" w:asciiTheme="minorEastAsia" w:hAnsiTheme="minorEastAsia" w:eastAsiaTheme="minorEastAsia"/>
          <w:b/>
          <w:color w:val="auto"/>
          <w:szCs w:val="21"/>
          <w:highlight w:val="none"/>
          <w:u w:val="single"/>
        </w:rPr>
        <w:t>按不实质性响应谈判文件处理</w:t>
      </w:r>
      <w:r>
        <w:rPr>
          <w:rFonts w:hint="eastAsia" w:asciiTheme="minorEastAsia" w:hAnsiTheme="minorEastAsia" w:eastAsiaTheme="minorEastAsia"/>
          <w:b/>
          <w:color w:val="auto"/>
          <w:szCs w:val="21"/>
          <w:highlight w:val="none"/>
        </w:rPr>
        <w:t>。</w:t>
      </w:r>
    </w:p>
    <w:p>
      <w:pPr>
        <w:spacing w:line="360" w:lineRule="auto"/>
        <w:ind w:left="210" w:leftChars="100" w:firstLine="420" w:firstLineChars="20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3.1.3有效响应文件不足三个的情形</w:t>
      </w:r>
    </w:p>
    <w:p>
      <w:pPr>
        <w:spacing w:line="360" w:lineRule="auto"/>
        <w:ind w:left="210" w:leftChars="100" w:firstLine="420" w:firstLineChars="200"/>
        <w:jc w:val="left"/>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谈判小组根据竞争性谈判文件的规定，否决不合格投标后，因为有效响应文件不足三个使得投标明显缺乏竞争的，谈判小组可以否决全部投标。若有效投标不足三个，且谈判小组经评审认为投标仍具有竞争力时，可以按评审办法继续评审或进行综合评议推荐成交候选人。</w:t>
      </w:r>
    </w:p>
    <w:p>
      <w:pPr>
        <w:keepNext/>
        <w:keepLines/>
        <w:tabs>
          <w:tab w:val="left" w:pos="900"/>
        </w:tabs>
        <w:spacing w:after="120" w:line="360" w:lineRule="auto"/>
        <w:jc w:val="left"/>
        <w:outlineLvl w:val="2"/>
        <w:rPr>
          <w:rFonts w:asciiTheme="minorEastAsia" w:hAnsiTheme="minorEastAsia" w:eastAsiaTheme="minorEastAsia"/>
          <w:b/>
          <w:bCs/>
          <w:color w:val="auto"/>
          <w:sz w:val="24"/>
          <w:highlight w:val="none"/>
        </w:rPr>
      </w:pPr>
      <w:bookmarkStart w:id="761" w:name="_Toc191374453"/>
      <w:bookmarkStart w:id="762" w:name="_Toc86124100"/>
      <w:bookmarkStart w:id="763" w:name="_Toc48271433"/>
      <w:bookmarkStart w:id="764" w:name="_Toc378499756"/>
      <w:bookmarkStart w:id="765" w:name="_Toc329810241"/>
      <w:bookmarkStart w:id="766" w:name="_Toc385344502"/>
      <w:bookmarkStart w:id="767" w:name="_Toc347849275"/>
      <w:bookmarkStart w:id="768" w:name="_Toc139987978"/>
      <w:bookmarkStart w:id="769" w:name="_Toc9022"/>
      <w:bookmarkStart w:id="770" w:name="_Toc107864062"/>
      <w:bookmarkStart w:id="771" w:name="_Toc519163273"/>
      <w:bookmarkStart w:id="772" w:name="_Toc490599310"/>
      <w:bookmarkStart w:id="773" w:name="_Toc130564950"/>
      <w:r>
        <w:rPr>
          <w:rFonts w:asciiTheme="minorEastAsia" w:hAnsiTheme="minorEastAsia" w:eastAsiaTheme="minorEastAsia"/>
          <w:b/>
          <w:bCs/>
          <w:color w:val="auto"/>
          <w:sz w:val="24"/>
          <w:highlight w:val="none"/>
        </w:rPr>
        <w:t xml:space="preserve">3.2 </w:t>
      </w:r>
      <w:bookmarkEnd w:id="761"/>
      <w:bookmarkEnd w:id="762"/>
      <w:bookmarkStart w:id="774" w:name="_Toc86124101"/>
      <w:bookmarkStart w:id="775" w:name="_Toc191374454"/>
      <w:r>
        <w:rPr>
          <w:rFonts w:asciiTheme="minorEastAsia" w:hAnsiTheme="minorEastAsia" w:eastAsiaTheme="minorEastAsia"/>
          <w:b/>
          <w:bCs/>
          <w:color w:val="auto"/>
          <w:sz w:val="24"/>
          <w:highlight w:val="none"/>
        </w:rPr>
        <w:t>谈判</w:t>
      </w:r>
      <w:bookmarkEnd w:id="763"/>
      <w:r>
        <w:rPr>
          <w:rFonts w:asciiTheme="minorEastAsia" w:hAnsiTheme="minorEastAsia" w:eastAsiaTheme="minorEastAsia"/>
          <w:b/>
          <w:bCs/>
          <w:color w:val="auto"/>
          <w:sz w:val="24"/>
          <w:highlight w:val="none"/>
        </w:rPr>
        <w:t>、比较与</w:t>
      </w:r>
      <w:bookmarkEnd w:id="764"/>
      <w:bookmarkEnd w:id="765"/>
      <w:bookmarkEnd w:id="766"/>
      <w:bookmarkEnd w:id="767"/>
      <w:r>
        <w:rPr>
          <w:rFonts w:hint="eastAsia" w:asciiTheme="minorEastAsia" w:hAnsiTheme="minorEastAsia" w:eastAsiaTheme="minorEastAsia"/>
          <w:b/>
          <w:bCs/>
          <w:color w:val="auto"/>
          <w:sz w:val="24"/>
          <w:highlight w:val="none"/>
        </w:rPr>
        <w:t>评审</w:t>
      </w:r>
      <w:bookmarkEnd w:id="768"/>
      <w:bookmarkEnd w:id="769"/>
      <w:bookmarkEnd w:id="770"/>
      <w:bookmarkEnd w:id="771"/>
      <w:bookmarkEnd w:id="772"/>
      <w:bookmarkEnd w:id="773"/>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w:t>
      </w:r>
      <w:r>
        <w:rPr>
          <w:rFonts w:hint="eastAsia" w:asciiTheme="minorEastAsia" w:hAnsiTheme="minorEastAsia" w:eastAsiaTheme="minorEastAsia"/>
          <w:color w:val="auto"/>
          <w:szCs w:val="21"/>
          <w:highlight w:val="none"/>
        </w:rPr>
        <w:t>2</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1谈判采用背对背的谈判方式，</w:t>
      </w:r>
      <w:r>
        <w:rPr>
          <w:rFonts w:asciiTheme="minorEastAsia" w:hAnsiTheme="minorEastAsia" w:eastAsiaTheme="minorEastAsia"/>
          <w:color w:val="auto"/>
          <w:szCs w:val="21"/>
          <w:highlight w:val="none"/>
        </w:rPr>
        <w:t>谈判小组所有成员集中与通过</w:t>
      </w:r>
      <w:r>
        <w:rPr>
          <w:rFonts w:hint="eastAsia" w:asciiTheme="minorEastAsia" w:hAnsiTheme="minorEastAsia" w:eastAsiaTheme="minorEastAsia"/>
          <w:color w:val="auto"/>
          <w:szCs w:val="21"/>
          <w:highlight w:val="none"/>
        </w:rPr>
        <w:t>实质性审查</w:t>
      </w:r>
      <w:r>
        <w:rPr>
          <w:rFonts w:asciiTheme="minorEastAsia" w:hAnsiTheme="minorEastAsia" w:eastAsiaTheme="minorEastAsia"/>
          <w:color w:val="auto"/>
          <w:szCs w:val="21"/>
          <w:highlight w:val="none"/>
        </w:rPr>
        <w:t>的单一谈判申请人分别进行谈判。在谈判中，谈判的任何一方不得透露与谈判有关的其他谈判申请人的技术资料、价格、折扣和其他信息。</w:t>
      </w:r>
    </w:p>
    <w:p>
      <w:pPr>
        <w:adjustRightInd w:val="0"/>
        <w:spacing w:line="360" w:lineRule="auto"/>
        <w:ind w:firstLine="411" w:firstLineChars="196"/>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3.2.</w:t>
      </w:r>
      <w:r>
        <w:rPr>
          <w:rFonts w:hint="eastAsia" w:asciiTheme="minorEastAsia" w:hAnsiTheme="minorEastAsia" w:eastAsiaTheme="minorEastAsia"/>
          <w:color w:val="auto"/>
          <w:szCs w:val="21"/>
          <w:highlight w:val="none"/>
        </w:rPr>
        <w:t>2</w:t>
      </w:r>
      <w:r>
        <w:rPr>
          <w:rFonts w:asciiTheme="minorEastAsia" w:hAnsiTheme="minorEastAsia" w:eastAsiaTheme="minorEastAsia"/>
          <w:color w:val="auto"/>
          <w:szCs w:val="21"/>
          <w:highlight w:val="none"/>
        </w:rPr>
        <w:t>谈判文件有实质性变动的，谈判小组将经招标人代表确认</w:t>
      </w:r>
      <w:r>
        <w:rPr>
          <w:rFonts w:hint="eastAsia" w:asciiTheme="minorEastAsia" w:hAnsiTheme="minorEastAsia" w:eastAsiaTheme="minorEastAsia"/>
          <w:color w:val="auto"/>
          <w:szCs w:val="21"/>
          <w:highlight w:val="none"/>
        </w:rPr>
        <w:t>后</w:t>
      </w:r>
      <w:r>
        <w:rPr>
          <w:rFonts w:asciiTheme="minorEastAsia" w:hAnsiTheme="minorEastAsia" w:eastAsiaTheme="minorEastAsia"/>
          <w:color w:val="auto"/>
          <w:szCs w:val="21"/>
          <w:highlight w:val="none"/>
        </w:rPr>
        <w:t>，以书面形式通知所有参加谈判的谈判申请人。但不得对涉及竞争的公平、公正性内容进行修改、变动。</w:t>
      </w:r>
    </w:p>
    <w:p>
      <w:pPr>
        <w:adjustRightInd w:val="0"/>
        <w:spacing w:line="360" w:lineRule="auto"/>
        <w:ind w:firstLine="411" w:firstLineChars="196"/>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3.2.</w:t>
      </w:r>
      <w:r>
        <w:rPr>
          <w:rFonts w:hint="eastAsia" w:asciiTheme="minorEastAsia" w:hAnsiTheme="minorEastAsia" w:eastAsiaTheme="minorEastAsia"/>
          <w:color w:val="auto"/>
          <w:szCs w:val="21"/>
          <w:highlight w:val="none"/>
        </w:rPr>
        <w:t>3</w:t>
      </w:r>
      <w:r>
        <w:rPr>
          <w:rFonts w:asciiTheme="minorEastAsia" w:hAnsiTheme="minorEastAsia" w:eastAsiaTheme="minorEastAsia"/>
          <w:color w:val="auto"/>
          <w:szCs w:val="21"/>
          <w:highlight w:val="none"/>
        </w:rPr>
        <w:t>为有助于对响应文件的详细审查、评价和比较，谈判小组可要求对谈判申请人分别进行技术询问、澄清，有关要求和答复均现场进行。</w:t>
      </w:r>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3.2.</w:t>
      </w:r>
      <w:r>
        <w:rPr>
          <w:rFonts w:hint="eastAsia" w:asciiTheme="minorEastAsia" w:hAnsiTheme="minorEastAsia" w:eastAsiaTheme="minorEastAsia"/>
          <w:color w:val="auto"/>
          <w:szCs w:val="21"/>
          <w:highlight w:val="none"/>
        </w:rPr>
        <w:t>4</w:t>
      </w:r>
      <w:r>
        <w:rPr>
          <w:rFonts w:asciiTheme="minorEastAsia" w:hAnsiTheme="minorEastAsia" w:eastAsiaTheme="minorEastAsia"/>
          <w:color w:val="auto"/>
          <w:szCs w:val="21"/>
          <w:highlight w:val="none"/>
        </w:rPr>
        <w:t>谈判小组在对响应文件的有效性、完整性和响应程度进行审查时，可以要求谈判申请人对响应文件中含义不明确、同类问题表述不一致或者有明显文字和计算错误的内容等作出必要的澄清、说明或者更正。谈判申请人的澄清、说明或者更正不得超出响应文件的范围或者改变响应文件的实质性内容。</w:t>
      </w:r>
    </w:p>
    <w:p>
      <w:pPr>
        <w:spacing w:line="360" w:lineRule="auto"/>
        <w:ind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谈判小组要求谈判申请人澄清、说明或者更正响应文件应当以书面形式作出。谈判申请人的澄清、说明或者更正应当由法定代表人或其授权代表签字或者加盖公章。由授权代表签字的，应当附法定代表人授权书。谈判申请人为自然人的，应当由本人签字并附身份证明。</w:t>
      </w:r>
    </w:p>
    <w:p>
      <w:pPr>
        <w:spacing w:line="360" w:lineRule="auto"/>
        <w:ind w:firstLine="315" w:firstLineChars="15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3.2.5</w:t>
      </w:r>
      <w:r>
        <w:rPr>
          <w:rFonts w:asciiTheme="minorEastAsia" w:hAnsiTheme="minorEastAsia" w:eastAsiaTheme="minorEastAsia"/>
          <w:color w:val="auto"/>
          <w:szCs w:val="21"/>
          <w:highlight w:val="none"/>
        </w:rPr>
        <w:t>谈判小组对谈判申请人提交的澄清、说明有疑问的，可以要求谈判申请人进一步澄清、说明。谈判小组求谈判申请人澄清、说明或者更正响应文件应当以书面形式作出。谈判申请人的澄清、说明或者更正应当由法定代表人或其授权代表签字或者加盖公章。</w:t>
      </w:r>
    </w:p>
    <w:p>
      <w:pPr>
        <w:adjustRightInd w:val="0"/>
        <w:spacing w:line="360" w:lineRule="auto"/>
        <w:ind w:firstLine="411" w:firstLineChars="196"/>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3.2.</w:t>
      </w:r>
      <w:r>
        <w:rPr>
          <w:rFonts w:hint="eastAsia" w:asciiTheme="minorEastAsia" w:hAnsiTheme="minorEastAsia" w:eastAsiaTheme="minorEastAsia"/>
          <w:color w:val="auto"/>
          <w:szCs w:val="21"/>
          <w:highlight w:val="none"/>
        </w:rPr>
        <w:t>6</w:t>
      </w:r>
      <w:r>
        <w:rPr>
          <w:rFonts w:asciiTheme="minorEastAsia" w:hAnsiTheme="minorEastAsia" w:eastAsiaTheme="minorEastAsia"/>
          <w:color w:val="auto"/>
          <w:szCs w:val="21"/>
          <w:highlight w:val="none"/>
        </w:rPr>
        <w:t>谈判结束后，谈判小组</w:t>
      </w:r>
      <w:r>
        <w:rPr>
          <w:rFonts w:hint="eastAsia" w:asciiTheme="minorEastAsia" w:hAnsiTheme="minorEastAsia" w:eastAsiaTheme="minorEastAsia"/>
          <w:color w:val="auto"/>
          <w:szCs w:val="21"/>
          <w:highlight w:val="none"/>
        </w:rPr>
        <w:t>将</w:t>
      </w:r>
      <w:r>
        <w:rPr>
          <w:rFonts w:asciiTheme="minorEastAsia" w:hAnsiTheme="minorEastAsia" w:eastAsiaTheme="minorEastAsia"/>
          <w:color w:val="auto"/>
          <w:szCs w:val="21"/>
          <w:highlight w:val="none"/>
        </w:rPr>
        <w:t>要求所有继续参加谈判的谈判申请人在规定时间内提交最终报价。</w:t>
      </w:r>
    </w:p>
    <w:p>
      <w:pPr>
        <w:adjustRightInd w:val="0"/>
        <w:spacing w:line="360" w:lineRule="auto"/>
        <w:ind w:firstLine="411" w:firstLineChars="196"/>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3.2.7评审内容</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谈判小组和所有竞标人谈判结束后，谈判小组成员根据竞标人的响应文件、最终报价、承诺事项分别对技术、商务、报价进行综合评估打分。</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详细评审采用百制评分法，各部分评标因素如下：</w:t>
      </w:r>
    </w:p>
    <w:tbl>
      <w:tblPr>
        <w:tblStyle w:val="67"/>
        <w:tblW w:w="9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840"/>
        <w:gridCol w:w="2351"/>
        <w:gridCol w:w="434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2064" w:type="dxa"/>
            <w:gridSpan w:val="2"/>
            <w:vAlign w:val="center"/>
          </w:tcPr>
          <w:p>
            <w:pPr>
              <w:spacing w:line="240" w:lineRule="auto"/>
              <w:ind w:firstLine="0" w:firstLineChars="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2351" w:type="dxa"/>
            <w:vAlign w:val="center"/>
          </w:tcPr>
          <w:p>
            <w:pPr>
              <w:pStyle w:val="478"/>
              <w:spacing w:line="460" w:lineRule="exact"/>
              <w:jc w:val="center"/>
              <w:rPr>
                <w:color w:val="auto"/>
                <w:sz w:val="21"/>
                <w:szCs w:val="21"/>
                <w:highlight w:val="none"/>
              </w:rPr>
            </w:pPr>
            <w:r>
              <w:rPr>
                <w:rFonts w:hint="eastAsia"/>
                <w:color w:val="auto"/>
                <w:sz w:val="21"/>
                <w:szCs w:val="21"/>
                <w:highlight w:val="none"/>
              </w:rPr>
              <w:t>分值构成</w:t>
            </w:r>
          </w:p>
          <w:p>
            <w:pPr>
              <w:pStyle w:val="478"/>
              <w:spacing w:line="460" w:lineRule="exact"/>
              <w:jc w:val="center"/>
              <w:rPr>
                <w:color w:val="auto"/>
                <w:sz w:val="21"/>
                <w:szCs w:val="21"/>
                <w:highlight w:val="none"/>
              </w:rPr>
            </w:pPr>
            <w:r>
              <w:rPr>
                <w:rFonts w:hint="eastAsia"/>
                <w:color w:val="auto"/>
                <w:sz w:val="21"/>
                <w:szCs w:val="21"/>
                <w:highlight w:val="none"/>
              </w:rPr>
              <w:t>(总分 100 分)</w:t>
            </w:r>
          </w:p>
        </w:tc>
        <w:tc>
          <w:tcPr>
            <w:tcW w:w="5133" w:type="dxa"/>
            <w:gridSpan w:val="2"/>
          </w:tcPr>
          <w:p>
            <w:pPr>
              <w:pStyle w:val="479"/>
              <w:widowControl w:val="0"/>
              <w:shd w:val="clear" w:color="auto" w:fill="FFFFFF"/>
              <w:adjustRightInd w:val="0"/>
              <w:snapToGrid w:val="0"/>
              <w:spacing w:line="360" w:lineRule="auto"/>
              <w:jc w:val="both"/>
              <w:rPr>
                <w:rFonts w:ascii="宋体" w:hAnsi="宋体"/>
                <w:color w:val="auto"/>
                <w:sz w:val="21"/>
                <w:szCs w:val="21"/>
                <w:highlight w:val="none"/>
                <w:lang w:eastAsia="zh-CN"/>
              </w:rPr>
            </w:pPr>
            <w:r>
              <w:rPr>
                <w:rFonts w:hint="eastAsia" w:ascii="宋体" w:hAnsi="宋体"/>
                <w:color w:val="auto"/>
                <w:sz w:val="21"/>
                <w:szCs w:val="21"/>
                <w:highlight w:val="none"/>
                <w:lang w:eastAsia="zh-CN"/>
              </w:rPr>
              <w:t>技术部分A：满分100分，权重K1=40%；</w:t>
            </w:r>
          </w:p>
          <w:p>
            <w:pPr>
              <w:pStyle w:val="479"/>
              <w:widowControl w:val="0"/>
              <w:shd w:val="clear" w:color="auto" w:fill="FFFFFF"/>
              <w:adjustRightInd w:val="0"/>
              <w:snapToGrid w:val="0"/>
              <w:spacing w:line="360" w:lineRule="auto"/>
              <w:jc w:val="both"/>
              <w:rPr>
                <w:rFonts w:ascii="宋体" w:hAnsi="宋体"/>
                <w:color w:val="auto"/>
                <w:sz w:val="21"/>
                <w:szCs w:val="21"/>
                <w:highlight w:val="none"/>
                <w:lang w:eastAsia="zh-CN"/>
              </w:rPr>
            </w:pPr>
            <w:r>
              <w:rPr>
                <w:rFonts w:hint="eastAsia" w:ascii="宋体" w:hAnsi="宋体"/>
                <w:color w:val="auto"/>
                <w:sz w:val="21"/>
                <w:szCs w:val="21"/>
                <w:highlight w:val="none"/>
                <w:lang w:eastAsia="zh-CN"/>
              </w:rPr>
              <w:t>商务部分B：满分100分，权重K2=10%；</w:t>
            </w:r>
          </w:p>
          <w:p>
            <w:pPr>
              <w:pStyle w:val="479"/>
              <w:widowControl w:val="0"/>
              <w:shd w:val="clear" w:color="auto" w:fill="FFFFFF"/>
              <w:adjustRightInd w:val="0"/>
              <w:snapToGrid w:val="0"/>
              <w:spacing w:line="360" w:lineRule="auto"/>
              <w:jc w:val="both"/>
              <w:rPr>
                <w:rFonts w:ascii="宋体" w:hAnsi="宋体"/>
                <w:color w:val="auto"/>
                <w:sz w:val="21"/>
                <w:szCs w:val="21"/>
                <w:highlight w:val="none"/>
                <w:lang w:eastAsia="zh-CN"/>
              </w:rPr>
            </w:pPr>
            <w:r>
              <w:rPr>
                <w:rFonts w:hint="eastAsia" w:ascii="宋体" w:hAnsi="宋体"/>
                <w:color w:val="auto"/>
                <w:sz w:val="21"/>
                <w:szCs w:val="21"/>
                <w:highlight w:val="none"/>
                <w:lang w:eastAsia="zh-CN"/>
              </w:rPr>
              <w:t>投标报价部分C：满分100分，权重K3=50%；</w:t>
            </w:r>
          </w:p>
          <w:p>
            <w:pPr>
              <w:ind w:firstLine="0" w:firstLineChars="0"/>
              <w:rPr>
                <w:color w:val="auto"/>
                <w:szCs w:val="21"/>
                <w:highlight w:val="none"/>
                <w:u w:val="single"/>
              </w:rPr>
            </w:pPr>
            <w:r>
              <w:rPr>
                <w:rFonts w:hint="eastAsia" w:ascii="宋体" w:hAnsi="宋体"/>
                <w:color w:val="auto"/>
                <w:szCs w:val="21"/>
                <w:highlight w:val="none"/>
              </w:rPr>
              <w:t>综合得分=A+B+C=A×K1＋B×K2＋C×K3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4" w:type="dxa"/>
            <w:gridSpan w:val="2"/>
            <w:vAlign w:val="center"/>
          </w:tcPr>
          <w:p>
            <w:pPr>
              <w:spacing w:line="240" w:lineRule="auto"/>
              <w:ind w:firstLine="0" w:firstLineChars="0"/>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2351" w:type="dxa"/>
            <w:vAlign w:val="center"/>
          </w:tcPr>
          <w:p>
            <w:pPr>
              <w:spacing w:line="240" w:lineRule="auto"/>
              <w:ind w:firstLine="0" w:firstLineChars="0"/>
              <w:jc w:val="center"/>
              <w:rPr>
                <w:color w:val="auto"/>
                <w:szCs w:val="21"/>
                <w:highlight w:val="none"/>
              </w:rPr>
            </w:pPr>
            <w:r>
              <w:rPr>
                <w:color w:val="auto"/>
                <w:szCs w:val="21"/>
                <w:highlight w:val="none"/>
              </w:rPr>
              <w:t>评标价基准值计算方法</w:t>
            </w:r>
          </w:p>
        </w:tc>
        <w:tc>
          <w:tcPr>
            <w:tcW w:w="5133" w:type="dxa"/>
            <w:gridSpan w:val="2"/>
            <w:vAlign w:val="center"/>
          </w:tcPr>
          <w:p>
            <w:pPr>
              <w:spacing w:line="240" w:lineRule="auto"/>
              <w:ind w:firstLine="420"/>
              <w:jc w:val="left"/>
              <w:rPr>
                <w:color w:val="auto"/>
                <w:szCs w:val="21"/>
                <w:highlight w:val="none"/>
              </w:rPr>
            </w:pPr>
            <w:r>
              <w:rPr>
                <w:color w:val="auto"/>
                <w:szCs w:val="21"/>
                <w:highlight w:val="none"/>
              </w:rPr>
              <w:t>1）合格投标人数大于5家（含5家）时，评标基准价为去掉一个最高报价和一个最低报价后（若存在最高报价或最低报价有2家及以上相同的，计算评标</w:t>
            </w:r>
            <w:r>
              <w:rPr>
                <w:rFonts w:hint="eastAsia"/>
                <w:color w:val="auto"/>
                <w:szCs w:val="21"/>
                <w:highlight w:val="none"/>
              </w:rPr>
              <w:t>价</w:t>
            </w:r>
            <w:r>
              <w:rPr>
                <w:color w:val="auto"/>
                <w:szCs w:val="21"/>
                <w:highlight w:val="none"/>
              </w:rPr>
              <w:t>基准</w:t>
            </w:r>
            <w:r>
              <w:rPr>
                <w:rFonts w:hint="eastAsia"/>
                <w:color w:val="auto"/>
                <w:szCs w:val="21"/>
                <w:highlight w:val="none"/>
              </w:rPr>
              <w:t>值</w:t>
            </w:r>
            <w:r>
              <w:rPr>
                <w:color w:val="auto"/>
                <w:szCs w:val="21"/>
                <w:highlight w:val="none"/>
              </w:rPr>
              <w:t>时最高报价或最低报价只扣除一家），其他投标人投标报价的算术平均值；</w:t>
            </w:r>
          </w:p>
          <w:p>
            <w:pPr>
              <w:spacing w:line="240" w:lineRule="auto"/>
              <w:ind w:firstLine="420"/>
              <w:jc w:val="left"/>
              <w:rPr>
                <w:color w:val="auto"/>
                <w:szCs w:val="21"/>
                <w:highlight w:val="none"/>
              </w:rPr>
            </w:pPr>
            <w:r>
              <w:rPr>
                <w:color w:val="auto"/>
                <w:szCs w:val="21"/>
                <w:highlight w:val="none"/>
              </w:rPr>
              <w:t>2）合格投标人数少于5家时，评标</w:t>
            </w:r>
            <w:r>
              <w:rPr>
                <w:rFonts w:hint="eastAsia"/>
                <w:color w:val="auto"/>
                <w:szCs w:val="21"/>
                <w:highlight w:val="none"/>
              </w:rPr>
              <w:t>价</w:t>
            </w:r>
            <w:r>
              <w:rPr>
                <w:color w:val="auto"/>
                <w:szCs w:val="21"/>
                <w:highlight w:val="none"/>
              </w:rPr>
              <w:t>基准</w:t>
            </w:r>
            <w:r>
              <w:rPr>
                <w:rFonts w:hint="eastAsia"/>
                <w:color w:val="auto"/>
                <w:szCs w:val="21"/>
                <w:highlight w:val="none"/>
              </w:rPr>
              <w:t>值</w:t>
            </w:r>
            <w:r>
              <w:rPr>
                <w:color w:val="auto"/>
                <w:szCs w:val="21"/>
                <w:highlight w:val="none"/>
              </w:rPr>
              <w:t>为所有有效投标人投标报价的算术平均值。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4" w:type="dxa"/>
            <w:gridSpan w:val="2"/>
            <w:vAlign w:val="center"/>
          </w:tcPr>
          <w:p>
            <w:pPr>
              <w:spacing w:line="240" w:lineRule="auto"/>
              <w:ind w:firstLine="0" w:firstLineChars="0"/>
              <w:jc w:val="center"/>
              <w:rPr>
                <w:rFonts w:hint="eastAsia" w:eastAsia="宋体"/>
                <w:color w:val="auto"/>
                <w:szCs w:val="21"/>
                <w:highlight w:val="none"/>
                <w:lang w:eastAsia="zh-CN"/>
              </w:rPr>
            </w:pPr>
            <w:r>
              <w:rPr>
                <w:rFonts w:hint="eastAsia"/>
                <w:color w:val="auto"/>
                <w:szCs w:val="21"/>
                <w:highlight w:val="none"/>
                <w:lang w:val="en-US" w:eastAsia="zh-CN"/>
              </w:rPr>
              <w:t>3</w:t>
            </w:r>
          </w:p>
        </w:tc>
        <w:tc>
          <w:tcPr>
            <w:tcW w:w="2351" w:type="dxa"/>
            <w:vAlign w:val="center"/>
          </w:tcPr>
          <w:p>
            <w:pPr>
              <w:spacing w:line="240" w:lineRule="auto"/>
              <w:ind w:firstLine="0" w:firstLineChars="0"/>
              <w:jc w:val="left"/>
              <w:rPr>
                <w:color w:val="auto"/>
                <w:szCs w:val="21"/>
                <w:highlight w:val="none"/>
              </w:rPr>
            </w:pPr>
            <w:r>
              <w:rPr>
                <w:color w:val="auto"/>
                <w:szCs w:val="21"/>
                <w:highlight w:val="none"/>
              </w:rPr>
              <w:t>偏差率计算公式</w:t>
            </w:r>
          </w:p>
        </w:tc>
        <w:tc>
          <w:tcPr>
            <w:tcW w:w="5133" w:type="dxa"/>
            <w:gridSpan w:val="2"/>
            <w:vAlign w:val="center"/>
          </w:tcPr>
          <w:p>
            <w:pPr>
              <w:spacing w:line="240" w:lineRule="auto"/>
              <w:ind w:firstLine="0" w:firstLineChars="0"/>
              <w:jc w:val="left"/>
              <w:rPr>
                <w:color w:val="auto"/>
                <w:szCs w:val="21"/>
                <w:highlight w:val="none"/>
              </w:rPr>
            </w:pPr>
            <w:r>
              <w:rPr>
                <w:color w:val="auto"/>
                <w:szCs w:val="21"/>
                <w:highlight w:val="none"/>
              </w:rPr>
              <w:t>偏差率=100%×（投标人评标价－评标价基准值）/评标价基准值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4" w:type="dxa"/>
            <w:gridSpan w:val="2"/>
            <w:vAlign w:val="center"/>
          </w:tcPr>
          <w:p>
            <w:pPr>
              <w:spacing w:line="240" w:lineRule="auto"/>
              <w:ind w:firstLine="0" w:firstLineChars="0"/>
              <w:jc w:val="center"/>
              <w:rPr>
                <w:b/>
                <w:color w:val="auto"/>
                <w:szCs w:val="21"/>
                <w:highlight w:val="none"/>
              </w:rPr>
            </w:pPr>
            <w:r>
              <w:rPr>
                <w:b/>
                <w:color w:val="auto"/>
                <w:szCs w:val="21"/>
                <w:highlight w:val="none"/>
              </w:rPr>
              <w:t>条款号</w:t>
            </w:r>
          </w:p>
        </w:tc>
        <w:tc>
          <w:tcPr>
            <w:tcW w:w="2351" w:type="dxa"/>
            <w:vAlign w:val="center"/>
          </w:tcPr>
          <w:p>
            <w:pPr>
              <w:spacing w:line="240" w:lineRule="auto"/>
              <w:ind w:firstLine="0" w:firstLineChars="0"/>
              <w:jc w:val="center"/>
              <w:rPr>
                <w:b/>
                <w:color w:val="auto"/>
                <w:szCs w:val="21"/>
                <w:highlight w:val="none"/>
              </w:rPr>
            </w:pPr>
            <w:r>
              <w:rPr>
                <w:b/>
                <w:color w:val="auto"/>
                <w:szCs w:val="21"/>
                <w:highlight w:val="none"/>
              </w:rPr>
              <w:t>评分因素</w:t>
            </w:r>
          </w:p>
        </w:tc>
        <w:tc>
          <w:tcPr>
            <w:tcW w:w="4349" w:type="dxa"/>
            <w:vAlign w:val="center"/>
          </w:tcPr>
          <w:p>
            <w:pPr>
              <w:spacing w:line="240" w:lineRule="auto"/>
              <w:ind w:firstLine="0" w:firstLineChars="0"/>
              <w:jc w:val="center"/>
              <w:rPr>
                <w:b/>
                <w:color w:val="auto"/>
                <w:szCs w:val="21"/>
                <w:highlight w:val="none"/>
              </w:rPr>
            </w:pPr>
            <w:r>
              <w:rPr>
                <w:b/>
                <w:color w:val="auto"/>
                <w:szCs w:val="21"/>
                <w:highlight w:val="none"/>
              </w:rPr>
              <w:t>评分标准</w:t>
            </w:r>
          </w:p>
        </w:tc>
        <w:tc>
          <w:tcPr>
            <w:tcW w:w="784" w:type="dxa"/>
            <w:vAlign w:val="center"/>
          </w:tcPr>
          <w:p>
            <w:pPr>
              <w:spacing w:line="240" w:lineRule="auto"/>
              <w:ind w:firstLine="0" w:firstLineChars="0"/>
              <w:jc w:val="center"/>
              <w:rPr>
                <w:b/>
                <w:color w:val="auto"/>
                <w:szCs w:val="21"/>
                <w:highlight w:val="none"/>
              </w:rPr>
            </w:pPr>
            <w:r>
              <w:rPr>
                <w:rFonts w:hint="eastAsia"/>
                <w:b/>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restart"/>
            <w:vAlign w:val="center"/>
          </w:tcPr>
          <w:p>
            <w:pPr>
              <w:spacing w:line="240" w:lineRule="auto"/>
              <w:ind w:firstLine="0" w:firstLineChars="0"/>
              <w:jc w:val="center"/>
              <w:rPr>
                <w:rFonts w:hint="eastAsia" w:eastAsia="宋体"/>
                <w:b/>
                <w:color w:val="auto"/>
                <w:szCs w:val="21"/>
                <w:highlight w:val="none"/>
                <w:lang w:eastAsia="zh-CN"/>
              </w:rPr>
            </w:pPr>
            <w:r>
              <w:rPr>
                <w:rFonts w:hint="eastAsia"/>
                <w:color w:val="auto"/>
                <w:szCs w:val="21"/>
                <w:highlight w:val="none"/>
                <w:lang w:val="en-US" w:eastAsia="zh-CN"/>
              </w:rPr>
              <w:t>A</w:t>
            </w:r>
          </w:p>
        </w:tc>
        <w:tc>
          <w:tcPr>
            <w:tcW w:w="840" w:type="dxa"/>
            <w:vMerge w:val="restart"/>
            <w:vAlign w:val="center"/>
          </w:tcPr>
          <w:p>
            <w:pPr>
              <w:spacing w:line="240" w:lineRule="auto"/>
              <w:ind w:firstLine="0" w:firstLineChars="0"/>
              <w:jc w:val="center"/>
              <w:rPr>
                <w:b/>
                <w:color w:val="auto"/>
                <w:szCs w:val="21"/>
                <w:highlight w:val="none"/>
              </w:rPr>
            </w:pPr>
            <w:r>
              <w:rPr>
                <w:color w:val="auto"/>
                <w:szCs w:val="21"/>
                <w:highlight w:val="none"/>
              </w:rPr>
              <w:t>商务部分评分标准</w:t>
            </w:r>
          </w:p>
        </w:tc>
        <w:tc>
          <w:tcPr>
            <w:tcW w:w="2351" w:type="dxa"/>
            <w:vAlign w:val="center"/>
          </w:tcPr>
          <w:p>
            <w:pPr>
              <w:spacing w:line="240" w:lineRule="auto"/>
              <w:ind w:firstLine="0" w:firstLineChars="0"/>
              <w:jc w:val="center"/>
              <w:rPr>
                <w:color w:val="auto"/>
                <w:szCs w:val="21"/>
                <w:highlight w:val="none"/>
              </w:rPr>
            </w:pPr>
            <w:r>
              <w:rPr>
                <w:rFonts w:hint="eastAsia"/>
                <w:color w:val="auto"/>
                <w:szCs w:val="21"/>
                <w:highlight w:val="none"/>
              </w:rPr>
              <w:t>投标人</w:t>
            </w:r>
            <w:r>
              <w:rPr>
                <w:color w:val="auto"/>
                <w:szCs w:val="21"/>
                <w:highlight w:val="none"/>
              </w:rPr>
              <w:t>业绩</w:t>
            </w:r>
          </w:p>
        </w:tc>
        <w:tc>
          <w:tcPr>
            <w:tcW w:w="4349" w:type="dxa"/>
            <w:vAlign w:val="center"/>
          </w:tcPr>
          <w:p>
            <w:pPr>
              <w:spacing w:line="240" w:lineRule="auto"/>
              <w:ind w:firstLine="0" w:firstLineChars="0"/>
              <w:jc w:val="left"/>
              <w:rPr>
                <w:color w:val="auto"/>
                <w:szCs w:val="21"/>
                <w:highlight w:val="none"/>
              </w:rPr>
            </w:pPr>
            <w:r>
              <w:rPr>
                <w:color w:val="auto"/>
                <w:szCs w:val="21"/>
                <w:highlight w:val="none"/>
              </w:rPr>
              <w:t>满足招标文件投标人资格要求的业绩</w:t>
            </w:r>
            <w:r>
              <w:rPr>
                <w:rFonts w:hint="eastAsia"/>
                <w:color w:val="auto"/>
                <w:szCs w:val="21"/>
                <w:highlight w:val="none"/>
              </w:rPr>
              <w:t>得0分；</w:t>
            </w:r>
          </w:p>
          <w:p>
            <w:pPr>
              <w:spacing w:line="240" w:lineRule="auto"/>
              <w:ind w:firstLine="0" w:firstLineChars="0"/>
              <w:jc w:val="left"/>
              <w:rPr>
                <w:color w:val="auto"/>
                <w:szCs w:val="21"/>
                <w:highlight w:val="none"/>
              </w:rPr>
            </w:pPr>
            <w:r>
              <w:rPr>
                <w:rFonts w:hint="eastAsia"/>
                <w:color w:val="auto"/>
                <w:szCs w:val="21"/>
                <w:highlight w:val="none"/>
              </w:rPr>
              <w:t>（1）独立</w:t>
            </w:r>
            <w:r>
              <w:rPr>
                <w:color w:val="auto"/>
                <w:szCs w:val="21"/>
                <w:highlight w:val="none"/>
              </w:rPr>
              <w:t>投标人</w:t>
            </w:r>
            <w:r>
              <w:rPr>
                <w:rFonts w:hint="eastAsia"/>
                <w:color w:val="auto"/>
                <w:szCs w:val="21"/>
                <w:highlight w:val="none"/>
              </w:rPr>
              <w:t>或联合体投标人设计方</w:t>
            </w:r>
            <w:r>
              <w:rPr>
                <w:color w:val="auto"/>
                <w:szCs w:val="21"/>
                <w:highlight w:val="none"/>
              </w:rPr>
              <w:t>每增加一项满足</w:t>
            </w:r>
            <w:r>
              <w:rPr>
                <w:rFonts w:hint="eastAsia"/>
                <w:color w:val="auto"/>
                <w:szCs w:val="21"/>
                <w:highlight w:val="none"/>
              </w:rPr>
              <w:t>资格</w:t>
            </w:r>
            <w:r>
              <w:rPr>
                <w:color w:val="auto"/>
                <w:szCs w:val="21"/>
                <w:highlight w:val="none"/>
              </w:rPr>
              <w:t>要求的</w:t>
            </w:r>
            <w:r>
              <w:rPr>
                <w:rFonts w:hint="eastAsia"/>
                <w:color w:val="auto"/>
                <w:szCs w:val="21"/>
                <w:highlight w:val="none"/>
              </w:rPr>
              <w:t>设计</w:t>
            </w:r>
            <w:r>
              <w:rPr>
                <w:color w:val="auto"/>
                <w:szCs w:val="21"/>
                <w:highlight w:val="none"/>
              </w:rPr>
              <w:t>业绩加</w:t>
            </w:r>
            <w:r>
              <w:rPr>
                <w:rFonts w:hint="eastAsia"/>
                <w:color w:val="auto"/>
                <w:szCs w:val="21"/>
                <w:highlight w:val="none"/>
              </w:rPr>
              <w:t>5</w:t>
            </w:r>
            <w:r>
              <w:rPr>
                <w:color w:val="auto"/>
                <w:szCs w:val="21"/>
                <w:highlight w:val="none"/>
              </w:rPr>
              <w:t>分，</w:t>
            </w:r>
            <w:r>
              <w:rPr>
                <w:rFonts w:hint="eastAsia"/>
                <w:color w:val="auto"/>
                <w:szCs w:val="21"/>
                <w:highlight w:val="none"/>
              </w:rPr>
              <w:t>最多加25分；</w:t>
            </w:r>
          </w:p>
          <w:p>
            <w:pPr>
              <w:spacing w:line="240" w:lineRule="auto"/>
              <w:ind w:firstLine="0" w:firstLineChars="0"/>
              <w:jc w:val="left"/>
              <w:rPr>
                <w:color w:val="auto"/>
                <w:szCs w:val="21"/>
                <w:highlight w:val="none"/>
              </w:rPr>
            </w:pPr>
            <w:r>
              <w:rPr>
                <w:rFonts w:hint="eastAsia"/>
                <w:color w:val="auto"/>
                <w:szCs w:val="21"/>
                <w:highlight w:val="none"/>
              </w:rPr>
              <w:t>（2）独立</w:t>
            </w:r>
            <w:r>
              <w:rPr>
                <w:color w:val="auto"/>
                <w:szCs w:val="21"/>
                <w:highlight w:val="none"/>
              </w:rPr>
              <w:t>投标人</w:t>
            </w:r>
            <w:r>
              <w:rPr>
                <w:rFonts w:hint="eastAsia"/>
                <w:color w:val="auto"/>
                <w:szCs w:val="21"/>
                <w:highlight w:val="none"/>
              </w:rPr>
              <w:t>或联合体投标人施工方</w:t>
            </w:r>
            <w:r>
              <w:rPr>
                <w:color w:val="auto"/>
                <w:szCs w:val="21"/>
                <w:highlight w:val="none"/>
              </w:rPr>
              <w:t>每增加一项满足</w:t>
            </w:r>
            <w:r>
              <w:rPr>
                <w:rFonts w:hint="eastAsia"/>
                <w:color w:val="auto"/>
                <w:szCs w:val="21"/>
                <w:highlight w:val="none"/>
              </w:rPr>
              <w:t>资格</w:t>
            </w:r>
            <w:r>
              <w:rPr>
                <w:color w:val="auto"/>
                <w:szCs w:val="21"/>
                <w:highlight w:val="none"/>
              </w:rPr>
              <w:t>要求的</w:t>
            </w:r>
            <w:r>
              <w:rPr>
                <w:rFonts w:hint="eastAsia"/>
                <w:color w:val="auto"/>
                <w:szCs w:val="21"/>
                <w:highlight w:val="none"/>
              </w:rPr>
              <w:t>施工</w:t>
            </w:r>
            <w:r>
              <w:rPr>
                <w:color w:val="auto"/>
                <w:szCs w:val="21"/>
                <w:highlight w:val="none"/>
              </w:rPr>
              <w:t>业绩加</w:t>
            </w:r>
            <w:r>
              <w:rPr>
                <w:rFonts w:hint="eastAsia"/>
                <w:color w:val="auto"/>
                <w:szCs w:val="21"/>
                <w:highlight w:val="none"/>
              </w:rPr>
              <w:t>5</w:t>
            </w:r>
            <w:r>
              <w:rPr>
                <w:color w:val="auto"/>
                <w:szCs w:val="21"/>
                <w:highlight w:val="none"/>
              </w:rPr>
              <w:t>分，</w:t>
            </w:r>
            <w:r>
              <w:rPr>
                <w:rFonts w:hint="eastAsia"/>
                <w:color w:val="auto"/>
                <w:szCs w:val="21"/>
                <w:highlight w:val="none"/>
              </w:rPr>
              <w:t>最多加35分；</w:t>
            </w:r>
          </w:p>
          <w:p>
            <w:pPr>
              <w:spacing w:line="240" w:lineRule="auto"/>
              <w:ind w:firstLine="0" w:firstLineChars="0"/>
              <w:jc w:val="left"/>
              <w:rPr>
                <w:color w:val="auto"/>
                <w:szCs w:val="21"/>
                <w:highlight w:val="none"/>
              </w:rPr>
            </w:pPr>
            <w:r>
              <w:rPr>
                <w:rFonts w:hint="eastAsia"/>
                <w:b/>
                <w:bCs/>
                <w:color w:val="auto"/>
                <w:szCs w:val="21"/>
                <w:highlight w:val="none"/>
              </w:rPr>
              <w:t>注：若独立投标人提交的以非联合体身份参与项目的EPC业绩可同时按照设计业绩和施工业绩分别加分。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1"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rFonts w:hint="eastAsia"/>
                <w:color w:val="auto"/>
                <w:szCs w:val="21"/>
                <w:highlight w:val="none"/>
              </w:rPr>
              <w:t>资信证明</w:t>
            </w:r>
          </w:p>
        </w:tc>
        <w:tc>
          <w:tcPr>
            <w:tcW w:w="4349" w:type="dxa"/>
          </w:tcPr>
          <w:p>
            <w:pPr>
              <w:spacing w:line="240" w:lineRule="auto"/>
              <w:ind w:firstLine="0" w:firstLineChars="0"/>
              <w:jc w:val="left"/>
              <w:rPr>
                <w:color w:val="auto"/>
                <w:highlight w:val="none"/>
              </w:rPr>
            </w:pPr>
            <w:r>
              <w:rPr>
                <w:rFonts w:hint="eastAsia"/>
                <w:color w:val="auto"/>
                <w:highlight w:val="none"/>
              </w:rPr>
              <w:t>评委按照所有有效投标人提供的银行资信材料进行打分：</w:t>
            </w:r>
          </w:p>
          <w:p>
            <w:pPr>
              <w:spacing w:line="240" w:lineRule="auto"/>
              <w:ind w:firstLine="0" w:firstLineChars="0"/>
              <w:jc w:val="left"/>
              <w:rPr>
                <w:color w:val="auto"/>
                <w:highlight w:val="none"/>
              </w:rPr>
            </w:pPr>
            <w:r>
              <w:rPr>
                <w:color w:val="auto"/>
                <w:highlight w:val="none"/>
              </w:rPr>
              <w:t>①提供了银行客户资信评级证明</w:t>
            </w:r>
            <w:r>
              <w:rPr>
                <w:rFonts w:hint="eastAsia"/>
                <w:color w:val="auto"/>
                <w:highlight w:val="none"/>
              </w:rPr>
              <w:t>且资信证明为最高的得7分，其余得5分</w:t>
            </w:r>
            <w:r>
              <w:rPr>
                <w:color w:val="auto"/>
                <w:highlight w:val="none"/>
              </w:rPr>
              <w:t>；未提供银行客户资信评级证明但提供了银行出具的财务状况良好的证明文件得</w:t>
            </w:r>
            <w:r>
              <w:rPr>
                <w:rFonts w:hint="eastAsia"/>
                <w:color w:val="auto"/>
                <w:highlight w:val="none"/>
              </w:rPr>
              <w:t>3</w:t>
            </w:r>
            <w:r>
              <w:rPr>
                <w:color w:val="auto"/>
                <w:highlight w:val="none"/>
              </w:rPr>
              <w:t>分；未提供任何资信证明资料不得分。</w:t>
            </w:r>
          </w:p>
          <w:p>
            <w:pPr>
              <w:spacing w:line="240" w:lineRule="auto"/>
              <w:ind w:firstLine="0" w:firstLineChars="0"/>
              <w:jc w:val="left"/>
              <w:rPr>
                <w:color w:val="auto"/>
                <w:highlight w:val="none"/>
              </w:rPr>
            </w:pPr>
            <w:r>
              <w:rPr>
                <w:color w:val="auto"/>
                <w:highlight w:val="none"/>
              </w:rPr>
              <w:t>②提供纳税信用证明A级得</w:t>
            </w:r>
            <w:r>
              <w:rPr>
                <w:rFonts w:hint="eastAsia"/>
                <w:color w:val="auto"/>
                <w:highlight w:val="none"/>
              </w:rPr>
              <w:t>3</w:t>
            </w:r>
            <w:r>
              <w:rPr>
                <w:color w:val="auto"/>
                <w:highlight w:val="none"/>
              </w:rPr>
              <w:t>分；B级得1分；</w:t>
            </w:r>
            <w:r>
              <w:rPr>
                <w:rFonts w:hint="eastAsia"/>
                <w:color w:val="auto"/>
                <w:highlight w:val="none"/>
              </w:rPr>
              <w:t>B级以下或未提供不得分。</w:t>
            </w:r>
          </w:p>
          <w:p>
            <w:pPr>
              <w:pStyle w:val="66"/>
              <w:ind w:left="0"/>
              <w:rPr>
                <w:color w:val="auto"/>
                <w:highlight w:val="none"/>
              </w:rPr>
            </w:pPr>
            <w:r>
              <w:rPr>
                <w:rFonts w:hint="eastAsia"/>
                <w:b/>
                <w:bCs/>
                <w:color w:val="auto"/>
                <w:szCs w:val="21"/>
                <w:highlight w:val="none"/>
                <w:lang w:bidi="ar"/>
              </w:rPr>
              <w:t>若为联合体投标，以施工方提交的证明材料进行评分。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color w:val="auto"/>
                <w:szCs w:val="21"/>
                <w:highlight w:val="none"/>
              </w:rPr>
              <w:t>财务状况</w:t>
            </w:r>
          </w:p>
        </w:tc>
        <w:tc>
          <w:tcPr>
            <w:tcW w:w="4349" w:type="dxa"/>
            <w:vAlign w:val="center"/>
          </w:tcPr>
          <w:p>
            <w:pPr>
              <w:spacing w:line="240" w:lineRule="auto"/>
              <w:ind w:firstLine="0" w:firstLineChars="0"/>
              <w:jc w:val="left"/>
              <w:rPr>
                <w:color w:val="auto"/>
                <w:szCs w:val="21"/>
                <w:highlight w:val="none"/>
                <w:lang w:bidi="ar"/>
              </w:rPr>
            </w:pPr>
            <w:r>
              <w:rPr>
                <w:color w:val="auto"/>
                <w:szCs w:val="21"/>
                <w:highlight w:val="none"/>
                <w:lang w:bidi="ar"/>
              </w:rPr>
              <w:t>财务状况考核以投标人近3年（202</w:t>
            </w:r>
            <w:r>
              <w:rPr>
                <w:rFonts w:hint="eastAsia"/>
                <w:color w:val="auto"/>
                <w:szCs w:val="21"/>
                <w:highlight w:val="none"/>
                <w:lang w:val="en-US" w:eastAsia="zh-CN" w:bidi="ar"/>
              </w:rPr>
              <w:t>1</w:t>
            </w:r>
            <w:r>
              <w:rPr>
                <w:color w:val="auto"/>
                <w:szCs w:val="21"/>
                <w:highlight w:val="none"/>
                <w:lang w:bidi="ar"/>
              </w:rPr>
              <w:t>、202</w:t>
            </w:r>
            <w:r>
              <w:rPr>
                <w:rFonts w:hint="eastAsia"/>
                <w:color w:val="auto"/>
                <w:szCs w:val="21"/>
                <w:highlight w:val="none"/>
                <w:lang w:val="en-US" w:eastAsia="zh-CN" w:bidi="ar"/>
              </w:rPr>
              <w:t>2</w:t>
            </w:r>
            <w:r>
              <w:rPr>
                <w:color w:val="auto"/>
                <w:szCs w:val="21"/>
                <w:highlight w:val="none"/>
                <w:lang w:bidi="ar"/>
              </w:rPr>
              <w:t>、202</w:t>
            </w:r>
            <w:r>
              <w:rPr>
                <w:rFonts w:hint="eastAsia"/>
                <w:color w:val="auto"/>
                <w:szCs w:val="21"/>
                <w:highlight w:val="none"/>
                <w:lang w:val="en-US" w:eastAsia="zh-CN" w:bidi="ar"/>
              </w:rPr>
              <w:t>3</w:t>
            </w:r>
            <w:r>
              <w:rPr>
                <w:color w:val="auto"/>
                <w:szCs w:val="21"/>
                <w:highlight w:val="none"/>
                <w:lang w:bidi="ar"/>
              </w:rPr>
              <w:t>年）完整的经第三方审计的审计报告及财务报表扫描件为依据，由评标委员会根据投标人所递交财务报表等资料进行</w:t>
            </w:r>
            <w:r>
              <w:rPr>
                <w:rFonts w:hint="eastAsia"/>
                <w:color w:val="auto"/>
                <w:szCs w:val="21"/>
                <w:highlight w:val="none"/>
                <w:lang w:bidi="ar"/>
              </w:rPr>
              <w:t>横向</w:t>
            </w:r>
            <w:r>
              <w:rPr>
                <w:color w:val="auto"/>
                <w:szCs w:val="21"/>
                <w:highlight w:val="none"/>
                <w:lang w:bidi="ar"/>
              </w:rPr>
              <w:t>评审评分。</w:t>
            </w:r>
          </w:p>
          <w:p>
            <w:pPr>
              <w:spacing w:line="240" w:lineRule="auto"/>
              <w:ind w:firstLine="0" w:firstLineChars="0"/>
              <w:jc w:val="left"/>
              <w:rPr>
                <w:color w:val="auto"/>
                <w:szCs w:val="21"/>
                <w:highlight w:val="none"/>
                <w:lang w:bidi="ar"/>
              </w:rPr>
            </w:pPr>
            <w:r>
              <w:rPr>
                <w:color w:val="auto"/>
                <w:szCs w:val="21"/>
                <w:highlight w:val="none"/>
                <w:lang w:bidi="ar"/>
              </w:rPr>
              <w:t>第一档次（</w:t>
            </w:r>
            <w:r>
              <w:rPr>
                <w:rFonts w:hint="eastAsia"/>
                <w:color w:val="auto"/>
                <w:szCs w:val="21"/>
                <w:highlight w:val="none"/>
                <w:lang w:bidi="ar"/>
              </w:rPr>
              <w:t>21</w:t>
            </w:r>
            <w:r>
              <w:rPr>
                <w:color w:val="auto"/>
                <w:szCs w:val="21"/>
                <w:highlight w:val="none"/>
                <w:lang w:bidi="ar"/>
              </w:rPr>
              <w:t>～</w:t>
            </w:r>
            <w:r>
              <w:rPr>
                <w:rFonts w:hint="eastAsia"/>
                <w:color w:val="auto"/>
                <w:szCs w:val="21"/>
                <w:highlight w:val="none"/>
                <w:lang w:bidi="ar"/>
              </w:rPr>
              <w:t>30</w:t>
            </w:r>
            <w:r>
              <w:rPr>
                <w:color w:val="auto"/>
                <w:szCs w:val="21"/>
                <w:highlight w:val="none"/>
                <w:lang w:bidi="ar"/>
              </w:rPr>
              <w:t>分）：近三年财务状况良好、短期资金流动性强、盈利能力强者；</w:t>
            </w:r>
          </w:p>
          <w:p>
            <w:pPr>
              <w:widowControl/>
              <w:spacing w:line="240" w:lineRule="auto"/>
              <w:ind w:firstLine="0" w:firstLineChars="0"/>
              <w:jc w:val="left"/>
              <w:rPr>
                <w:color w:val="auto"/>
                <w:szCs w:val="21"/>
                <w:highlight w:val="none"/>
                <w:lang w:bidi="ar"/>
              </w:rPr>
            </w:pPr>
            <w:r>
              <w:rPr>
                <w:color w:val="auto"/>
                <w:szCs w:val="21"/>
                <w:highlight w:val="none"/>
                <w:lang w:bidi="ar"/>
              </w:rPr>
              <w:t>第二档次（</w:t>
            </w:r>
            <w:r>
              <w:rPr>
                <w:rFonts w:hint="eastAsia"/>
                <w:color w:val="auto"/>
                <w:szCs w:val="21"/>
                <w:highlight w:val="none"/>
                <w:lang w:bidi="ar"/>
              </w:rPr>
              <w:t>11</w:t>
            </w:r>
            <w:r>
              <w:rPr>
                <w:color w:val="auto"/>
                <w:szCs w:val="21"/>
                <w:highlight w:val="none"/>
                <w:lang w:bidi="ar"/>
              </w:rPr>
              <w:t>～</w:t>
            </w:r>
            <w:r>
              <w:rPr>
                <w:rFonts w:hint="eastAsia"/>
                <w:color w:val="auto"/>
                <w:szCs w:val="21"/>
                <w:highlight w:val="none"/>
                <w:lang w:bidi="ar"/>
              </w:rPr>
              <w:t>20</w:t>
            </w:r>
            <w:r>
              <w:rPr>
                <w:color w:val="auto"/>
                <w:szCs w:val="21"/>
                <w:highlight w:val="none"/>
                <w:lang w:bidi="ar"/>
              </w:rPr>
              <w:t>分）：近三年财务状况较好、短期资金流动性较强、盈利能力较强者；</w:t>
            </w:r>
          </w:p>
          <w:p>
            <w:pPr>
              <w:spacing w:line="240" w:lineRule="auto"/>
              <w:ind w:firstLine="0" w:firstLineChars="0"/>
              <w:jc w:val="left"/>
              <w:rPr>
                <w:color w:val="auto"/>
                <w:szCs w:val="21"/>
                <w:highlight w:val="none"/>
                <w:lang w:bidi="ar"/>
              </w:rPr>
            </w:pPr>
            <w:r>
              <w:rPr>
                <w:color w:val="auto"/>
                <w:szCs w:val="21"/>
                <w:highlight w:val="none"/>
                <w:lang w:bidi="ar"/>
              </w:rPr>
              <w:t>第三档次（1～</w:t>
            </w:r>
            <w:r>
              <w:rPr>
                <w:rFonts w:hint="eastAsia"/>
                <w:color w:val="auto"/>
                <w:szCs w:val="21"/>
                <w:highlight w:val="none"/>
                <w:lang w:bidi="ar"/>
              </w:rPr>
              <w:t>10</w:t>
            </w:r>
            <w:r>
              <w:rPr>
                <w:color w:val="auto"/>
                <w:szCs w:val="21"/>
                <w:highlight w:val="none"/>
                <w:lang w:bidi="ar"/>
              </w:rPr>
              <w:t>分）：近三年财务状况一般、短期资金流动性一般、盈利能力一般者。</w:t>
            </w:r>
          </w:p>
          <w:p>
            <w:pPr>
              <w:pStyle w:val="66"/>
              <w:ind w:left="0"/>
              <w:rPr>
                <w:color w:val="auto"/>
                <w:highlight w:val="none"/>
              </w:rPr>
            </w:pPr>
            <w:r>
              <w:rPr>
                <w:rFonts w:hint="eastAsia"/>
                <w:b/>
                <w:bCs/>
                <w:color w:val="auto"/>
                <w:szCs w:val="21"/>
                <w:highlight w:val="none"/>
                <w:lang w:bidi="ar"/>
              </w:rPr>
              <w:t>若为联合体投标，以施工方提交的证明材料进行评分。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restart"/>
            <w:vAlign w:val="center"/>
          </w:tcPr>
          <w:p>
            <w:pPr>
              <w:spacing w:line="240" w:lineRule="auto"/>
              <w:ind w:firstLine="0" w:firstLineChars="0"/>
              <w:jc w:val="center"/>
              <w:rPr>
                <w:rFonts w:hint="eastAsia" w:eastAsia="宋体"/>
                <w:color w:val="auto"/>
                <w:szCs w:val="21"/>
                <w:highlight w:val="none"/>
                <w:lang w:eastAsia="zh-CN"/>
              </w:rPr>
            </w:pPr>
            <w:r>
              <w:rPr>
                <w:rFonts w:hint="eastAsia"/>
                <w:color w:val="auto"/>
                <w:szCs w:val="21"/>
                <w:highlight w:val="none"/>
                <w:lang w:val="en-US" w:eastAsia="zh-CN"/>
              </w:rPr>
              <w:t>B</w:t>
            </w:r>
          </w:p>
        </w:tc>
        <w:tc>
          <w:tcPr>
            <w:tcW w:w="840" w:type="dxa"/>
            <w:vMerge w:val="restart"/>
            <w:vAlign w:val="center"/>
          </w:tcPr>
          <w:p>
            <w:pPr>
              <w:spacing w:line="240" w:lineRule="auto"/>
              <w:ind w:firstLine="0" w:firstLineChars="0"/>
              <w:jc w:val="center"/>
              <w:rPr>
                <w:color w:val="auto"/>
                <w:szCs w:val="21"/>
                <w:highlight w:val="none"/>
              </w:rPr>
            </w:pPr>
            <w:r>
              <w:rPr>
                <w:color w:val="auto"/>
                <w:szCs w:val="21"/>
                <w:highlight w:val="none"/>
              </w:rPr>
              <w:t>技术部分评分标准</w:t>
            </w:r>
          </w:p>
        </w:tc>
        <w:tc>
          <w:tcPr>
            <w:tcW w:w="6700" w:type="dxa"/>
            <w:gridSpan w:val="2"/>
            <w:vAlign w:val="center"/>
          </w:tcPr>
          <w:p>
            <w:pPr>
              <w:spacing w:line="240" w:lineRule="auto"/>
              <w:ind w:firstLine="420"/>
              <w:jc w:val="left"/>
              <w:rPr>
                <w:color w:val="auto"/>
                <w:szCs w:val="21"/>
                <w:highlight w:val="none"/>
              </w:rPr>
            </w:pPr>
            <w:r>
              <w:rPr>
                <w:rFonts w:hint="eastAsia"/>
                <w:color w:val="auto"/>
                <w:szCs w:val="21"/>
                <w:highlight w:val="none"/>
              </w:rPr>
              <w:t>（１）设计方案</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199" w:firstLineChars="95"/>
              <w:jc w:val="left"/>
              <w:rPr>
                <w:color w:val="auto"/>
                <w:szCs w:val="21"/>
                <w:highlight w:val="none"/>
              </w:rPr>
            </w:pPr>
            <w:r>
              <w:rPr>
                <w:color w:val="auto"/>
                <w:szCs w:val="21"/>
                <w:highlight w:val="none"/>
              </w:rPr>
              <w:t>设计</w:t>
            </w:r>
            <w:r>
              <w:rPr>
                <w:rFonts w:hint="eastAsia"/>
                <w:color w:val="auto"/>
                <w:szCs w:val="21"/>
                <w:highlight w:val="none"/>
              </w:rPr>
              <w:t>原则、深度</w:t>
            </w:r>
          </w:p>
        </w:tc>
        <w:tc>
          <w:tcPr>
            <w:tcW w:w="4349" w:type="dxa"/>
            <w:vAlign w:val="center"/>
          </w:tcPr>
          <w:p>
            <w:pPr>
              <w:spacing w:line="240" w:lineRule="auto"/>
              <w:ind w:firstLine="0" w:firstLineChars="0"/>
              <w:jc w:val="left"/>
              <w:rPr>
                <w:color w:val="auto"/>
                <w:szCs w:val="21"/>
                <w:highlight w:val="none"/>
              </w:rPr>
            </w:pPr>
            <w:r>
              <w:rPr>
                <w:color w:val="auto"/>
                <w:kern w:val="0"/>
                <w:szCs w:val="21"/>
                <w:highlight w:val="none"/>
              </w:rPr>
              <w:t>对送出工程勘察设计方案的设计原则、设计深度、关键性能指标等</w:t>
            </w:r>
            <w:r>
              <w:rPr>
                <w:color w:val="auto"/>
                <w:szCs w:val="21"/>
                <w:highlight w:val="none"/>
              </w:rPr>
              <w:t>进行横向对比：好得13-20，较好得分7-12分，一般得分1-6分。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rFonts w:hint="eastAsia"/>
                <w:color w:val="auto"/>
                <w:szCs w:val="21"/>
                <w:highlight w:val="none"/>
              </w:rPr>
              <w:t>项目</w:t>
            </w:r>
            <w:r>
              <w:rPr>
                <w:color w:val="auto"/>
                <w:kern w:val="0"/>
                <w:szCs w:val="21"/>
                <w:highlight w:val="none"/>
              </w:rPr>
              <w:t>勘察设计方案</w:t>
            </w:r>
            <w:r>
              <w:rPr>
                <w:rFonts w:hint="eastAsia"/>
                <w:color w:val="auto"/>
                <w:kern w:val="0"/>
                <w:szCs w:val="21"/>
                <w:highlight w:val="none"/>
              </w:rPr>
              <w:t>合理性</w:t>
            </w:r>
          </w:p>
        </w:tc>
        <w:tc>
          <w:tcPr>
            <w:tcW w:w="4349" w:type="dxa"/>
            <w:vAlign w:val="center"/>
          </w:tcPr>
          <w:p>
            <w:pPr>
              <w:spacing w:line="240" w:lineRule="auto"/>
              <w:ind w:firstLine="0" w:firstLineChars="0"/>
              <w:jc w:val="left"/>
              <w:rPr>
                <w:color w:val="auto"/>
                <w:szCs w:val="21"/>
                <w:highlight w:val="none"/>
              </w:rPr>
            </w:pPr>
            <w:r>
              <w:rPr>
                <w:rFonts w:hint="eastAsia"/>
                <w:color w:val="auto"/>
                <w:szCs w:val="21"/>
                <w:highlight w:val="none"/>
              </w:rPr>
              <w:t>对项目勘察设计方案的完整性、合理性、针对性等进行横向对比打分：</w:t>
            </w:r>
            <w:r>
              <w:rPr>
                <w:color w:val="auto"/>
                <w:szCs w:val="21"/>
                <w:highlight w:val="none"/>
              </w:rPr>
              <w:t>好得</w:t>
            </w:r>
            <w:r>
              <w:rPr>
                <w:rFonts w:hint="eastAsia"/>
                <w:color w:val="auto"/>
                <w:szCs w:val="21"/>
                <w:highlight w:val="none"/>
              </w:rPr>
              <w:t>7-10</w:t>
            </w:r>
            <w:r>
              <w:rPr>
                <w:color w:val="auto"/>
                <w:szCs w:val="21"/>
                <w:highlight w:val="none"/>
              </w:rPr>
              <w:t>，较好得分</w:t>
            </w:r>
            <w:r>
              <w:rPr>
                <w:rFonts w:hint="eastAsia"/>
                <w:color w:val="auto"/>
                <w:szCs w:val="21"/>
                <w:highlight w:val="none"/>
              </w:rPr>
              <w:t>4-6</w:t>
            </w:r>
            <w:r>
              <w:rPr>
                <w:color w:val="auto"/>
                <w:szCs w:val="21"/>
                <w:highlight w:val="none"/>
              </w:rPr>
              <w:t>分，一般得分1-</w:t>
            </w:r>
            <w:r>
              <w:rPr>
                <w:rFonts w:hint="eastAsia"/>
                <w:color w:val="auto"/>
                <w:szCs w:val="21"/>
                <w:highlight w:val="none"/>
              </w:rPr>
              <w:t>3</w:t>
            </w:r>
            <w:r>
              <w:rPr>
                <w:color w:val="auto"/>
                <w:szCs w:val="21"/>
                <w:highlight w:val="none"/>
              </w:rPr>
              <w:t>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color w:val="auto"/>
                <w:szCs w:val="21"/>
                <w:highlight w:val="none"/>
              </w:rPr>
              <w:t>设计进度及质量控制</w:t>
            </w:r>
          </w:p>
        </w:tc>
        <w:tc>
          <w:tcPr>
            <w:tcW w:w="4349" w:type="dxa"/>
            <w:vAlign w:val="center"/>
          </w:tcPr>
          <w:p>
            <w:pPr>
              <w:spacing w:line="240" w:lineRule="auto"/>
              <w:ind w:firstLine="0" w:firstLineChars="0"/>
              <w:jc w:val="left"/>
              <w:rPr>
                <w:color w:val="auto"/>
                <w:szCs w:val="21"/>
                <w:highlight w:val="none"/>
              </w:rPr>
            </w:pPr>
            <w:r>
              <w:rPr>
                <w:color w:val="auto"/>
                <w:szCs w:val="21"/>
                <w:highlight w:val="none"/>
              </w:rPr>
              <w:t>对设计进度及质量控制方案进行横向对比：好得4-5分，较好得2-3分，一般得0-1分。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6700" w:type="dxa"/>
            <w:gridSpan w:val="2"/>
            <w:vAlign w:val="center"/>
          </w:tcPr>
          <w:p>
            <w:pPr>
              <w:spacing w:line="240" w:lineRule="auto"/>
              <w:ind w:firstLine="420"/>
              <w:jc w:val="left"/>
              <w:rPr>
                <w:color w:val="auto"/>
                <w:szCs w:val="21"/>
                <w:highlight w:val="none"/>
              </w:rPr>
            </w:pPr>
            <w:r>
              <w:rPr>
                <w:rFonts w:hint="eastAsia"/>
                <w:color w:val="auto"/>
                <w:szCs w:val="21"/>
                <w:highlight w:val="none"/>
              </w:rPr>
              <w:t>（２）设备、材料供货方案</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color w:val="auto"/>
                <w:szCs w:val="21"/>
                <w:highlight w:val="none"/>
              </w:rPr>
              <w:t>主要设备材料</w:t>
            </w:r>
          </w:p>
          <w:p>
            <w:pPr>
              <w:spacing w:line="240" w:lineRule="auto"/>
              <w:ind w:firstLine="0" w:firstLineChars="0"/>
              <w:jc w:val="center"/>
              <w:rPr>
                <w:color w:val="auto"/>
                <w:szCs w:val="21"/>
                <w:highlight w:val="none"/>
              </w:rPr>
            </w:pPr>
            <w:r>
              <w:rPr>
                <w:rFonts w:hint="eastAsia"/>
                <w:color w:val="auto"/>
                <w:szCs w:val="21"/>
                <w:highlight w:val="none"/>
              </w:rPr>
              <w:t>供货方案和质量保障</w:t>
            </w:r>
          </w:p>
        </w:tc>
        <w:tc>
          <w:tcPr>
            <w:tcW w:w="4349" w:type="dxa"/>
            <w:vAlign w:val="center"/>
          </w:tcPr>
          <w:p>
            <w:pPr>
              <w:spacing w:line="240" w:lineRule="auto"/>
              <w:ind w:firstLine="0" w:firstLineChars="0"/>
              <w:jc w:val="left"/>
              <w:rPr>
                <w:color w:val="auto"/>
                <w:szCs w:val="21"/>
                <w:highlight w:val="none"/>
              </w:rPr>
            </w:pPr>
            <w:r>
              <w:rPr>
                <w:color w:val="auto"/>
                <w:szCs w:val="21"/>
                <w:highlight w:val="none"/>
              </w:rPr>
              <w:t>（1）主要设备及材料供货方案能充分满足项目需求，方案全面、具体、有针对性、切实可行；设备先进且有完善的质量保证措施的得1</w:t>
            </w:r>
            <w:r>
              <w:rPr>
                <w:rFonts w:hint="eastAsia"/>
                <w:color w:val="auto"/>
                <w:szCs w:val="21"/>
                <w:highlight w:val="none"/>
              </w:rPr>
              <w:t>1-15</w:t>
            </w:r>
            <w:r>
              <w:rPr>
                <w:color w:val="auto"/>
                <w:szCs w:val="21"/>
                <w:highlight w:val="none"/>
              </w:rPr>
              <w:t>分</w:t>
            </w:r>
            <w:r>
              <w:rPr>
                <w:rFonts w:hint="eastAsia"/>
                <w:color w:val="auto"/>
                <w:szCs w:val="21"/>
                <w:highlight w:val="none"/>
              </w:rPr>
              <w:t>；</w:t>
            </w:r>
          </w:p>
          <w:p>
            <w:pPr>
              <w:spacing w:line="240" w:lineRule="auto"/>
              <w:ind w:firstLine="0" w:firstLineChars="0"/>
              <w:jc w:val="left"/>
              <w:rPr>
                <w:color w:val="auto"/>
                <w:szCs w:val="21"/>
                <w:highlight w:val="none"/>
              </w:rPr>
            </w:pPr>
            <w:r>
              <w:rPr>
                <w:color w:val="auto"/>
                <w:szCs w:val="21"/>
                <w:highlight w:val="none"/>
              </w:rPr>
              <w:t>（2）主要设备及材料供货方案能满足项目需求，供货方案基本合理、有一定针对性；设备有质量保证措施的得6-1</w:t>
            </w:r>
            <w:r>
              <w:rPr>
                <w:rFonts w:hint="eastAsia"/>
                <w:color w:val="auto"/>
                <w:szCs w:val="21"/>
                <w:highlight w:val="none"/>
              </w:rPr>
              <w:t>0</w:t>
            </w:r>
            <w:r>
              <w:rPr>
                <w:color w:val="auto"/>
                <w:szCs w:val="21"/>
                <w:highlight w:val="none"/>
              </w:rPr>
              <w:t>分</w:t>
            </w:r>
            <w:r>
              <w:rPr>
                <w:rFonts w:hint="eastAsia"/>
                <w:color w:val="auto"/>
                <w:szCs w:val="21"/>
                <w:highlight w:val="none"/>
              </w:rPr>
              <w:t>；</w:t>
            </w:r>
          </w:p>
          <w:p>
            <w:pPr>
              <w:spacing w:line="240" w:lineRule="auto"/>
              <w:ind w:firstLine="0" w:firstLineChars="0"/>
              <w:jc w:val="left"/>
              <w:rPr>
                <w:color w:val="auto"/>
                <w:szCs w:val="21"/>
                <w:highlight w:val="none"/>
              </w:rPr>
            </w:pPr>
            <w:r>
              <w:rPr>
                <w:color w:val="auto"/>
                <w:szCs w:val="21"/>
                <w:highlight w:val="none"/>
              </w:rPr>
              <w:t>（3）主要设备及材料供货方案基本满足项目需求，供货方案不具体或有疏漏；设备有质量保证措施的得1-5分</w:t>
            </w:r>
            <w:r>
              <w:rPr>
                <w:rFonts w:hint="eastAsia"/>
                <w:color w:val="auto"/>
                <w:szCs w:val="21"/>
                <w:highlight w:val="none"/>
              </w:rPr>
              <w:t>；</w:t>
            </w:r>
          </w:p>
          <w:p>
            <w:pPr>
              <w:spacing w:line="240" w:lineRule="auto"/>
              <w:ind w:firstLine="0" w:firstLineChars="0"/>
              <w:jc w:val="left"/>
              <w:rPr>
                <w:color w:val="auto"/>
                <w:szCs w:val="21"/>
                <w:highlight w:val="none"/>
              </w:rPr>
            </w:pPr>
            <w:r>
              <w:rPr>
                <w:color w:val="auto"/>
                <w:szCs w:val="21"/>
                <w:highlight w:val="none"/>
              </w:rPr>
              <w:t>（4）无主要设备供货方案</w:t>
            </w:r>
            <w:r>
              <w:rPr>
                <w:rFonts w:hint="eastAsia"/>
                <w:color w:val="auto"/>
                <w:szCs w:val="21"/>
                <w:highlight w:val="none"/>
              </w:rPr>
              <w:t>或无</w:t>
            </w:r>
            <w:r>
              <w:rPr>
                <w:color w:val="auto"/>
                <w:szCs w:val="21"/>
                <w:highlight w:val="none"/>
              </w:rPr>
              <w:t>质量保证措施的得0分。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rFonts w:ascii="宋体" w:hAnsi="宋体"/>
                <w:color w:val="auto"/>
                <w:szCs w:val="21"/>
                <w:highlight w:val="none"/>
              </w:rPr>
            </w:pPr>
            <w:r>
              <w:rPr>
                <w:rFonts w:hint="eastAsia" w:ascii="宋体" w:hAnsi="宋体"/>
                <w:color w:val="auto"/>
                <w:szCs w:val="21"/>
                <w:highlight w:val="none"/>
              </w:rPr>
              <w:t>设备、材料供货计划</w:t>
            </w:r>
          </w:p>
        </w:tc>
        <w:tc>
          <w:tcPr>
            <w:tcW w:w="4349" w:type="dxa"/>
            <w:vAlign w:val="center"/>
          </w:tcPr>
          <w:p>
            <w:pPr>
              <w:spacing w:before="94" w:beforeLines="30" w:line="240" w:lineRule="auto"/>
              <w:ind w:firstLine="0" w:firstLineChars="0"/>
              <w:rPr>
                <w:rFonts w:ascii="宋体" w:hAnsi="宋体"/>
                <w:color w:val="auto"/>
                <w:szCs w:val="21"/>
                <w:highlight w:val="none"/>
              </w:rPr>
            </w:pPr>
            <w:r>
              <w:rPr>
                <w:rFonts w:hint="eastAsia" w:ascii="宋体" w:hAnsi="宋体"/>
                <w:color w:val="auto"/>
                <w:szCs w:val="21"/>
                <w:highlight w:val="none"/>
              </w:rPr>
              <w:t>（1）设备、材料供货计划合理、科学、可行的得5</w:t>
            </w:r>
            <w:r>
              <w:rPr>
                <w:rFonts w:ascii="宋体" w:hAnsi="宋体"/>
                <w:color w:val="auto"/>
                <w:szCs w:val="21"/>
                <w:highlight w:val="none"/>
              </w:rPr>
              <w:t>分</w:t>
            </w:r>
            <w:r>
              <w:rPr>
                <w:rFonts w:hint="eastAsia" w:ascii="宋体" w:hAnsi="宋体"/>
                <w:color w:val="auto"/>
                <w:szCs w:val="21"/>
                <w:highlight w:val="none"/>
              </w:rPr>
              <w:t>；</w:t>
            </w:r>
          </w:p>
          <w:p>
            <w:pPr>
              <w:spacing w:line="240" w:lineRule="auto"/>
              <w:ind w:firstLine="0" w:firstLineChars="0"/>
              <w:rPr>
                <w:rFonts w:ascii="宋体" w:hAnsi="宋体"/>
                <w:color w:val="auto"/>
                <w:szCs w:val="21"/>
                <w:highlight w:val="none"/>
              </w:rPr>
            </w:pPr>
            <w:r>
              <w:rPr>
                <w:rFonts w:hint="eastAsia" w:ascii="宋体" w:hAnsi="宋体"/>
                <w:color w:val="auto"/>
                <w:szCs w:val="21"/>
                <w:highlight w:val="none"/>
              </w:rPr>
              <w:t>（2）设备、材料供货计划基本合理、科学、可行得3</w:t>
            </w:r>
            <w:r>
              <w:rPr>
                <w:rFonts w:ascii="宋体" w:hAnsi="宋体"/>
                <w:color w:val="auto"/>
                <w:szCs w:val="21"/>
                <w:highlight w:val="none"/>
              </w:rPr>
              <w:t>分</w:t>
            </w:r>
            <w:r>
              <w:rPr>
                <w:rFonts w:hint="eastAsia" w:ascii="宋体" w:hAnsi="宋体"/>
                <w:color w:val="auto"/>
                <w:szCs w:val="21"/>
                <w:highlight w:val="none"/>
              </w:rPr>
              <w:t>；</w:t>
            </w:r>
          </w:p>
          <w:p>
            <w:pPr>
              <w:spacing w:line="240" w:lineRule="auto"/>
              <w:ind w:firstLine="0" w:firstLineChars="0"/>
              <w:rPr>
                <w:color w:val="auto"/>
                <w:highlight w:val="none"/>
              </w:rPr>
            </w:pPr>
            <w:r>
              <w:rPr>
                <w:rFonts w:hint="eastAsia" w:ascii="宋体" w:hAnsi="宋体"/>
                <w:color w:val="auto"/>
                <w:szCs w:val="21"/>
                <w:highlight w:val="none"/>
              </w:rPr>
              <w:t>（3）设备、材料供货计划不合理、科学、可行的得0</w:t>
            </w:r>
            <w:r>
              <w:rPr>
                <w:rFonts w:ascii="宋体" w:hAnsi="宋体"/>
                <w:color w:val="auto"/>
                <w:szCs w:val="21"/>
                <w:highlight w:val="none"/>
              </w:rPr>
              <w:t>分</w:t>
            </w:r>
            <w:r>
              <w:rPr>
                <w:rFonts w:hint="eastAsia" w:ascii="宋体" w:hAnsi="宋体"/>
                <w:color w:val="auto"/>
                <w:szCs w:val="21"/>
                <w:highlight w:val="none"/>
              </w:rPr>
              <w:t>。</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6700" w:type="dxa"/>
            <w:gridSpan w:val="2"/>
            <w:vAlign w:val="center"/>
          </w:tcPr>
          <w:p>
            <w:pPr>
              <w:spacing w:line="240" w:lineRule="auto"/>
              <w:ind w:firstLine="420"/>
              <w:jc w:val="left"/>
              <w:rPr>
                <w:color w:val="auto"/>
                <w:szCs w:val="21"/>
                <w:highlight w:val="none"/>
              </w:rPr>
            </w:pPr>
            <w:r>
              <w:rPr>
                <w:rFonts w:hint="eastAsia"/>
                <w:color w:val="auto"/>
                <w:szCs w:val="21"/>
                <w:highlight w:val="none"/>
              </w:rPr>
              <w:t>（３）施工方案</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rFonts w:hint="eastAsia"/>
                <w:color w:val="auto"/>
                <w:szCs w:val="21"/>
                <w:highlight w:val="none"/>
              </w:rPr>
              <w:t>重点难点把控分析</w:t>
            </w:r>
          </w:p>
        </w:tc>
        <w:tc>
          <w:tcPr>
            <w:tcW w:w="4349" w:type="dxa"/>
            <w:vAlign w:val="center"/>
          </w:tcPr>
          <w:p>
            <w:pPr>
              <w:spacing w:line="240" w:lineRule="auto"/>
              <w:ind w:firstLine="0" w:firstLineChars="0"/>
              <w:jc w:val="left"/>
              <w:rPr>
                <w:color w:val="auto"/>
                <w:szCs w:val="21"/>
                <w:highlight w:val="none"/>
              </w:rPr>
            </w:pPr>
            <w:r>
              <w:rPr>
                <w:color w:val="auto"/>
                <w:szCs w:val="21"/>
                <w:highlight w:val="none"/>
              </w:rPr>
              <w:t>对项目重点、难点的分析</w:t>
            </w:r>
            <w:r>
              <w:rPr>
                <w:rFonts w:hint="eastAsia"/>
                <w:color w:val="auto"/>
                <w:szCs w:val="21"/>
                <w:highlight w:val="none"/>
              </w:rPr>
              <w:t>合理</w:t>
            </w:r>
            <w:r>
              <w:rPr>
                <w:color w:val="auto"/>
                <w:szCs w:val="21"/>
                <w:highlight w:val="none"/>
              </w:rPr>
              <w:t>，</w:t>
            </w:r>
            <w:r>
              <w:rPr>
                <w:rFonts w:hint="eastAsia"/>
                <w:color w:val="auto"/>
                <w:szCs w:val="21"/>
                <w:highlight w:val="none"/>
              </w:rPr>
              <w:t>且制定的方案措施有针对性，能有效指导建设施工，质量、工期控制合理，优秀的得7-10分，良好的得4-6分，一般的得1-3分。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szCs w:val="21"/>
                <w:highlight w:val="none"/>
              </w:rPr>
            </w:pPr>
            <w:r>
              <w:rPr>
                <w:rFonts w:hint="eastAsia"/>
                <w:color w:val="auto"/>
                <w:szCs w:val="21"/>
                <w:highlight w:val="none"/>
              </w:rPr>
              <w:t>施工方案与技术措施</w:t>
            </w:r>
          </w:p>
        </w:tc>
        <w:tc>
          <w:tcPr>
            <w:tcW w:w="4349" w:type="dxa"/>
            <w:vAlign w:val="center"/>
          </w:tcPr>
          <w:p>
            <w:pPr>
              <w:spacing w:line="240" w:lineRule="auto"/>
              <w:ind w:firstLine="0" w:firstLineChars="0"/>
              <w:jc w:val="left"/>
              <w:rPr>
                <w:color w:val="auto"/>
                <w:szCs w:val="21"/>
                <w:highlight w:val="none"/>
              </w:rPr>
            </w:pPr>
            <w:r>
              <w:rPr>
                <w:color w:val="auto"/>
                <w:szCs w:val="21"/>
                <w:highlight w:val="none"/>
              </w:rPr>
              <w:t>根据</w:t>
            </w:r>
            <w:r>
              <w:rPr>
                <w:rFonts w:hint="eastAsia"/>
                <w:color w:val="auto"/>
                <w:szCs w:val="21"/>
                <w:highlight w:val="none"/>
              </w:rPr>
              <w:t>有效投标人</w:t>
            </w:r>
            <w:r>
              <w:rPr>
                <w:color w:val="auto"/>
                <w:szCs w:val="21"/>
                <w:highlight w:val="none"/>
              </w:rPr>
              <w:t>施工方案，技术措施，施工工序，质量、安全文明、工期保证措施等内容的完整性、先进性、合理性、针对性进行分档次打分。</w:t>
            </w:r>
          </w:p>
          <w:p>
            <w:pPr>
              <w:spacing w:line="240" w:lineRule="auto"/>
              <w:ind w:firstLine="0" w:firstLineChars="0"/>
              <w:jc w:val="left"/>
              <w:rPr>
                <w:color w:val="auto"/>
                <w:szCs w:val="21"/>
                <w:highlight w:val="none"/>
              </w:rPr>
            </w:pPr>
            <w:r>
              <w:rPr>
                <w:color w:val="auto"/>
                <w:szCs w:val="21"/>
                <w:highlight w:val="none"/>
              </w:rPr>
              <w:t>（1）施工组织设计合理完整，施工技术方案先进、施工工序合理并有针对性；对质量、安全文明、工期有切实可行的保证措施，且措施合理有针对性，符合现场情况的得1</w:t>
            </w:r>
            <w:r>
              <w:rPr>
                <w:rFonts w:hint="eastAsia"/>
                <w:color w:val="auto"/>
                <w:szCs w:val="21"/>
                <w:highlight w:val="none"/>
              </w:rPr>
              <w:t>1-15</w:t>
            </w:r>
            <w:r>
              <w:rPr>
                <w:color w:val="auto"/>
                <w:szCs w:val="21"/>
                <w:highlight w:val="none"/>
              </w:rPr>
              <w:t>分；</w:t>
            </w:r>
          </w:p>
          <w:p>
            <w:pPr>
              <w:spacing w:line="240" w:lineRule="auto"/>
              <w:ind w:firstLine="0" w:firstLineChars="0"/>
              <w:jc w:val="left"/>
              <w:rPr>
                <w:color w:val="auto"/>
                <w:szCs w:val="21"/>
                <w:highlight w:val="none"/>
              </w:rPr>
            </w:pPr>
            <w:r>
              <w:rPr>
                <w:color w:val="auto"/>
                <w:szCs w:val="21"/>
                <w:highlight w:val="none"/>
              </w:rPr>
              <w:t>（2）施工组织设计完整，施工技术方案、施工工序基本合理；对质量、安全文明、工期有基本合理保证措施的得6-1</w:t>
            </w:r>
            <w:r>
              <w:rPr>
                <w:rFonts w:hint="eastAsia"/>
                <w:color w:val="auto"/>
                <w:szCs w:val="21"/>
                <w:highlight w:val="none"/>
              </w:rPr>
              <w:t>0</w:t>
            </w:r>
            <w:r>
              <w:rPr>
                <w:color w:val="auto"/>
                <w:szCs w:val="21"/>
                <w:highlight w:val="none"/>
              </w:rPr>
              <w:t>分；</w:t>
            </w:r>
          </w:p>
          <w:p>
            <w:pPr>
              <w:spacing w:line="240" w:lineRule="auto"/>
              <w:ind w:firstLine="0" w:firstLineChars="0"/>
              <w:jc w:val="left"/>
              <w:rPr>
                <w:color w:val="auto"/>
                <w:szCs w:val="21"/>
                <w:highlight w:val="none"/>
              </w:rPr>
            </w:pPr>
            <w:r>
              <w:rPr>
                <w:color w:val="auto"/>
                <w:szCs w:val="21"/>
                <w:highlight w:val="none"/>
              </w:rPr>
              <w:t>（3）施工组织设计完整性一般，施工技术方案、施工工序缺乏针对性；质量、安全文明、工期有保证措施但保证措施合理性一般、缺乏针对性的得1-5分；</w:t>
            </w:r>
          </w:p>
          <w:p>
            <w:pPr>
              <w:spacing w:line="240" w:lineRule="auto"/>
              <w:ind w:firstLine="0" w:firstLineChars="0"/>
              <w:jc w:val="left"/>
              <w:rPr>
                <w:color w:val="auto"/>
                <w:szCs w:val="21"/>
                <w:highlight w:val="none"/>
              </w:rPr>
            </w:pPr>
            <w:r>
              <w:rPr>
                <w:color w:val="auto"/>
                <w:szCs w:val="21"/>
                <w:highlight w:val="none"/>
              </w:rPr>
              <w:t>（4）未提供的不得分。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kern w:val="0"/>
                <w:szCs w:val="21"/>
                <w:highlight w:val="none"/>
              </w:rPr>
            </w:pPr>
            <w:r>
              <w:rPr>
                <w:rFonts w:hint="eastAsia" w:ascii="宋体" w:hAnsi="宋体"/>
                <w:color w:val="auto"/>
                <w:szCs w:val="21"/>
                <w:highlight w:val="none"/>
              </w:rPr>
              <w:t>质量、安全、环境保护管理体系与措施</w:t>
            </w:r>
          </w:p>
        </w:tc>
        <w:tc>
          <w:tcPr>
            <w:tcW w:w="4349" w:type="dxa"/>
            <w:vAlign w:val="center"/>
          </w:tcPr>
          <w:p>
            <w:pPr>
              <w:widowControl/>
              <w:spacing w:line="240" w:lineRule="auto"/>
              <w:ind w:firstLine="0" w:firstLineChars="0"/>
              <w:jc w:val="left"/>
              <w:rPr>
                <w:color w:val="auto"/>
                <w:szCs w:val="21"/>
                <w:highlight w:val="none"/>
              </w:rPr>
            </w:pPr>
            <w:r>
              <w:rPr>
                <w:color w:val="auto"/>
                <w:szCs w:val="21"/>
                <w:highlight w:val="none"/>
              </w:rPr>
              <w:t>（1）质量管理体系与措施（</w:t>
            </w:r>
            <w:r>
              <w:rPr>
                <w:rFonts w:hint="eastAsia"/>
                <w:color w:val="auto"/>
                <w:szCs w:val="21"/>
                <w:highlight w:val="none"/>
                <w:lang w:val="en-US" w:eastAsia="zh-CN"/>
              </w:rPr>
              <w:t>3</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质量保证体系，质量管理工作规划针对性强、有效性好，得</w:t>
            </w:r>
            <w:r>
              <w:rPr>
                <w:rFonts w:hint="eastAsia"/>
                <w:color w:val="auto"/>
                <w:szCs w:val="21"/>
                <w:highlight w:val="none"/>
                <w:lang w:val="en-US" w:eastAsia="zh-CN"/>
              </w:rPr>
              <w:t>3</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质量保证体系，质量管理工作规划针对性一般、有效性一般，得</w:t>
            </w:r>
            <w:r>
              <w:rPr>
                <w:rFonts w:hint="eastAsia"/>
                <w:color w:val="auto"/>
                <w:szCs w:val="21"/>
                <w:highlight w:val="none"/>
              </w:rPr>
              <w:t>1</w:t>
            </w:r>
            <w:r>
              <w:rPr>
                <w:rFonts w:hint="eastAsia"/>
                <w:color w:val="auto"/>
                <w:szCs w:val="21"/>
                <w:highlight w:val="none"/>
                <w:lang w:val="en-US" w:eastAsia="zh-CN"/>
              </w:rPr>
              <w:t>-2</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质量保证体系，质量管理工作规划针对性不强、有效性差，得</w:t>
            </w:r>
            <w:r>
              <w:rPr>
                <w:rFonts w:hint="eastAsia"/>
                <w:color w:val="auto"/>
                <w:szCs w:val="21"/>
                <w:highlight w:val="none"/>
              </w:rPr>
              <w:t>0</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（2）安全管理体系与措施（</w:t>
            </w:r>
            <w:r>
              <w:rPr>
                <w:rFonts w:hint="eastAsia"/>
                <w:color w:val="auto"/>
                <w:szCs w:val="21"/>
                <w:highlight w:val="none"/>
                <w:lang w:val="en-US" w:eastAsia="zh-CN"/>
              </w:rPr>
              <w:t>4</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安全保证体系规划，施工安全保证措施有效性好，得</w:t>
            </w:r>
            <w:r>
              <w:rPr>
                <w:rFonts w:hint="eastAsia"/>
                <w:color w:val="auto"/>
                <w:szCs w:val="21"/>
                <w:highlight w:val="none"/>
                <w:lang w:val="en-US" w:eastAsia="zh-CN"/>
              </w:rPr>
              <w:t>3-4</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安全保证体系规划，施工安全保证措施有效性一般，得1</w:t>
            </w:r>
            <w:r>
              <w:rPr>
                <w:rFonts w:hint="eastAsia"/>
                <w:color w:val="auto"/>
                <w:szCs w:val="21"/>
                <w:highlight w:val="none"/>
                <w:lang w:val="en-US" w:eastAsia="zh-CN"/>
              </w:rPr>
              <w:t>-2</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安全保证体系规划，施工安全保证措施有效性差，得0分。</w:t>
            </w:r>
          </w:p>
          <w:p>
            <w:pPr>
              <w:widowControl/>
              <w:spacing w:line="240" w:lineRule="auto"/>
              <w:ind w:firstLine="0" w:firstLineChars="0"/>
              <w:jc w:val="left"/>
              <w:rPr>
                <w:color w:val="auto"/>
                <w:szCs w:val="21"/>
                <w:highlight w:val="none"/>
              </w:rPr>
            </w:pPr>
            <w:r>
              <w:rPr>
                <w:color w:val="auto"/>
                <w:szCs w:val="21"/>
                <w:highlight w:val="none"/>
              </w:rPr>
              <w:t>（3）环境保护管理体系与措施（</w:t>
            </w:r>
            <w:r>
              <w:rPr>
                <w:rFonts w:hint="eastAsia"/>
                <w:color w:val="auto"/>
                <w:szCs w:val="21"/>
                <w:highlight w:val="none"/>
                <w:lang w:val="en-US" w:eastAsia="zh-CN"/>
              </w:rPr>
              <w:t>3</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文明施工保证措施、环境保护措施有效性好，得</w:t>
            </w:r>
            <w:r>
              <w:rPr>
                <w:rFonts w:hint="eastAsia"/>
                <w:color w:val="auto"/>
                <w:szCs w:val="21"/>
                <w:highlight w:val="none"/>
                <w:lang w:val="en-US" w:eastAsia="zh-CN"/>
              </w:rPr>
              <w:t>3</w:t>
            </w:r>
            <w:r>
              <w:rPr>
                <w:color w:val="auto"/>
                <w:szCs w:val="21"/>
                <w:highlight w:val="none"/>
              </w:rPr>
              <w:t>分；</w:t>
            </w:r>
          </w:p>
          <w:p>
            <w:pPr>
              <w:widowControl/>
              <w:spacing w:line="240" w:lineRule="auto"/>
              <w:ind w:firstLine="0" w:firstLineChars="0"/>
              <w:jc w:val="left"/>
              <w:rPr>
                <w:color w:val="auto"/>
                <w:szCs w:val="21"/>
                <w:highlight w:val="none"/>
              </w:rPr>
            </w:pPr>
            <w:r>
              <w:rPr>
                <w:color w:val="auto"/>
                <w:szCs w:val="21"/>
                <w:highlight w:val="none"/>
              </w:rPr>
              <w:t>文明施工保证措施、环境保护措施有效性一般，得</w:t>
            </w:r>
            <w:r>
              <w:rPr>
                <w:rFonts w:hint="eastAsia"/>
                <w:color w:val="auto"/>
                <w:szCs w:val="21"/>
                <w:highlight w:val="none"/>
                <w:lang w:val="en-US" w:eastAsia="zh-CN"/>
              </w:rPr>
              <w:t>1-2</w:t>
            </w:r>
            <w:r>
              <w:rPr>
                <w:color w:val="auto"/>
                <w:szCs w:val="21"/>
                <w:highlight w:val="none"/>
              </w:rPr>
              <w:t>分；</w:t>
            </w:r>
          </w:p>
          <w:p>
            <w:pPr>
              <w:spacing w:line="240" w:lineRule="auto"/>
              <w:ind w:firstLine="0" w:firstLineChars="0"/>
              <w:jc w:val="left"/>
              <w:rPr>
                <w:color w:val="auto"/>
                <w:szCs w:val="21"/>
                <w:highlight w:val="none"/>
              </w:rPr>
            </w:pPr>
            <w:r>
              <w:rPr>
                <w:color w:val="auto"/>
                <w:szCs w:val="21"/>
                <w:highlight w:val="none"/>
              </w:rPr>
              <w:t>文明施工保证措施、环境保护措施有效性差，得0分。</w:t>
            </w:r>
          </w:p>
        </w:tc>
        <w:tc>
          <w:tcPr>
            <w:tcW w:w="784" w:type="dxa"/>
            <w:vAlign w:val="center"/>
          </w:tcPr>
          <w:p>
            <w:pPr>
              <w:spacing w:line="240" w:lineRule="auto"/>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Merge w:val="continue"/>
            <w:vAlign w:val="center"/>
          </w:tcPr>
          <w:p>
            <w:pPr>
              <w:spacing w:line="240" w:lineRule="auto"/>
              <w:ind w:firstLine="0" w:firstLineChars="0"/>
              <w:jc w:val="center"/>
              <w:rPr>
                <w:color w:val="auto"/>
                <w:szCs w:val="21"/>
                <w:highlight w:val="none"/>
              </w:rPr>
            </w:pPr>
          </w:p>
        </w:tc>
        <w:tc>
          <w:tcPr>
            <w:tcW w:w="840" w:type="dxa"/>
            <w:vMerge w:val="continue"/>
            <w:vAlign w:val="center"/>
          </w:tcPr>
          <w:p>
            <w:pPr>
              <w:spacing w:line="240" w:lineRule="auto"/>
              <w:ind w:firstLine="0" w:firstLineChars="0"/>
              <w:jc w:val="center"/>
              <w:rPr>
                <w:color w:val="auto"/>
                <w:szCs w:val="21"/>
                <w:highlight w:val="none"/>
              </w:rPr>
            </w:pPr>
          </w:p>
        </w:tc>
        <w:tc>
          <w:tcPr>
            <w:tcW w:w="2351" w:type="dxa"/>
            <w:vAlign w:val="center"/>
          </w:tcPr>
          <w:p>
            <w:pPr>
              <w:spacing w:line="240" w:lineRule="auto"/>
              <w:ind w:firstLine="0" w:firstLineChars="0"/>
              <w:jc w:val="center"/>
              <w:rPr>
                <w:color w:val="auto"/>
                <w:kern w:val="0"/>
                <w:szCs w:val="21"/>
                <w:highlight w:val="none"/>
              </w:rPr>
            </w:pPr>
            <w:r>
              <w:rPr>
                <w:rFonts w:hint="eastAsia"/>
                <w:color w:val="auto"/>
                <w:kern w:val="0"/>
                <w:szCs w:val="21"/>
                <w:highlight w:val="none"/>
              </w:rPr>
              <w:t>项目管理</w:t>
            </w:r>
            <w:r>
              <w:rPr>
                <w:color w:val="auto"/>
                <w:kern w:val="0"/>
                <w:szCs w:val="21"/>
                <w:highlight w:val="none"/>
              </w:rPr>
              <w:t>机构</w:t>
            </w:r>
            <w:r>
              <w:rPr>
                <w:rFonts w:hint="eastAsia"/>
                <w:color w:val="auto"/>
                <w:kern w:val="0"/>
                <w:szCs w:val="21"/>
                <w:highlight w:val="none"/>
              </w:rPr>
              <w:t>配备</w:t>
            </w:r>
          </w:p>
        </w:tc>
        <w:tc>
          <w:tcPr>
            <w:tcW w:w="4349" w:type="dxa"/>
            <w:vAlign w:val="center"/>
          </w:tcPr>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（1）设计人员配置（</w:t>
            </w:r>
            <w:r>
              <w:rPr>
                <w:rFonts w:hint="eastAsia" w:ascii="宋体" w:hAnsi="宋体"/>
                <w:color w:val="auto"/>
                <w:szCs w:val="21"/>
                <w:highlight w:val="none"/>
                <w:lang w:val="en-US" w:eastAsia="zh-CN"/>
              </w:rPr>
              <w:t>5</w:t>
            </w:r>
            <w:r>
              <w:rPr>
                <w:rFonts w:hint="eastAsia" w:ascii="宋体" w:hAnsi="宋体"/>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①投入的人员配置安排科学合理，针对性强，专业配置合理齐全，充分满足本项目设计需求的得</w:t>
            </w:r>
            <w:r>
              <w:rPr>
                <w:rFonts w:hint="eastAsia" w:ascii="宋体" w:hAnsi="宋体"/>
                <w:color w:val="auto"/>
                <w:szCs w:val="21"/>
                <w:highlight w:val="none"/>
                <w:lang w:val="en-US" w:eastAsia="zh-CN"/>
              </w:rPr>
              <w:t>4-5</w:t>
            </w:r>
            <w:r>
              <w:rPr>
                <w:rFonts w:hint="eastAsia" w:ascii="宋体" w:hAnsi="宋体"/>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②投标人拟投入的人员配置基本满足要求的得</w:t>
            </w:r>
            <w:r>
              <w:rPr>
                <w:rFonts w:hint="eastAsia" w:ascii="宋体" w:hAnsi="宋体"/>
                <w:color w:val="auto"/>
                <w:szCs w:val="21"/>
                <w:highlight w:val="none"/>
                <w:lang w:val="en-US" w:eastAsia="zh-CN"/>
              </w:rPr>
              <w:t>1-3</w:t>
            </w:r>
            <w:r>
              <w:rPr>
                <w:rFonts w:hint="eastAsia" w:ascii="宋体" w:hAnsi="宋体"/>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③无人员配置的得0分。</w:t>
            </w:r>
          </w:p>
          <w:p>
            <w:pPr>
              <w:snapToGrid/>
              <w:spacing w:line="240" w:lineRule="auto"/>
              <w:ind w:firstLine="0" w:firstLineChars="0"/>
              <w:jc w:val="left"/>
              <w:rPr>
                <w:rFonts w:ascii="宋体" w:hAnsi="宋体"/>
                <w:color w:val="auto"/>
                <w:szCs w:val="21"/>
                <w:highlight w:val="none"/>
              </w:rPr>
            </w:pPr>
            <w:r>
              <w:rPr>
                <w:rFonts w:hint="eastAsia" w:ascii="宋体" w:hAnsi="宋体"/>
                <w:bCs/>
                <w:color w:val="auto"/>
                <w:szCs w:val="21"/>
                <w:highlight w:val="none"/>
              </w:rPr>
              <w:t>（2）施工人员配置（</w:t>
            </w:r>
            <w:r>
              <w:rPr>
                <w:rFonts w:hint="eastAsia" w:ascii="宋体" w:hAnsi="宋体"/>
                <w:bCs/>
                <w:color w:val="auto"/>
                <w:szCs w:val="21"/>
                <w:highlight w:val="none"/>
                <w:lang w:val="en-US" w:eastAsia="zh-CN"/>
              </w:rPr>
              <w:t>5</w:t>
            </w:r>
            <w:r>
              <w:rPr>
                <w:rFonts w:hint="eastAsia" w:ascii="宋体" w:hAnsi="宋体"/>
                <w:bCs/>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④投入的人员配置安排科学合理，针对性强，专业配置合理齐全，充分满足本项目施工需求的得</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⑤投标人拟投入的人员配置基本满足要求的得1</w:t>
            </w:r>
            <w:r>
              <w:rPr>
                <w:rFonts w:hint="eastAsia" w:ascii="宋体" w:hAnsi="宋体"/>
                <w:color w:val="auto"/>
                <w:szCs w:val="21"/>
                <w:highlight w:val="none"/>
                <w:lang w:val="en-US" w:eastAsia="zh-CN"/>
              </w:rPr>
              <w:t>-3</w:t>
            </w:r>
            <w:r>
              <w:rPr>
                <w:rFonts w:hint="eastAsia" w:ascii="宋体" w:hAnsi="宋体"/>
                <w:color w:val="auto"/>
                <w:szCs w:val="21"/>
                <w:highlight w:val="none"/>
              </w:rPr>
              <w:t>分；</w:t>
            </w:r>
          </w:p>
          <w:p>
            <w:pPr>
              <w:snapToGrid/>
              <w:spacing w:line="240" w:lineRule="auto"/>
              <w:ind w:firstLine="0" w:firstLineChars="0"/>
              <w:jc w:val="left"/>
              <w:rPr>
                <w:rFonts w:ascii="宋体" w:hAnsi="宋体"/>
                <w:color w:val="auto"/>
                <w:szCs w:val="21"/>
                <w:highlight w:val="none"/>
              </w:rPr>
            </w:pPr>
            <w:r>
              <w:rPr>
                <w:rFonts w:hint="eastAsia" w:ascii="宋体" w:hAnsi="宋体"/>
                <w:color w:val="auto"/>
                <w:szCs w:val="21"/>
                <w:highlight w:val="none"/>
              </w:rPr>
              <w:t>⑥无人员配置的得0分。</w:t>
            </w:r>
          </w:p>
        </w:tc>
        <w:tc>
          <w:tcPr>
            <w:tcW w:w="784" w:type="dxa"/>
            <w:vAlign w:val="center"/>
          </w:tcPr>
          <w:p>
            <w:pPr>
              <w:spacing w:line="240" w:lineRule="auto"/>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24" w:type="dxa"/>
            <w:vAlign w:val="center"/>
          </w:tcPr>
          <w:p>
            <w:pPr>
              <w:spacing w:line="240" w:lineRule="auto"/>
              <w:ind w:firstLine="0" w:firstLineChars="0"/>
              <w:jc w:val="center"/>
              <w:rPr>
                <w:rFonts w:hint="eastAsia" w:eastAsia="宋体"/>
                <w:color w:val="auto"/>
                <w:szCs w:val="21"/>
                <w:highlight w:val="none"/>
                <w:lang w:eastAsia="zh-CN"/>
              </w:rPr>
            </w:pPr>
            <w:r>
              <w:rPr>
                <w:rFonts w:hint="eastAsia"/>
                <w:color w:val="auto"/>
                <w:szCs w:val="21"/>
                <w:highlight w:val="none"/>
                <w:lang w:val="en-US" w:eastAsia="zh-CN"/>
              </w:rPr>
              <w:t>C</w:t>
            </w:r>
          </w:p>
        </w:tc>
        <w:tc>
          <w:tcPr>
            <w:tcW w:w="840" w:type="dxa"/>
            <w:vAlign w:val="center"/>
          </w:tcPr>
          <w:p>
            <w:pPr>
              <w:spacing w:line="240" w:lineRule="auto"/>
              <w:ind w:firstLine="0" w:firstLineChars="0"/>
              <w:jc w:val="center"/>
              <w:rPr>
                <w:color w:val="auto"/>
                <w:szCs w:val="21"/>
                <w:highlight w:val="none"/>
              </w:rPr>
            </w:pPr>
            <w:r>
              <w:rPr>
                <w:color w:val="auto"/>
                <w:szCs w:val="21"/>
                <w:highlight w:val="none"/>
              </w:rPr>
              <w:t>投标报价评分标准</w:t>
            </w:r>
          </w:p>
        </w:tc>
        <w:tc>
          <w:tcPr>
            <w:tcW w:w="2351" w:type="dxa"/>
            <w:vAlign w:val="center"/>
          </w:tcPr>
          <w:p>
            <w:pPr>
              <w:pStyle w:val="66"/>
              <w:jc w:val="both"/>
              <w:rPr>
                <w:color w:val="auto"/>
                <w:highlight w:val="none"/>
              </w:rPr>
            </w:pPr>
            <w:r>
              <w:rPr>
                <w:color w:val="auto"/>
                <w:kern w:val="0"/>
                <w:szCs w:val="21"/>
                <w:highlight w:val="none"/>
              </w:rPr>
              <w:t>价格得分</w:t>
            </w:r>
          </w:p>
        </w:tc>
        <w:tc>
          <w:tcPr>
            <w:tcW w:w="4349" w:type="dxa"/>
            <w:vAlign w:val="center"/>
          </w:tcPr>
          <w:p>
            <w:pPr>
              <w:widowControl/>
              <w:snapToGrid/>
              <w:spacing w:line="240" w:lineRule="auto"/>
              <w:ind w:firstLine="0" w:firstLineChars="0"/>
              <w:jc w:val="left"/>
              <w:rPr>
                <w:color w:val="auto"/>
                <w:kern w:val="0"/>
                <w:szCs w:val="21"/>
                <w:highlight w:val="none"/>
              </w:rPr>
            </w:pPr>
            <w:r>
              <w:rPr>
                <w:color w:val="auto"/>
                <w:kern w:val="0"/>
                <w:szCs w:val="21"/>
                <w:highlight w:val="none"/>
              </w:rPr>
              <w:t>报价分计算办法：</w:t>
            </w:r>
          </w:p>
          <w:p>
            <w:pPr>
              <w:widowControl/>
              <w:snapToGrid/>
              <w:spacing w:line="240" w:lineRule="auto"/>
              <w:ind w:firstLine="0" w:firstLineChars="0"/>
              <w:jc w:val="left"/>
              <w:rPr>
                <w:color w:val="auto"/>
                <w:kern w:val="0"/>
                <w:szCs w:val="21"/>
                <w:highlight w:val="none"/>
              </w:rPr>
            </w:pPr>
            <w:r>
              <w:rPr>
                <w:color w:val="auto"/>
                <w:kern w:val="0"/>
                <w:szCs w:val="21"/>
                <w:highlight w:val="none"/>
              </w:rPr>
              <w:t>当投标报价等于评标基准价时得报价基本分90分；低于评标基准价10%（含10%）以内，每低于评标基准价1%加1分，最多得满分100分；低于评标基准价10%以外的，从满分100分起扣，每超1%（超出10%部分）扣1分，扣完为止；高于评标基准价，从基本分90分起扣，每高于评标基准价1%扣</w:t>
            </w:r>
            <w:r>
              <w:rPr>
                <w:rFonts w:hint="eastAsia"/>
                <w:color w:val="auto"/>
                <w:kern w:val="0"/>
                <w:szCs w:val="21"/>
                <w:highlight w:val="none"/>
                <w:lang w:val="en-US" w:eastAsia="zh-CN"/>
              </w:rPr>
              <w:t>1</w:t>
            </w:r>
            <w:r>
              <w:rPr>
                <w:color w:val="auto"/>
                <w:kern w:val="0"/>
                <w:szCs w:val="21"/>
                <w:highlight w:val="none"/>
              </w:rPr>
              <w:t>分，扣完为止。按内插法计算。</w:t>
            </w:r>
          </w:p>
          <w:p>
            <w:pPr>
              <w:widowControl/>
              <w:snapToGrid/>
              <w:spacing w:line="240" w:lineRule="auto"/>
              <w:ind w:firstLine="0" w:firstLineChars="0"/>
              <w:jc w:val="left"/>
              <w:rPr>
                <w:color w:val="auto"/>
                <w:kern w:val="0"/>
                <w:szCs w:val="21"/>
                <w:highlight w:val="none"/>
              </w:rPr>
            </w:pPr>
            <w:r>
              <w:rPr>
                <w:color w:val="auto"/>
                <w:kern w:val="0"/>
                <w:szCs w:val="21"/>
                <w:highlight w:val="none"/>
              </w:rPr>
              <w:t>报价评分计算示例如下：</w:t>
            </w:r>
          </w:p>
          <w:p>
            <w:pPr>
              <w:widowControl/>
              <w:snapToGrid/>
              <w:spacing w:line="240" w:lineRule="auto"/>
              <w:ind w:firstLine="0" w:firstLineChars="0"/>
              <w:jc w:val="left"/>
              <w:rPr>
                <w:color w:val="auto"/>
                <w:kern w:val="0"/>
                <w:szCs w:val="21"/>
                <w:highlight w:val="none"/>
              </w:rPr>
            </w:pPr>
            <w:r>
              <w:rPr>
                <w:color w:val="auto"/>
                <w:kern w:val="0"/>
                <w:szCs w:val="21"/>
                <w:highlight w:val="none"/>
              </w:rPr>
              <w:t>①投标报价低于评标基准价</w:t>
            </w:r>
            <w:r>
              <w:rPr>
                <w:rFonts w:hint="eastAsia"/>
                <w:color w:val="auto"/>
                <w:kern w:val="0"/>
                <w:szCs w:val="21"/>
                <w:highlight w:val="none"/>
              </w:rPr>
              <w:t>的</w:t>
            </w:r>
            <w:r>
              <w:rPr>
                <w:color w:val="auto"/>
                <w:kern w:val="0"/>
                <w:szCs w:val="21"/>
                <w:highlight w:val="none"/>
              </w:rPr>
              <w:t>5%，报价得分=90+5%×100=95分；</w:t>
            </w:r>
          </w:p>
          <w:p>
            <w:pPr>
              <w:widowControl/>
              <w:snapToGrid/>
              <w:spacing w:line="240" w:lineRule="auto"/>
              <w:ind w:firstLine="0" w:firstLineChars="0"/>
              <w:jc w:val="left"/>
              <w:rPr>
                <w:color w:val="auto"/>
                <w:kern w:val="0"/>
                <w:szCs w:val="21"/>
                <w:highlight w:val="none"/>
              </w:rPr>
            </w:pPr>
            <w:r>
              <w:rPr>
                <w:color w:val="auto"/>
                <w:kern w:val="0"/>
                <w:szCs w:val="21"/>
                <w:highlight w:val="none"/>
              </w:rPr>
              <w:t>②投标报价低于评标基准价</w:t>
            </w:r>
            <w:r>
              <w:rPr>
                <w:rFonts w:hint="eastAsia"/>
                <w:color w:val="auto"/>
                <w:kern w:val="0"/>
                <w:szCs w:val="21"/>
                <w:highlight w:val="none"/>
              </w:rPr>
              <w:t>的</w:t>
            </w:r>
            <w:r>
              <w:rPr>
                <w:color w:val="auto"/>
                <w:kern w:val="0"/>
                <w:szCs w:val="21"/>
                <w:highlight w:val="none"/>
              </w:rPr>
              <w:t>20%，报价得分=100-（20%-10%）×100=90分；</w:t>
            </w:r>
          </w:p>
          <w:p>
            <w:pPr>
              <w:spacing w:line="240" w:lineRule="auto"/>
              <w:ind w:firstLine="0" w:firstLineChars="0"/>
              <w:jc w:val="left"/>
              <w:rPr>
                <w:color w:val="auto"/>
                <w:kern w:val="0"/>
                <w:szCs w:val="21"/>
                <w:highlight w:val="none"/>
              </w:rPr>
            </w:pPr>
            <w:r>
              <w:rPr>
                <w:color w:val="auto"/>
                <w:kern w:val="0"/>
                <w:szCs w:val="21"/>
                <w:highlight w:val="none"/>
              </w:rPr>
              <w:t>③投标报价高于评标基准价</w:t>
            </w:r>
            <w:r>
              <w:rPr>
                <w:rFonts w:hint="eastAsia"/>
                <w:color w:val="auto"/>
                <w:kern w:val="0"/>
                <w:szCs w:val="21"/>
                <w:highlight w:val="none"/>
              </w:rPr>
              <w:t>的</w:t>
            </w:r>
            <w:r>
              <w:rPr>
                <w:color w:val="auto"/>
                <w:kern w:val="0"/>
                <w:szCs w:val="21"/>
                <w:highlight w:val="none"/>
              </w:rPr>
              <w:t>5%，报价得分=90-5%×100×1=8</w:t>
            </w:r>
            <w:r>
              <w:rPr>
                <w:rFonts w:hint="eastAsia"/>
                <w:color w:val="auto"/>
                <w:kern w:val="0"/>
                <w:szCs w:val="21"/>
                <w:highlight w:val="none"/>
                <w:lang w:val="en-US" w:eastAsia="zh-CN"/>
              </w:rPr>
              <w:t>5</w:t>
            </w:r>
            <w:r>
              <w:rPr>
                <w:color w:val="auto"/>
                <w:kern w:val="0"/>
                <w:szCs w:val="21"/>
                <w:highlight w:val="none"/>
              </w:rPr>
              <w:t>分。</w:t>
            </w:r>
          </w:p>
        </w:tc>
        <w:tc>
          <w:tcPr>
            <w:tcW w:w="784" w:type="dxa"/>
            <w:vAlign w:val="center"/>
          </w:tcPr>
          <w:p>
            <w:pPr>
              <w:spacing w:line="240" w:lineRule="auto"/>
              <w:ind w:firstLine="0" w:firstLineChars="0"/>
              <w:jc w:val="center"/>
              <w:rPr>
                <w:color w:val="auto"/>
                <w:szCs w:val="21"/>
                <w:highlight w:val="none"/>
              </w:rPr>
            </w:pPr>
            <w:r>
              <w:rPr>
                <w:rFonts w:hint="eastAsia"/>
                <w:color w:val="auto"/>
                <w:szCs w:val="21"/>
                <w:highlight w:val="none"/>
              </w:rPr>
              <w:t>100</w:t>
            </w:r>
          </w:p>
        </w:tc>
      </w:tr>
    </w:tbl>
    <w:p>
      <w:pPr>
        <w:adjustRightInd w:val="0"/>
        <w:spacing w:line="360" w:lineRule="auto"/>
        <w:rPr>
          <w:rFonts w:hint="eastAsia" w:asciiTheme="minorEastAsia" w:hAnsiTheme="minorEastAsia" w:eastAsiaTheme="minorEastAsia"/>
          <w:color w:val="auto"/>
          <w:szCs w:val="21"/>
          <w:highlight w:val="none"/>
        </w:rPr>
      </w:pP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3.2.8评分</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谈判小组成员必须按规定的评议内容、用统一的评分表进行打分，该表的制定基础为《评分标准》之相关规定，评委打分时执行评分表各项分值的设定原则。计算得分时，各评委打分的算术平均分即为谈判申请人的得分（计算结果四舍五入后保留至小数点后两位）；</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要求：</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（1）谈判小组评审时要根据评分因素简述各谈判申请人差异并独立打分；</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（2）评审为记名方式，如填写错误需修改，应另换新表或由评委在修改处小签；</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（3）评分、投票及计分工作均应在监督人员的监督下进行，计分应准确，并经监督人员签字后计分结果才有效。</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3.2.9谈判小组成员要依法独立审查，并对审查意见承担个人责任。谈判小组成员对需要共同认定的事项存在争议的，按照少数服从多数的原则做出结论。</w:t>
      </w:r>
    </w:p>
    <w:p>
      <w:pPr>
        <w:adjustRightInd w:val="0"/>
        <w:spacing w:line="360" w:lineRule="auto"/>
        <w:ind w:firstLine="411" w:firstLineChars="196"/>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3.2.10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keepNext/>
        <w:keepLines/>
        <w:tabs>
          <w:tab w:val="left" w:pos="900"/>
        </w:tabs>
        <w:spacing w:after="120" w:line="360" w:lineRule="auto"/>
        <w:jc w:val="left"/>
        <w:outlineLvl w:val="2"/>
        <w:rPr>
          <w:rFonts w:asciiTheme="minorEastAsia" w:hAnsiTheme="minorEastAsia" w:eastAsiaTheme="minorEastAsia"/>
          <w:b/>
          <w:bCs/>
          <w:color w:val="auto"/>
          <w:sz w:val="24"/>
          <w:highlight w:val="none"/>
        </w:rPr>
      </w:pPr>
      <w:bookmarkStart w:id="776" w:name="_Toc519163274"/>
      <w:bookmarkStart w:id="777" w:name="_Toc3"/>
      <w:bookmarkStart w:id="778" w:name="_Toc378499757"/>
      <w:bookmarkStart w:id="779" w:name="_Toc329810242"/>
      <w:bookmarkStart w:id="780" w:name="_Toc385344503"/>
      <w:bookmarkStart w:id="781" w:name="_Toc490599311"/>
      <w:bookmarkStart w:id="782" w:name="_Toc139987979"/>
      <w:bookmarkStart w:id="783" w:name="_Toc107864063"/>
      <w:bookmarkStart w:id="784" w:name="_Toc347849276"/>
      <w:bookmarkStart w:id="785" w:name="_Toc130564951"/>
      <w:r>
        <w:rPr>
          <w:rFonts w:asciiTheme="minorEastAsia" w:hAnsiTheme="minorEastAsia" w:eastAsiaTheme="minorEastAsia"/>
          <w:b/>
          <w:bCs/>
          <w:color w:val="auto"/>
          <w:sz w:val="24"/>
          <w:highlight w:val="none"/>
        </w:rPr>
        <w:t xml:space="preserve">3.3 </w:t>
      </w:r>
      <w:r>
        <w:rPr>
          <w:rFonts w:hint="eastAsia" w:asciiTheme="minorEastAsia" w:hAnsiTheme="minorEastAsia" w:eastAsiaTheme="minorEastAsia"/>
          <w:b/>
          <w:bCs/>
          <w:color w:val="auto"/>
          <w:sz w:val="24"/>
          <w:highlight w:val="none"/>
        </w:rPr>
        <w:t>谈判</w:t>
      </w:r>
      <w:r>
        <w:rPr>
          <w:rFonts w:asciiTheme="minorEastAsia" w:hAnsiTheme="minorEastAsia" w:eastAsiaTheme="minorEastAsia"/>
          <w:b/>
          <w:bCs/>
          <w:color w:val="auto"/>
          <w:sz w:val="24"/>
          <w:highlight w:val="none"/>
        </w:rPr>
        <w:t>结果</w:t>
      </w:r>
      <w:bookmarkEnd w:id="776"/>
      <w:bookmarkEnd w:id="777"/>
      <w:bookmarkEnd w:id="778"/>
      <w:bookmarkEnd w:id="779"/>
      <w:bookmarkEnd w:id="780"/>
      <w:bookmarkEnd w:id="781"/>
      <w:bookmarkEnd w:id="782"/>
      <w:bookmarkEnd w:id="783"/>
      <w:bookmarkEnd w:id="784"/>
      <w:bookmarkEnd w:id="785"/>
    </w:p>
    <w:bookmarkEnd w:id="774"/>
    <w:bookmarkEnd w:id="775"/>
    <w:p>
      <w:pPr>
        <w:adjustRightInd w:val="0"/>
        <w:spacing w:line="360" w:lineRule="auto"/>
        <w:ind w:firstLine="472" w:firstLineChars="22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谈判小组按综合评估打分的情况由高到低顺序推荐</w:t>
      </w:r>
      <w:r>
        <w:rPr>
          <w:rFonts w:asciiTheme="minorEastAsia" w:hAnsiTheme="minorEastAsia" w:eastAsiaTheme="minorEastAsia"/>
          <w:color w:val="auto"/>
          <w:highlight w:val="none"/>
        </w:rPr>
        <w:t>3名以上成交候选人</w:t>
      </w:r>
      <w:r>
        <w:rPr>
          <w:rFonts w:hint="eastAsia" w:asciiTheme="minorEastAsia" w:hAnsiTheme="minorEastAsia" w:eastAsiaTheme="minorEastAsia"/>
          <w:color w:val="auto"/>
          <w:highlight w:val="none"/>
        </w:rPr>
        <w:t>，并向招标人提交书面评审报告。</w:t>
      </w:r>
    </w:p>
    <w:p>
      <w:pPr>
        <w:rPr>
          <w:rFonts w:asciiTheme="minorEastAsia" w:hAnsiTheme="minorEastAsia" w:eastAsiaTheme="minorEastAsia"/>
          <w:color w:val="auto"/>
          <w:highlight w:val="none"/>
        </w:rPr>
      </w:pPr>
    </w:p>
    <w:sectPr>
      <w:pgSz w:w="11906" w:h="16838"/>
      <w:pgMar w:top="1440" w:right="1800" w:bottom="1440" w:left="1800" w:header="510" w:footer="680"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B70FF6-1DED-44B8-BBD4-C0CDF0C031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59D0654-C3D2-4D60-B7CF-0ED1CA092B4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PMingLiU">
    <w:altName w:val="PMingLiU-ExtB"/>
    <w:panose1 w:val="02020500000000000000"/>
    <w:charset w:val="88"/>
    <w:family w:val="auto"/>
    <w:pitch w:val="default"/>
    <w:sig w:usb0="00000000" w:usb1="00000000" w:usb2="00000016" w:usb3="00000000" w:csb0="00100001" w:csb1="00000000"/>
  </w:font>
  <w:font w:name="新宋体">
    <w:panose1 w:val="02010609030101010101"/>
    <w:charset w:val="86"/>
    <w:family w:val="modern"/>
    <w:pitch w:val="default"/>
    <w:sig w:usb0="00000203" w:usb1="288F0000" w:usb2="00000006" w:usb3="00000000" w:csb0="00040001" w:csb1="00000000"/>
  </w:font>
  <w:font w:name="CG Times">
    <w:altName w:val="Times New Roman"/>
    <w:panose1 w:val="02020603050405020304"/>
    <w:charset w:val="00"/>
    <w:family w:val="roman"/>
    <w:pitch w:val="default"/>
    <w:sig w:usb0="00000000" w:usb1="00000000" w:usb2="00000000" w:usb3="00000000" w:csb0="00000093" w:csb1="00000000"/>
  </w:font>
  <w:font w:name="Times">
    <w:altName w:val="Times New Roman"/>
    <w:panose1 w:val="02020603050405020304"/>
    <w:charset w:val="00"/>
    <w:family w:val="roman"/>
    <w:pitch w:val="default"/>
    <w:sig w:usb0="00000000" w:usb1="00000000"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Arial Bold">
    <w:altName w:val="Arial"/>
    <w:panose1 w:val="020B0704020202020204"/>
    <w:charset w:val="00"/>
    <w:family w:val="roman"/>
    <w:pitch w:val="default"/>
    <w:sig w:usb0="00000000" w:usb1="00000000" w:usb2="00000000" w:usb3="00000000" w:csb0="00040001" w:csb1="00000000"/>
  </w:font>
  <w:font w:name="MS Mincho">
    <w:altName w:val="Yu Gothic UI"/>
    <w:panose1 w:val="02020609040205080304"/>
    <w:charset w:val="80"/>
    <w:family w:val="roman"/>
    <w:pitch w:val="default"/>
    <w:sig w:usb0="00000000" w:usb1="00000000" w:usb2="00000012" w:usb3="00000000" w:csb0="4002009F" w:csb1="DFD70000"/>
  </w:font>
  <w:font w:name="Monotype Corsiva">
    <w:panose1 w:val="03010101010201010101"/>
    <w:charset w:val="00"/>
    <w:family w:val="script"/>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embedRegular r:id="rId3" w:fontKey="{215B77A4-F9FC-4A5F-B43B-06B4E399BE3B}"/>
  </w:font>
  <w:font w:name="方正仿宋_GBK">
    <w:panose1 w:val="03000509000000000000"/>
    <w:charset w:val="86"/>
    <w:family w:val="auto"/>
    <w:pitch w:val="default"/>
    <w:sig w:usb0="00000001" w:usb1="080E0000" w:usb2="00000000" w:usb3="00000000" w:csb0="00040000" w:csb1="00000000"/>
    <w:embedRegular r:id="rId4" w:fontKey="{529E8665-2832-4385-B0AD-BF4166C863CA}"/>
  </w:font>
  <w:font w:name="仿宋">
    <w:panose1 w:val="02010609060101010101"/>
    <w:charset w:val="86"/>
    <w:family w:val="modern"/>
    <w:pitch w:val="default"/>
    <w:sig w:usb0="800002BF" w:usb1="38CF7CFA" w:usb2="00000016" w:usb3="00000000" w:csb0="00040001" w:csb1="00000000"/>
    <w:embedRegular r:id="rId5" w:fontKey="{4CFCF374-77E3-43E9-B34F-B9FF0B00FFF3}"/>
  </w:font>
  <w:font w:name="方正小标宋简体">
    <w:panose1 w:val="03000509000000000000"/>
    <w:charset w:val="86"/>
    <w:family w:val="auto"/>
    <w:pitch w:val="default"/>
    <w:sig w:usb0="00000001" w:usb1="080E0000" w:usb2="00000000" w:usb3="00000000" w:csb0="00040000" w:csb1="00000000"/>
    <w:embedRegular r:id="rId6" w:fontKey="{66EFD738-ECF8-4EFD-A642-03E974EF2136}"/>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rPr>
      <w:id w:val="579881071"/>
    </w:sdtPr>
    <w:sdtEndPr>
      <w:rPr>
        <w:rFonts w:ascii="宋体" w:hAnsi="宋体"/>
      </w:rPr>
    </w:sdtEndPr>
    <w:sdtContent>
      <w:p>
        <w:pPr>
          <w:pStyle w:val="45"/>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sdtContent>
  </w:sdt>
  <w:p>
    <w:pPr>
      <w:pStyle w:val="45"/>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62268"/>
    </w:sdtPr>
    <w:sdtContent>
      <w:p>
        <w:pPr>
          <w:pStyle w:val="4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framePr w:wrap="around" w:vAnchor="text" w:hAnchor="margin" w:xAlign="center" w:y="1"/>
      <w:rPr>
        <w:rStyle w:val="71"/>
      </w:rPr>
    </w:pPr>
    <w:r>
      <w:fldChar w:fldCharType="begin"/>
    </w:r>
    <w:r>
      <w:rPr>
        <w:rStyle w:val="71"/>
      </w:rPr>
      <w:instrText xml:space="preserve"> PAGE </w:instrText>
    </w:r>
    <w:r>
      <w:fldChar w:fldCharType="separate"/>
    </w:r>
    <w:r>
      <w:rPr>
        <w:rStyle w:val="71"/>
      </w:rPr>
      <w:t>6</w:t>
    </w:r>
    <w:r>
      <w:fldChar w:fldCharType="end"/>
    </w:r>
  </w:p>
  <w:p>
    <w:pPr>
      <w:pStyle w:val="4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976"/>
    </w:sdtPr>
    <w:sdtContent>
      <w:p>
        <w:pPr>
          <w:pStyle w:val="45"/>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4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tabs>
        <w:tab w:val="left" w:pos="3300"/>
        <w:tab w:val="center" w:pos="4433"/>
      </w:tabs>
      <w:spacing w:before="120" w:after="120"/>
      <w:ind w:firstLine="420"/>
      <w:rPr>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5"/>
                            <w:ind w:firstLine="360"/>
                          </w:pPr>
                          <w:r>
                            <w:rPr>
                              <w:rFonts w:hint="eastAsia"/>
                            </w:rPr>
                            <w:fldChar w:fldCharType="begin"/>
                          </w:r>
                          <w:r>
                            <w:rPr>
                              <w:rFonts w:hint="eastAsia"/>
                            </w:rPr>
                            <w:instrText xml:space="preserve"> PAGE  \* MERGEFORMAT </w:instrText>
                          </w:r>
                          <w:r>
                            <w:rPr>
                              <w:rFonts w:hint="eastAsia"/>
                            </w:rPr>
                            <w:fldChar w:fldCharType="separate"/>
                          </w:r>
                          <w:r>
                            <w:t>228</w:t>
                          </w:r>
                          <w:r>
                            <w:rPr>
                              <w:rFonts w:hint="eastAsia"/>
                            </w:rPr>
                            <w:fldChar w:fldCharType="end"/>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EIbIk7cBAABVAwAADgAAAAAAAAABACAAAAAfAQAAZHJzL2Uyb0RvYy54bWxQSwUGAAAAAAYABgBZ&#10;AQAASAUAAAAA&#10;">
              <v:fill on="f" focussize="0,0"/>
              <v:stroke on="f" weight="0.5pt"/>
              <v:imagedata o:title=""/>
              <o:lock v:ext="edit" aspectratio="f"/>
              <v:textbox inset="0mm,0mm,0mm,0mm" style="mso-fit-shape-to-text:t;">
                <w:txbxContent>
                  <w:p>
                    <w:pPr>
                      <w:pStyle w:val="45"/>
                      <w:ind w:firstLine="360"/>
                    </w:pPr>
                    <w:r>
                      <w:rPr>
                        <w:rFonts w:hint="eastAsia"/>
                      </w:rPr>
                      <w:fldChar w:fldCharType="begin"/>
                    </w:r>
                    <w:r>
                      <w:rPr>
                        <w:rFonts w:hint="eastAsia"/>
                      </w:rPr>
                      <w:instrText xml:space="preserve"> PAGE  \* MERGEFORMAT </w:instrText>
                    </w:r>
                    <w:r>
                      <w:rPr>
                        <w:rFonts w:hint="eastAsia"/>
                      </w:rPr>
                      <w:fldChar w:fldCharType="separate"/>
                    </w:r>
                    <w:r>
                      <w:t>228</w:t>
                    </w:r>
                    <w:r>
                      <w:rPr>
                        <w:rFonts w:hint="eastAsia"/>
                      </w:rPr>
                      <w:fldChar w:fldCharType="end"/>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5"/>
                            <w:tabs>
                              <w:tab w:val="left" w:pos="3300"/>
                              <w:tab w:val="center" w:pos="4433"/>
                            </w:tabs>
                            <w:spacing w:before="120" w:after="120"/>
                            <w:ind w:firstLine="360"/>
                          </w:pPr>
                        </w:p>
                        <w:p>
                          <w:pPr>
                            <w:ind w:firstLine="420"/>
                          </w:pP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AuBNVrcBAABUAwAADgAAAAAAAAABACAAAAAfAQAAZHJzL2Uyb0RvYy54bWxQSwUGAAAAAAYABgBZ&#10;AQAASAUAAAAA&#10;">
              <v:fill on="f" focussize="0,0"/>
              <v:stroke on="f" weight="0.5pt"/>
              <v:imagedata o:title=""/>
              <o:lock v:ext="edit" aspectratio="f"/>
              <v:textbox inset="0mm,0mm,0mm,0mm" style="mso-fit-shape-to-text:t;">
                <w:txbxContent>
                  <w:p>
                    <w:pPr>
                      <w:pStyle w:val="45"/>
                      <w:tabs>
                        <w:tab w:val="left" w:pos="3300"/>
                        <w:tab w:val="center" w:pos="4433"/>
                      </w:tabs>
                      <w:spacing w:before="120" w:after="120"/>
                      <w:ind w:firstLine="360"/>
                    </w:pPr>
                  </w:p>
                  <w:p>
                    <w:pPr>
                      <w:ind w:firstLine="42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right="360"/>
      <w:rPr>
        <w:sz w:val="21"/>
      </w:rP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8890</wp:posOffset>
              </wp:positionV>
              <wp:extent cx="114935" cy="131445"/>
              <wp:effectExtent l="0" t="0" r="18415" b="1905"/>
              <wp:wrapSquare wrapText="bothSides"/>
              <wp:docPr id="12" name="文本框 1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5"/>
                            <w:jc w:val="center"/>
                            <w:rPr>
                              <w:rStyle w:val="71"/>
                            </w:rPr>
                          </w:pPr>
                          <w:r>
                            <w:fldChar w:fldCharType="begin"/>
                          </w:r>
                          <w:r>
                            <w:rPr>
                              <w:rStyle w:val="71"/>
                            </w:rPr>
                            <w:instrText xml:space="preserve">PAGE  </w:instrText>
                          </w:r>
                          <w:r>
                            <w:fldChar w:fldCharType="separate"/>
                          </w:r>
                          <w:r>
                            <w:rPr>
                              <w:rStyle w:val="71"/>
                            </w:rPr>
                            <w:t>26</w:t>
                          </w:r>
                          <w: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7pt;height:10.35pt;width:9.05pt;mso-position-horizontal:center;mso-position-horizont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pCOCNEA&#10;AAAEAQAADwAAAAAAAAABACAAAAAiAAAAZHJzL2Rvd25yZXYueG1sUEsBAhQAFAAAAAgAh07iQAMf&#10;eaW0AQAASwMAAA4AAAAAAAAAAQAgAAAAIAEAAGRycy9lMm9Eb2MueG1sUEsFBgAAAAAGAAYAWQEA&#10;AEYFAAAAAA==&#10;">
              <v:fill on="f" focussize="0,0"/>
              <v:stroke on="f"/>
              <v:imagedata o:title=""/>
              <o:lock v:ext="edit" aspectratio="f"/>
              <v:textbox inset="0mm,0mm,0mm,0mm" style="mso-fit-shape-to-text:t;">
                <w:txbxContent>
                  <w:p>
                    <w:pPr>
                      <w:pStyle w:val="45"/>
                      <w:jc w:val="center"/>
                      <w:rPr>
                        <w:rStyle w:val="71"/>
                      </w:rPr>
                    </w:pPr>
                    <w:r>
                      <w:fldChar w:fldCharType="begin"/>
                    </w:r>
                    <w:r>
                      <w:rPr>
                        <w:rStyle w:val="71"/>
                      </w:rPr>
                      <w:instrText xml:space="preserve">PAGE  </w:instrText>
                    </w:r>
                    <w:r>
                      <w:fldChar w:fldCharType="separate"/>
                    </w:r>
                    <w:r>
                      <w:rPr>
                        <w:rStyle w:val="71"/>
                      </w:rPr>
                      <w:t>26</w:t>
                    </w:r>
                    <w:r>
                      <w:fldChar w:fldCharType="end"/>
                    </w:r>
                  </w:p>
                </w:txbxContent>
              </v:textbox>
              <w10:wrap type="squar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pPr>
    <w:r>
      <w:fldChar w:fldCharType="begin"/>
    </w:r>
    <w:r>
      <w:instrText xml:space="preserve"> PAGE   \* MERGEFORMAT </w:instrText>
    </w:r>
    <w:r>
      <w:fldChar w:fldCharType="separate"/>
    </w:r>
    <w:r>
      <w:rPr>
        <w:lang w:val="zh-CN"/>
      </w:rPr>
      <w:t>22</w:t>
    </w:r>
    <w:r>
      <w:rPr>
        <w:lang w:val="zh-CN"/>
      </w:rPr>
      <w:fldChar w:fldCharType="end"/>
    </w:r>
  </w:p>
  <w:p>
    <w:pPr>
      <w:pStyle w:val="4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b/>
      </w:rPr>
    </w:pPr>
    <w:r>
      <w:rPr>
        <w:b/>
      </w:rPr>
      <w:fldChar w:fldCharType="begin"/>
    </w:r>
    <w:r>
      <w:rPr>
        <w:b/>
      </w:rPr>
      <w:instrText xml:space="preserve"> PAGE   \* MERGEFORMAT </w:instrText>
    </w:r>
    <w:r>
      <w:rPr>
        <w:b/>
      </w:rPr>
      <w:fldChar w:fldCharType="separate"/>
    </w:r>
    <w:r>
      <w:rPr>
        <w:b/>
        <w:lang w:val="zh-CN"/>
      </w:rPr>
      <w:t>48</w:t>
    </w:r>
    <w:r>
      <w:rPr>
        <w:b/>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jc w:val="center"/>
      <w:rPr>
        <w:rFonts w:hint="eastAsia" w:ascii="微软雅黑" w:hAnsi="微软雅黑" w:eastAsia="微软雅黑" w:cs="微软雅黑"/>
      </w:rPr>
    </w:pPr>
  </w:p>
  <w:p>
    <w:pPr>
      <w:pStyle w:val="46"/>
      <w:jc w:val="center"/>
    </w:pPr>
    <w:r>
      <w:rPr>
        <w:rFonts w:hint="eastAsia" w:ascii="微软雅黑" w:hAnsi="微软雅黑" w:eastAsia="微软雅黑" w:cs="微软雅黑"/>
      </w:rPr>
      <w:t>背阴山尾矿库分布式光伏发电项目</w:t>
    </w:r>
    <w:r>
      <w:rPr>
        <w:rFonts w:hint="eastAsia" w:ascii="微软雅黑" w:hAnsi="微软雅黑" w:eastAsia="微软雅黑" w:cs="微软雅黑"/>
        <w:lang w:eastAsia="zh-CN"/>
      </w:rPr>
      <w:t>送出线路设计施工总承包工程</w:t>
    </w:r>
    <w:r>
      <w:rPr>
        <w:rFonts w:hint="eastAsia" w:ascii="微软雅黑" w:hAnsi="微软雅黑" w:eastAsia="微软雅黑" w:cs="微软雅黑"/>
      </w:rPr>
      <w:t>竞谈文件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jc w:val="center"/>
      <w:rPr>
        <w:rFonts w:hint="eastAsia" w:ascii="微软雅黑" w:hAnsi="微软雅黑" w:eastAsia="微软雅黑" w:cs="微软雅黑"/>
      </w:rPr>
    </w:pPr>
  </w:p>
  <w:p>
    <w:pPr>
      <w:pStyle w:val="46"/>
      <w:jc w:val="center"/>
    </w:pPr>
    <w:r>
      <w:rPr>
        <w:rFonts w:hint="eastAsia" w:ascii="微软雅黑" w:hAnsi="微软雅黑" w:eastAsia="微软雅黑" w:cs="微软雅黑"/>
      </w:rPr>
      <w:t>背阴山尾矿库分布式光伏发电项目</w:t>
    </w:r>
    <w:r>
      <w:rPr>
        <w:rFonts w:hint="eastAsia" w:ascii="微软雅黑" w:hAnsi="微软雅黑" w:eastAsia="微软雅黑" w:cs="微软雅黑"/>
        <w:lang w:eastAsia="zh-CN"/>
      </w:rPr>
      <w:t>送出线路设计施工总承包工程</w:t>
    </w:r>
    <w:r>
      <w:rPr>
        <w:rFonts w:hint="eastAsia" w:ascii="微软雅黑" w:hAnsi="微软雅黑" w:eastAsia="微软雅黑" w:cs="微软雅黑"/>
      </w:rPr>
      <w:t>竞谈文件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0"/>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17421C"/>
    <w:multiLevelType w:val="singleLevel"/>
    <w:tmpl w:val="C617421C"/>
    <w:lvl w:ilvl="0" w:tentative="0">
      <w:start w:val="2"/>
      <w:numFmt w:val="chineseCounting"/>
      <w:suff w:val="nothing"/>
      <w:lvlText w:val="（%1）"/>
      <w:lvlJc w:val="left"/>
      <w:rPr>
        <w:rFonts w:hint="eastAsia"/>
      </w:rPr>
    </w:lvl>
  </w:abstractNum>
  <w:abstractNum w:abstractNumId="1">
    <w:nsid w:val="D90F77FD"/>
    <w:multiLevelType w:val="singleLevel"/>
    <w:tmpl w:val="D90F77FD"/>
    <w:lvl w:ilvl="0" w:tentative="0">
      <w:start w:val="1"/>
      <w:numFmt w:val="chineseCounting"/>
      <w:suff w:val="nothing"/>
      <w:lvlText w:val="（%1）"/>
      <w:lvlJc w:val="left"/>
      <w:pPr>
        <w:ind w:left="0" w:firstLine="420"/>
      </w:pPr>
      <w:rPr>
        <w:rFonts w:hint="eastAsia"/>
      </w:rPr>
    </w:lvl>
  </w:abstractNum>
  <w:abstractNum w:abstractNumId="2">
    <w:nsid w:val="F3905DB2"/>
    <w:multiLevelType w:val="singleLevel"/>
    <w:tmpl w:val="F3905DB2"/>
    <w:lvl w:ilvl="0" w:tentative="0">
      <w:start w:val="1"/>
      <w:numFmt w:val="chineseCounting"/>
      <w:suff w:val="nothing"/>
      <w:lvlText w:val="（%1）"/>
      <w:lvlJc w:val="left"/>
      <w:pPr>
        <w:ind w:left="0" w:firstLine="420"/>
      </w:pPr>
      <w:rPr>
        <w:rFonts w:hint="eastAsia"/>
      </w:rPr>
    </w:lvl>
  </w:abstractNum>
  <w:abstractNum w:abstractNumId="3">
    <w:nsid w:val="FFFFFF83"/>
    <w:multiLevelType w:val="singleLevel"/>
    <w:tmpl w:val="FFFFFF83"/>
    <w:lvl w:ilvl="0" w:tentative="0">
      <w:start w:val="1"/>
      <w:numFmt w:val="bullet"/>
      <w:pStyle w:val="33"/>
      <w:lvlText w:val=""/>
      <w:lvlJc w:val="left"/>
      <w:pPr>
        <w:tabs>
          <w:tab w:val="left" w:pos="780"/>
        </w:tabs>
        <w:ind w:left="780" w:leftChars="200" w:hanging="360" w:hangingChars="200"/>
      </w:pPr>
      <w:rPr>
        <w:rFonts w:hint="default" w:ascii="Wingdings" w:hAnsi="Wingdings"/>
      </w:rPr>
    </w:lvl>
  </w:abstractNum>
  <w:abstractNum w:abstractNumId="4">
    <w:nsid w:val="1C8000E7"/>
    <w:multiLevelType w:val="multilevel"/>
    <w:tmpl w:val="1C8000E7"/>
    <w:lvl w:ilvl="0" w:tentative="0">
      <w:start w:val="1"/>
      <w:numFmt w:val="decimal"/>
      <w:pStyle w:val="189"/>
      <w:lvlText w:val="附件%1"/>
      <w:lvlJc w:val="left"/>
      <w:pPr>
        <w:tabs>
          <w:tab w:val="left" w:pos="420"/>
        </w:tabs>
        <w:ind w:left="567" w:hanging="567"/>
      </w:pPr>
      <w:rPr>
        <w:rFonts w:hint="default" w:ascii="Times New Roman" w:hAnsi="Times New Roman" w:eastAsia="宋体" w:cs="Times New Roman"/>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9D5A5C3"/>
    <w:multiLevelType w:val="singleLevel"/>
    <w:tmpl w:val="49D5A5C3"/>
    <w:lvl w:ilvl="0" w:tentative="0">
      <w:start w:val="1"/>
      <w:numFmt w:val="chineseCounting"/>
      <w:suff w:val="nothing"/>
      <w:lvlText w:val="（%1）"/>
      <w:lvlJc w:val="left"/>
      <w:pPr>
        <w:ind w:left="0" w:firstLine="420"/>
      </w:pPr>
      <w:rPr>
        <w:rFonts w:hint="eastAsia"/>
      </w:rPr>
    </w:lvl>
  </w:abstractNum>
  <w:abstractNum w:abstractNumId="6">
    <w:nsid w:val="4CAE715B"/>
    <w:multiLevelType w:val="multilevel"/>
    <w:tmpl w:val="4CAE71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wYmIxODljMDY3MmI5OWFlMDI0NDM2MWNiZTI5ZjIifQ=="/>
  </w:docVars>
  <w:rsids>
    <w:rsidRoot w:val="008A1178"/>
    <w:rsid w:val="00000F4E"/>
    <w:rsid w:val="00002142"/>
    <w:rsid w:val="00003257"/>
    <w:rsid w:val="000032F7"/>
    <w:rsid w:val="000059EF"/>
    <w:rsid w:val="00005B5E"/>
    <w:rsid w:val="00005CE5"/>
    <w:rsid w:val="0000710C"/>
    <w:rsid w:val="0000751F"/>
    <w:rsid w:val="00010FDD"/>
    <w:rsid w:val="0001267D"/>
    <w:rsid w:val="00012D54"/>
    <w:rsid w:val="000133B0"/>
    <w:rsid w:val="00013632"/>
    <w:rsid w:val="00015439"/>
    <w:rsid w:val="00016141"/>
    <w:rsid w:val="00017005"/>
    <w:rsid w:val="00020C00"/>
    <w:rsid w:val="00020CFA"/>
    <w:rsid w:val="00021832"/>
    <w:rsid w:val="000221F9"/>
    <w:rsid w:val="00023BB1"/>
    <w:rsid w:val="00030C87"/>
    <w:rsid w:val="0003202A"/>
    <w:rsid w:val="000321DC"/>
    <w:rsid w:val="000367FD"/>
    <w:rsid w:val="00036B8A"/>
    <w:rsid w:val="000371E7"/>
    <w:rsid w:val="0003746F"/>
    <w:rsid w:val="0004083E"/>
    <w:rsid w:val="00042B89"/>
    <w:rsid w:val="00042D22"/>
    <w:rsid w:val="0004386C"/>
    <w:rsid w:val="00043FE8"/>
    <w:rsid w:val="00044B90"/>
    <w:rsid w:val="00046617"/>
    <w:rsid w:val="00046D02"/>
    <w:rsid w:val="000471DB"/>
    <w:rsid w:val="00047278"/>
    <w:rsid w:val="000473DB"/>
    <w:rsid w:val="00050117"/>
    <w:rsid w:val="000501BA"/>
    <w:rsid w:val="00051218"/>
    <w:rsid w:val="00051816"/>
    <w:rsid w:val="00051B78"/>
    <w:rsid w:val="00052C98"/>
    <w:rsid w:val="00053212"/>
    <w:rsid w:val="0005423B"/>
    <w:rsid w:val="000556DF"/>
    <w:rsid w:val="00056ADB"/>
    <w:rsid w:val="0005760A"/>
    <w:rsid w:val="00060EDD"/>
    <w:rsid w:val="0006192D"/>
    <w:rsid w:val="00061B20"/>
    <w:rsid w:val="000628C7"/>
    <w:rsid w:val="00062FDC"/>
    <w:rsid w:val="00063A73"/>
    <w:rsid w:val="000666F5"/>
    <w:rsid w:val="00066976"/>
    <w:rsid w:val="000679AC"/>
    <w:rsid w:val="00073AE9"/>
    <w:rsid w:val="00074281"/>
    <w:rsid w:val="00074334"/>
    <w:rsid w:val="00074596"/>
    <w:rsid w:val="00075C59"/>
    <w:rsid w:val="000761A5"/>
    <w:rsid w:val="00076B95"/>
    <w:rsid w:val="0007705F"/>
    <w:rsid w:val="000809A5"/>
    <w:rsid w:val="000834F8"/>
    <w:rsid w:val="00083AC5"/>
    <w:rsid w:val="00084F40"/>
    <w:rsid w:val="000855F9"/>
    <w:rsid w:val="00085C11"/>
    <w:rsid w:val="000864F9"/>
    <w:rsid w:val="00086D3F"/>
    <w:rsid w:val="000935D6"/>
    <w:rsid w:val="000957E1"/>
    <w:rsid w:val="000967E3"/>
    <w:rsid w:val="000969DE"/>
    <w:rsid w:val="00096DC6"/>
    <w:rsid w:val="00096EFB"/>
    <w:rsid w:val="00097694"/>
    <w:rsid w:val="000A09EA"/>
    <w:rsid w:val="000A2F27"/>
    <w:rsid w:val="000A5A01"/>
    <w:rsid w:val="000B156D"/>
    <w:rsid w:val="000B1CB6"/>
    <w:rsid w:val="000B5ABE"/>
    <w:rsid w:val="000B6921"/>
    <w:rsid w:val="000B71FD"/>
    <w:rsid w:val="000B7985"/>
    <w:rsid w:val="000C026F"/>
    <w:rsid w:val="000C03A6"/>
    <w:rsid w:val="000C05A2"/>
    <w:rsid w:val="000C15A4"/>
    <w:rsid w:val="000C371C"/>
    <w:rsid w:val="000C3C89"/>
    <w:rsid w:val="000C3DF9"/>
    <w:rsid w:val="000C47F2"/>
    <w:rsid w:val="000C4EF5"/>
    <w:rsid w:val="000C649B"/>
    <w:rsid w:val="000C64CF"/>
    <w:rsid w:val="000C6BAD"/>
    <w:rsid w:val="000C7F5A"/>
    <w:rsid w:val="000D4818"/>
    <w:rsid w:val="000D6465"/>
    <w:rsid w:val="000D7C57"/>
    <w:rsid w:val="000E1B6E"/>
    <w:rsid w:val="000E3393"/>
    <w:rsid w:val="000E3FC3"/>
    <w:rsid w:val="000E5973"/>
    <w:rsid w:val="000E5AD7"/>
    <w:rsid w:val="000E6585"/>
    <w:rsid w:val="000E75FA"/>
    <w:rsid w:val="000F0A9A"/>
    <w:rsid w:val="000F27BD"/>
    <w:rsid w:val="000F282E"/>
    <w:rsid w:val="000F2A5E"/>
    <w:rsid w:val="000F3871"/>
    <w:rsid w:val="000F399A"/>
    <w:rsid w:val="000F3EC0"/>
    <w:rsid w:val="000F482A"/>
    <w:rsid w:val="000F4E19"/>
    <w:rsid w:val="000F57AF"/>
    <w:rsid w:val="000F6B77"/>
    <w:rsid w:val="0010027A"/>
    <w:rsid w:val="0010182F"/>
    <w:rsid w:val="00104703"/>
    <w:rsid w:val="0010530B"/>
    <w:rsid w:val="001079EC"/>
    <w:rsid w:val="00107C7F"/>
    <w:rsid w:val="00107EEF"/>
    <w:rsid w:val="00110E7D"/>
    <w:rsid w:val="00111456"/>
    <w:rsid w:val="00114313"/>
    <w:rsid w:val="00114462"/>
    <w:rsid w:val="001145F5"/>
    <w:rsid w:val="00115346"/>
    <w:rsid w:val="00115897"/>
    <w:rsid w:val="001162CF"/>
    <w:rsid w:val="001165C6"/>
    <w:rsid w:val="001214E1"/>
    <w:rsid w:val="0012155E"/>
    <w:rsid w:val="00122FF8"/>
    <w:rsid w:val="0012431A"/>
    <w:rsid w:val="001246F6"/>
    <w:rsid w:val="001246FB"/>
    <w:rsid w:val="001256C8"/>
    <w:rsid w:val="00126C23"/>
    <w:rsid w:val="001270DE"/>
    <w:rsid w:val="00127BF1"/>
    <w:rsid w:val="00130F4A"/>
    <w:rsid w:val="00131388"/>
    <w:rsid w:val="00131D03"/>
    <w:rsid w:val="00134EEF"/>
    <w:rsid w:val="0014037B"/>
    <w:rsid w:val="00140B32"/>
    <w:rsid w:val="00141D96"/>
    <w:rsid w:val="00142415"/>
    <w:rsid w:val="0014446F"/>
    <w:rsid w:val="001446BC"/>
    <w:rsid w:val="00144A40"/>
    <w:rsid w:val="001464EC"/>
    <w:rsid w:val="00147568"/>
    <w:rsid w:val="0014776E"/>
    <w:rsid w:val="00147994"/>
    <w:rsid w:val="001511C1"/>
    <w:rsid w:val="00156AF9"/>
    <w:rsid w:val="00156CF9"/>
    <w:rsid w:val="0015756F"/>
    <w:rsid w:val="00157586"/>
    <w:rsid w:val="0015784D"/>
    <w:rsid w:val="00157A54"/>
    <w:rsid w:val="00157CEC"/>
    <w:rsid w:val="00160B08"/>
    <w:rsid w:val="001618F3"/>
    <w:rsid w:val="00164EA1"/>
    <w:rsid w:val="001664A9"/>
    <w:rsid w:val="001671F3"/>
    <w:rsid w:val="0016762B"/>
    <w:rsid w:val="001708D8"/>
    <w:rsid w:val="00171286"/>
    <w:rsid w:val="001716F3"/>
    <w:rsid w:val="00173EBC"/>
    <w:rsid w:val="001742D8"/>
    <w:rsid w:val="001749D2"/>
    <w:rsid w:val="00175195"/>
    <w:rsid w:val="00176245"/>
    <w:rsid w:val="00176E32"/>
    <w:rsid w:val="00180DEA"/>
    <w:rsid w:val="001810F3"/>
    <w:rsid w:val="00183985"/>
    <w:rsid w:val="00183AEE"/>
    <w:rsid w:val="00184659"/>
    <w:rsid w:val="001848FE"/>
    <w:rsid w:val="00185898"/>
    <w:rsid w:val="00186D91"/>
    <w:rsid w:val="00187119"/>
    <w:rsid w:val="00187449"/>
    <w:rsid w:val="00187EDB"/>
    <w:rsid w:val="0019194F"/>
    <w:rsid w:val="00192B22"/>
    <w:rsid w:val="00193459"/>
    <w:rsid w:val="0019457F"/>
    <w:rsid w:val="00194A9C"/>
    <w:rsid w:val="00194B97"/>
    <w:rsid w:val="00194DF0"/>
    <w:rsid w:val="00194FCA"/>
    <w:rsid w:val="00195226"/>
    <w:rsid w:val="00195896"/>
    <w:rsid w:val="001966BA"/>
    <w:rsid w:val="00196B17"/>
    <w:rsid w:val="00197141"/>
    <w:rsid w:val="001977E0"/>
    <w:rsid w:val="001978F1"/>
    <w:rsid w:val="00197BC5"/>
    <w:rsid w:val="001A00A0"/>
    <w:rsid w:val="001A1566"/>
    <w:rsid w:val="001A2F81"/>
    <w:rsid w:val="001A3DA7"/>
    <w:rsid w:val="001A555A"/>
    <w:rsid w:val="001A5B0D"/>
    <w:rsid w:val="001A5E46"/>
    <w:rsid w:val="001A69BD"/>
    <w:rsid w:val="001A6F3C"/>
    <w:rsid w:val="001A79BC"/>
    <w:rsid w:val="001A7D6F"/>
    <w:rsid w:val="001B024F"/>
    <w:rsid w:val="001B06B4"/>
    <w:rsid w:val="001B1257"/>
    <w:rsid w:val="001B199B"/>
    <w:rsid w:val="001B26EA"/>
    <w:rsid w:val="001B27B0"/>
    <w:rsid w:val="001B35CD"/>
    <w:rsid w:val="001B3ABC"/>
    <w:rsid w:val="001B629C"/>
    <w:rsid w:val="001B73AE"/>
    <w:rsid w:val="001B79CA"/>
    <w:rsid w:val="001C0C28"/>
    <w:rsid w:val="001C13A4"/>
    <w:rsid w:val="001C2A40"/>
    <w:rsid w:val="001C4817"/>
    <w:rsid w:val="001C506E"/>
    <w:rsid w:val="001C50DC"/>
    <w:rsid w:val="001C5594"/>
    <w:rsid w:val="001C6F0D"/>
    <w:rsid w:val="001C75D8"/>
    <w:rsid w:val="001C7F2C"/>
    <w:rsid w:val="001D1D32"/>
    <w:rsid w:val="001D1E80"/>
    <w:rsid w:val="001D2100"/>
    <w:rsid w:val="001D3529"/>
    <w:rsid w:val="001D3BAB"/>
    <w:rsid w:val="001D43E6"/>
    <w:rsid w:val="001D49A6"/>
    <w:rsid w:val="001D5041"/>
    <w:rsid w:val="001D5857"/>
    <w:rsid w:val="001E05B8"/>
    <w:rsid w:val="001E0AB2"/>
    <w:rsid w:val="001E0BD2"/>
    <w:rsid w:val="001E1E72"/>
    <w:rsid w:val="001E2A81"/>
    <w:rsid w:val="001E2E5C"/>
    <w:rsid w:val="001E30FF"/>
    <w:rsid w:val="001E4146"/>
    <w:rsid w:val="001E4399"/>
    <w:rsid w:val="001E7187"/>
    <w:rsid w:val="001F1C91"/>
    <w:rsid w:val="001F1E51"/>
    <w:rsid w:val="001F26AA"/>
    <w:rsid w:val="001F28B4"/>
    <w:rsid w:val="001F31C4"/>
    <w:rsid w:val="001F4989"/>
    <w:rsid w:val="001F4D32"/>
    <w:rsid w:val="001F51DF"/>
    <w:rsid w:val="001F776E"/>
    <w:rsid w:val="00201531"/>
    <w:rsid w:val="0020168D"/>
    <w:rsid w:val="00202046"/>
    <w:rsid w:val="00202A16"/>
    <w:rsid w:val="00202DA9"/>
    <w:rsid w:val="0020385C"/>
    <w:rsid w:val="0020393F"/>
    <w:rsid w:val="002042A3"/>
    <w:rsid w:val="00204550"/>
    <w:rsid w:val="0020471A"/>
    <w:rsid w:val="002071E6"/>
    <w:rsid w:val="00207465"/>
    <w:rsid w:val="002077E8"/>
    <w:rsid w:val="002079A8"/>
    <w:rsid w:val="002079CC"/>
    <w:rsid w:val="00207AEC"/>
    <w:rsid w:val="00210B89"/>
    <w:rsid w:val="00212702"/>
    <w:rsid w:val="00212B84"/>
    <w:rsid w:val="002131E0"/>
    <w:rsid w:val="00215FC8"/>
    <w:rsid w:val="00217005"/>
    <w:rsid w:val="002179F2"/>
    <w:rsid w:val="002208B3"/>
    <w:rsid w:val="00220AB1"/>
    <w:rsid w:val="00222E0D"/>
    <w:rsid w:val="002232BC"/>
    <w:rsid w:val="00223825"/>
    <w:rsid w:val="00223A5F"/>
    <w:rsid w:val="00223F84"/>
    <w:rsid w:val="0022475B"/>
    <w:rsid w:val="00224B50"/>
    <w:rsid w:val="00224BDB"/>
    <w:rsid w:val="00226BB3"/>
    <w:rsid w:val="0022799D"/>
    <w:rsid w:val="00227D0B"/>
    <w:rsid w:val="0023123C"/>
    <w:rsid w:val="0023147E"/>
    <w:rsid w:val="00231901"/>
    <w:rsid w:val="00231BFC"/>
    <w:rsid w:val="00231D0D"/>
    <w:rsid w:val="002345BF"/>
    <w:rsid w:val="00235029"/>
    <w:rsid w:val="00235341"/>
    <w:rsid w:val="00235410"/>
    <w:rsid w:val="002357FB"/>
    <w:rsid w:val="00236076"/>
    <w:rsid w:val="00236794"/>
    <w:rsid w:val="0023689F"/>
    <w:rsid w:val="00236AD8"/>
    <w:rsid w:val="00237D2C"/>
    <w:rsid w:val="00240328"/>
    <w:rsid w:val="002409A7"/>
    <w:rsid w:val="00240B02"/>
    <w:rsid w:val="00241950"/>
    <w:rsid w:val="00241BE4"/>
    <w:rsid w:val="00242131"/>
    <w:rsid w:val="00244757"/>
    <w:rsid w:val="00245779"/>
    <w:rsid w:val="00246292"/>
    <w:rsid w:val="00246645"/>
    <w:rsid w:val="002505B9"/>
    <w:rsid w:val="00251B78"/>
    <w:rsid w:val="00253FDF"/>
    <w:rsid w:val="002559E6"/>
    <w:rsid w:val="00255A19"/>
    <w:rsid w:val="0025692A"/>
    <w:rsid w:val="00256DE1"/>
    <w:rsid w:val="002571AC"/>
    <w:rsid w:val="002603A2"/>
    <w:rsid w:val="00260484"/>
    <w:rsid w:val="00261397"/>
    <w:rsid w:val="00261596"/>
    <w:rsid w:val="0026214A"/>
    <w:rsid w:val="00262EA3"/>
    <w:rsid w:val="00263270"/>
    <w:rsid w:val="002639D6"/>
    <w:rsid w:val="002648AF"/>
    <w:rsid w:val="00264BC5"/>
    <w:rsid w:val="00264FC1"/>
    <w:rsid w:val="002650A8"/>
    <w:rsid w:val="00266925"/>
    <w:rsid w:val="0026728E"/>
    <w:rsid w:val="002708E0"/>
    <w:rsid w:val="00270C0F"/>
    <w:rsid w:val="0027121E"/>
    <w:rsid w:val="00272925"/>
    <w:rsid w:val="00272E25"/>
    <w:rsid w:val="00272EA4"/>
    <w:rsid w:val="00273197"/>
    <w:rsid w:val="002739F9"/>
    <w:rsid w:val="002742EB"/>
    <w:rsid w:val="00274422"/>
    <w:rsid w:val="00275C6F"/>
    <w:rsid w:val="002805F5"/>
    <w:rsid w:val="00280BE0"/>
    <w:rsid w:val="002821AF"/>
    <w:rsid w:val="00282BF6"/>
    <w:rsid w:val="00283A20"/>
    <w:rsid w:val="00283A45"/>
    <w:rsid w:val="00284FA5"/>
    <w:rsid w:val="00286261"/>
    <w:rsid w:val="00286925"/>
    <w:rsid w:val="00286D58"/>
    <w:rsid w:val="00286F8F"/>
    <w:rsid w:val="00287F58"/>
    <w:rsid w:val="002910BA"/>
    <w:rsid w:val="002915CC"/>
    <w:rsid w:val="00292445"/>
    <w:rsid w:val="00292DB2"/>
    <w:rsid w:val="0029345D"/>
    <w:rsid w:val="002934B3"/>
    <w:rsid w:val="00293601"/>
    <w:rsid w:val="00293844"/>
    <w:rsid w:val="00293A2E"/>
    <w:rsid w:val="00294A46"/>
    <w:rsid w:val="002951E9"/>
    <w:rsid w:val="00295712"/>
    <w:rsid w:val="0029656F"/>
    <w:rsid w:val="002A02C0"/>
    <w:rsid w:val="002A2FF3"/>
    <w:rsid w:val="002A40CB"/>
    <w:rsid w:val="002A42D7"/>
    <w:rsid w:val="002A4A08"/>
    <w:rsid w:val="002A4B3D"/>
    <w:rsid w:val="002A591D"/>
    <w:rsid w:val="002A6CDA"/>
    <w:rsid w:val="002A7150"/>
    <w:rsid w:val="002B1953"/>
    <w:rsid w:val="002B31C0"/>
    <w:rsid w:val="002B3526"/>
    <w:rsid w:val="002B5F1F"/>
    <w:rsid w:val="002B60FD"/>
    <w:rsid w:val="002B6848"/>
    <w:rsid w:val="002B6D27"/>
    <w:rsid w:val="002B76C5"/>
    <w:rsid w:val="002B79C6"/>
    <w:rsid w:val="002C1571"/>
    <w:rsid w:val="002C27BC"/>
    <w:rsid w:val="002C2E72"/>
    <w:rsid w:val="002C2F16"/>
    <w:rsid w:val="002C303A"/>
    <w:rsid w:val="002C3AE6"/>
    <w:rsid w:val="002C45C3"/>
    <w:rsid w:val="002C4622"/>
    <w:rsid w:val="002C4834"/>
    <w:rsid w:val="002C7190"/>
    <w:rsid w:val="002C7AAD"/>
    <w:rsid w:val="002C7EC3"/>
    <w:rsid w:val="002D0B14"/>
    <w:rsid w:val="002D3088"/>
    <w:rsid w:val="002D5373"/>
    <w:rsid w:val="002D5498"/>
    <w:rsid w:val="002D578B"/>
    <w:rsid w:val="002D594E"/>
    <w:rsid w:val="002D607C"/>
    <w:rsid w:val="002D6D65"/>
    <w:rsid w:val="002D7C63"/>
    <w:rsid w:val="002D7E86"/>
    <w:rsid w:val="002E0C3E"/>
    <w:rsid w:val="002E12A8"/>
    <w:rsid w:val="002E1312"/>
    <w:rsid w:val="002E19F0"/>
    <w:rsid w:val="002E25C9"/>
    <w:rsid w:val="002E340C"/>
    <w:rsid w:val="002E663A"/>
    <w:rsid w:val="002E6BEA"/>
    <w:rsid w:val="002E734A"/>
    <w:rsid w:val="002E7914"/>
    <w:rsid w:val="002E7A11"/>
    <w:rsid w:val="002E7F42"/>
    <w:rsid w:val="002F02DD"/>
    <w:rsid w:val="002F183C"/>
    <w:rsid w:val="002F195E"/>
    <w:rsid w:val="002F1C3E"/>
    <w:rsid w:val="002F246A"/>
    <w:rsid w:val="002F2A2A"/>
    <w:rsid w:val="002F3667"/>
    <w:rsid w:val="002F4563"/>
    <w:rsid w:val="002F50BC"/>
    <w:rsid w:val="002F5381"/>
    <w:rsid w:val="002F53BD"/>
    <w:rsid w:val="002F5527"/>
    <w:rsid w:val="002F72FC"/>
    <w:rsid w:val="002F73E0"/>
    <w:rsid w:val="002F7BAF"/>
    <w:rsid w:val="003036A7"/>
    <w:rsid w:val="003045A7"/>
    <w:rsid w:val="003055B8"/>
    <w:rsid w:val="003056BD"/>
    <w:rsid w:val="0030770C"/>
    <w:rsid w:val="00307DC8"/>
    <w:rsid w:val="003105BF"/>
    <w:rsid w:val="00311434"/>
    <w:rsid w:val="0031299C"/>
    <w:rsid w:val="00313412"/>
    <w:rsid w:val="00314964"/>
    <w:rsid w:val="00315B64"/>
    <w:rsid w:val="003172C3"/>
    <w:rsid w:val="00317335"/>
    <w:rsid w:val="003176F4"/>
    <w:rsid w:val="00320C18"/>
    <w:rsid w:val="00321BA5"/>
    <w:rsid w:val="00321EA0"/>
    <w:rsid w:val="0032233A"/>
    <w:rsid w:val="003229D7"/>
    <w:rsid w:val="003244FC"/>
    <w:rsid w:val="00325055"/>
    <w:rsid w:val="00325E85"/>
    <w:rsid w:val="003263EE"/>
    <w:rsid w:val="00330C19"/>
    <w:rsid w:val="00330DBA"/>
    <w:rsid w:val="00331741"/>
    <w:rsid w:val="00331DCA"/>
    <w:rsid w:val="00334709"/>
    <w:rsid w:val="00334ABA"/>
    <w:rsid w:val="003356CE"/>
    <w:rsid w:val="003408EC"/>
    <w:rsid w:val="00340CA5"/>
    <w:rsid w:val="00341A1B"/>
    <w:rsid w:val="00343DA5"/>
    <w:rsid w:val="00344477"/>
    <w:rsid w:val="00344E05"/>
    <w:rsid w:val="00344E44"/>
    <w:rsid w:val="00346CC1"/>
    <w:rsid w:val="0034738A"/>
    <w:rsid w:val="00347A5C"/>
    <w:rsid w:val="0035061B"/>
    <w:rsid w:val="00352B77"/>
    <w:rsid w:val="00353FC6"/>
    <w:rsid w:val="0035422E"/>
    <w:rsid w:val="0035502A"/>
    <w:rsid w:val="00355A94"/>
    <w:rsid w:val="00355C06"/>
    <w:rsid w:val="00355D45"/>
    <w:rsid w:val="00355F8A"/>
    <w:rsid w:val="00364053"/>
    <w:rsid w:val="00365B4A"/>
    <w:rsid w:val="00366B82"/>
    <w:rsid w:val="00367589"/>
    <w:rsid w:val="00367624"/>
    <w:rsid w:val="00370E95"/>
    <w:rsid w:val="003713DD"/>
    <w:rsid w:val="003739D0"/>
    <w:rsid w:val="00374058"/>
    <w:rsid w:val="0037465D"/>
    <w:rsid w:val="00374B06"/>
    <w:rsid w:val="003758F1"/>
    <w:rsid w:val="00375B9D"/>
    <w:rsid w:val="0037725E"/>
    <w:rsid w:val="003777F7"/>
    <w:rsid w:val="00380A9D"/>
    <w:rsid w:val="0038135D"/>
    <w:rsid w:val="00381963"/>
    <w:rsid w:val="003819BA"/>
    <w:rsid w:val="00381CBF"/>
    <w:rsid w:val="003844E5"/>
    <w:rsid w:val="00384B28"/>
    <w:rsid w:val="00385F53"/>
    <w:rsid w:val="00386B87"/>
    <w:rsid w:val="0038791C"/>
    <w:rsid w:val="00387DC0"/>
    <w:rsid w:val="0039090C"/>
    <w:rsid w:val="003910C2"/>
    <w:rsid w:val="00391E32"/>
    <w:rsid w:val="00393049"/>
    <w:rsid w:val="003942C7"/>
    <w:rsid w:val="003948A7"/>
    <w:rsid w:val="00394981"/>
    <w:rsid w:val="0039705B"/>
    <w:rsid w:val="003A209C"/>
    <w:rsid w:val="003A2410"/>
    <w:rsid w:val="003A28D9"/>
    <w:rsid w:val="003A3DAB"/>
    <w:rsid w:val="003A4395"/>
    <w:rsid w:val="003A5739"/>
    <w:rsid w:val="003A5EBA"/>
    <w:rsid w:val="003A724A"/>
    <w:rsid w:val="003A7C89"/>
    <w:rsid w:val="003B0055"/>
    <w:rsid w:val="003B0FB7"/>
    <w:rsid w:val="003B20D0"/>
    <w:rsid w:val="003B2262"/>
    <w:rsid w:val="003B3A2A"/>
    <w:rsid w:val="003B53B2"/>
    <w:rsid w:val="003B5EA0"/>
    <w:rsid w:val="003B6BCD"/>
    <w:rsid w:val="003B7275"/>
    <w:rsid w:val="003B759F"/>
    <w:rsid w:val="003B7FDB"/>
    <w:rsid w:val="003C0C02"/>
    <w:rsid w:val="003C31F5"/>
    <w:rsid w:val="003C37C5"/>
    <w:rsid w:val="003C390F"/>
    <w:rsid w:val="003C468D"/>
    <w:rsid w:val="003C63AE"/>
    <w:rsid w:val="003C6D3D"/>
    <w:rsid w:val="003C75C4"/>
    <w:rsid w:val="003D012D"/>
    <w:rsid w:val="003D01D5"/>
    <w:rsid w:val="003D0210"/>
    <w:rsid w:val="003D0A0F"/>
    <w:rsid w:val="003D17F3"/>
    <w:rsid w:val="003D2994"/>
    <w:rsid w:val="003D2A64"/>
    <w:rsid w:val="003D2C82"/>
    <w:rsid w:val="003D346C"/>
    <w:rsid w:val="003D3ACE"/>
    <w:rsid w:val="003D3F99"/>
    <w:rsid w:val="003D43BD"/>
    <w:rsid w:val="003D44B4"/>
    <w:rsid w:val="003D7D65"/>
    <w:rsid w:val="003E0E83"/>
    <w:rsid w:val="003E136F"/>
    <w:rsid w:val="003E39E6"/>
    <w:rsid w:val="003E5A94"/>
    <w:rsid w:val="003E5BC0"/>
    <w:rsid w:val="003E5C76"/>
    <w:rsid w:val="003E63F0"/>
    <w:rsid w:val="003E7203"/>
    <w:rsid w:val="003E73B9"/>
    <w:rsid w:val="003E78EE"/>
    <w:rsid w:val="003E7B5F"/>
    <w:rsid w:val="003E7F98"/>
    <w:rsid w:val="003F06BC"/>
    <w:rsid w:val="003F0F23"/>
    <w:rsid w:val="003F169B"/>
    <w:rsid w:val="003F1AFC"/>
    <w:rsid w:val="003F1CDB"/>
    <w:rsid w:val="003F266E"/>
    <w:rsid w:val="003F298B"/>
    <w:rsid w:val="003F32D7"/>
    <w:rsid w:val="003F506A"/>
    <w:rsid w:val="003F5A41"/>
    <w:rsid w:val="003F6748"/>
    <w:rsid w:val="003F68CF"/>
    <w:rsid w:val="003F6ABB"/>
    <w:rsid w:val="003F7798"/>
    <w:rsid w:val="003F7A3D"/>
    <w:rsid w:val="00401DC8"/>
    <w:rsid w:val="0040231E"/>
    <w:rsid w:val="004023CF"/>
    <w:rsid w:val="00403245"/>
    <w:rsid w:val="004046FC"/>
    <w:rsid w:val="00404A25"/>
    <w:rsid w:val="0040525D"/>
    <w:rsid w:val="0040584D"/>
    <w:rsid w:val="0040602B"/>
    <w:rsid w:val="004063F8"/>
    <w:rsid w:val="00406567"/>
    <w:rsid w:val="00406A44"/>
    <w:rsid w:val="0041034E"/>
    <w:rsid w:val="00412550"/>
    <w:rsid w:val="0041617C"/>
    <w:rsid w:val="00416920"/>
    <w:rsid w:val="004200BD"/>
    <w:rsid w:val="004200D2"/>
    <w:rsid w:val="004216AA"/>
    <w:rsid w:val="00421BF1"/>
    <w:rsid w:val="004229ED"/>
    <w:rsid w:val="00423340"/>
    <w:rsid w:val="0042397E"/>
    <w:rsid w:val="00424063"/>
    <w:rsid w:val="00425044"/>
    <w:rsid w:val="00425341"/>
    <w:rsid w:val="00431052"/>
    <w:rsid w:val="00431D08"/>
    <w:rsid w:val="00431EEA"/>
    <w:rsid w:val="00432DB3"/>
    <w:rsid w:val="00433568"/>
    <w:rsid w:val="00433B09"/>
    <w:rsid w:val="0043503F"/>
    <w:rsid w:val="00437423"/>
    <w:rsid w:val="00437A83"/>
    <w:rsid w:val="004400E3"/>
    <w:rsid w:val="0044055C"/>
    <w:rsid w:val="00440A2E"/>
    <w:rsid w:val="0044214F"/>
    <w:rsid w:val="0044384D"/>
    <w:rsid w:val="00443F4A"/>
    <w:rsid w:val="004440EF"/>
    <w:rsid w:val="00447369"/>
    <w:rsid w:val="00447E27"/>
    <w:rsid w:val="004508CA"/>
    <w:rsid w:val="00451776"/>
    <w:rsid w:val="00451EF0"/>
    <w:rsid w:val="0045216D"/>
    <w:rsid w:val="00452670"/>
    <w:rsid w:val="00453477"/>
    <w:rsid w:val="00454475"/>
    <w:rsid w:val="00454B51"/>
    <w:rsid w:val="00455110"/>
    <w:rsid w:val="004564B8"/>
    <w:rsid w:val="00461F27"/>
    <w:rsid w:val="0046344A"/>
    <w:rsid w:val="00463B67"/>
    <w:rsid w:val="00465553"/>
    <w:rsid w:val="00465845"/>
    <w:rsid w:val="004666EA"/>
    <w:rsid w:val="004669B7"/>
    <w:rsid w:val="00467087"/>
    <w:rsid w:val="00467DA4"/>
    <w:rsid w:val="00467E1E"/>
    <w:rsid w:val="00472F65"/>
    <w:rsid w:val="00473A11"/>
    <w:rsid w:val="0047437F"/>
    <w:rsid w:val="0047457B"/>
    <w:rsid w:val="00474EEC"/>
    <w:rsid w:val="004768B6"/>
    <w:rsid w:val="00477ABA"/>
    <w:rsid w:val="00477D24"/>
    <w:rsid w:val="00482221"/>
    <w:rsid w:val="00482BA8"/>
    <w:rsid w:val="00482BE9"/>
    <w:rsid w:val="00483C4C"/>
    <w:rsid w:val="00484051"/>
    <w:rsid w:val="0048473D"/>
    <w:rsid w:val="00484897"/>
    <w:rsid w:val="00485DAC"/>
    <w:rsid w:val="0049072F"/>
    <w:rsid w:val="00490F94"/>
    <w:rsid w:val="00491784"/>
    <w:rsid w:val="00491D7A"/>
    <w:rsid w:val="00493231"/>
    <w:rsid w:val="004938D4"/>
    <w:rsid w:val="004944A9"/>
    <w:rsid w:val="00494FC1"/>
    <w:rsid w:val="00495302"/>
    <w:rsid w:val="00495A4F"/>
    <w:rsid w:val="00497889"/>
    <w:rsid w:val="00497D25"/>
    <w:rsid w:val="004A0048"/>
    <w:rsid w:val="004A1871"/>
    <w:rsid w:val="004A1BD8"/>
    <w:rsid w:val="004A21C3"/>
    <w:rsid w:val="004A2B07"/>
    <w:rsid w:val="004A31A4"/>
    <w:rsid w:val="004A513D"/>
    <w:rsid w:val="004A577D"/>
    <w:rsid w:val="004A60FE"/>
    <w:rsid w:val="004A717F"/>
    <w:rsid w:val="004A7754"/>
    <w:rsid w:val="004B0026"/>
    <w:rsid w:val="004B2ADC"/>
    <w:rsid w:val="004B2F62"/>
    <w:rsid w:val="004B3576"/>
    <w:rsid w:val="004B3841"/>
    <w:rsid w:val="004B38DA"/>
    <w:rsid w:val="004B544B"/>
    <w:rsid w:val="004B58F5"/>
    <w:rsid w:val="004B5C18"/>
    <w:rsid w:val="004B6F52"/>
    <w:rsid w:val="004B6F96"/>
    <w:rsid w:val="004C0F43"/>
    <w:rsid w:val="004C1594"/>
    <w:rsid w:val="004C233D"/>
    <w:rsid w:val="004C3711"/>
    <w:rsid w:val="004C3BBF"/>
    <w:rsid w:val="004C44DA"/>
    <w:rsid w:val="004C4643"/>
    <w:rsid w:val="004C6B5B"/>
    <w:rsid w:val="004C7338"/>
    <w:rsid w:val="004C7A4F"/>
    <w:rsid w:val="004C7C88"/>
    <w:rsid w:val="004D09D7"/>
    <w:rsid w:val="004D2FF6"/>
    <w:rsid w:val="004D30BE"/>
    <w:rsid w:val="004D313B"/>
    <w:rsid w:val="004D37A5"/>
    <w:rsid w:val="004D3D70"/>
    <w:rsid w:val="004D4ACF"/>
    <w:rsid w:val="004D5617"/>
    <w:rsid w:val="004D583A"/>
    <w:rsid w:val="004D6095"/>
    <w:rsid w:val="004D67CD"/>
    <w:rsid w:val="004E0891"/>
    <w:rsid w:val="004E1307"/>
    <w:rsid w:val="004E23E0"/>
    <w:rsid w:val="004E31CB"/>
    <w:rsid w:val="004E358E"/>
    <w:rsid w:val="004E3E4C"/>
    <w:rsid w:val="004E52FE"/>
    <w:rsid w:val="004E7E93"/>
    <w:rsid w:val="004F02F7"/>
    <w:rsid w:val="004F0425"/>
    <w:rsid w:val="004F0A4C"/>
    <w:rsid w:val="004F0CA2"/>
    <w:rsid w:val="004F129A"/>
    <w:rsid w:val="004F15BF"/>
    <w:rsid w:val="004F162C"/>
    <w:rsid w:val="004F1705"/>
    <w:rsid w:val="004F2812"/>
    <w:rsid w:val="004F3A9B"/>
    <w:rsid w:val="004F4825"/>
    <w:rsid w:val="004F4A76"/>
    <w:rsid w:val="004F52D0"/>
    <w:rsid w:val="004F5AF6"/>
    <w:rsid w:val="004F717A"/>
    <w:rsid w:val="004F72B4"/>
    <w:rsid w:val="0050037D"/>
    <w:rsid w:val="00500495"/>
    <w:rsid w:val="00500997"/>
    <w:rsid w:val="00500C1D"/>
    <w:rsid w:val="00500D01"/>
    <w:rsid w:val="0050123D"/>
    <w:rsid w:val="00501A0C"/>
    <w:rsid w:val="00501C04"/>
    <w:rsid w:val="00501E49"/>
    <w:rsid w:val="005020A8"/>
    <w:rsid w:val="005021A6"/>
    <w:rsid w:val="00502B19"/>
    <w:rsid w:val="0050339D"/>
    <w:rsid w:val="00504C2A"/>
    <w:rsid w:val="0050591E"/>
    <w:rsid w:val="005103F0"/>
    <w:rsid w:val="00510E8B"/>
    <w:rsid w:val="00511C17"/>
    <w:rsid w:val="00512411"/>
    <w:rsid w:val="0051292F"/>
    <w:rsid w:val="00514071"/>
    <w:rsid w:val="005143A1"/>
    <w:rsid w:val="00514E02"/>
    <w:rsid w:val="00514F2B"/>
    <w:rsid w:val="005164CD"/>
    <w:rsid w:val="00517A3E"/>
    <w:rsid w:val="00517A6B"/>
    <w:rsid w:val="00517B85"/>
    <w:rsid w:val="00520A74"/>
    <w:rsid w:val="0052150C"/>
    <w:rsid w:val="005217EE"/>
    <w:rsid w:val="00521ACC"/>
    <w:rsid w:val="00525DB9"/>
    <w:rsid w:val="00525E14"/>
    <w:rsid w:val="00526F71"/>
    <w:rsid w:val="005303BB"/>
    <w:rsid w:val="00530CA1"/>
    <w:rsid w:val="005313AB"/>
    <w:rsid w:val="00531481"/>
    <w:rsid w:val="005324F6"/>
    <w:rsid w:val="0053257F"/>
    <w:rsid w:val="005332E0"/>
    <w:rsid w:val="00533D31"/>
    <w:rsid w:val="00533DD8"/>
    <w:rsid w:val="00534058"/>
    <w:rsid w:val="00536969"/>
    <w:rsid w:val="00536B2B"/>
    <w:rsid w:val="005373BF"/>
    <w:rsid w:val="005415E4"/>
    <w:rsid w:val="00541ABB"/>
    <w:rsid w:val="00541AF3"/>
    <w:rsid w:val="005420BF"/>
    <w:rsid w:val="00542812"/>
    <w:rsid w:val="00544317"/>
    <w:rsid w:val="0054469B"/>
    <w:rsid w:val="00544CCE"/>
    <w:rsid w:val="00544F84"/>
    <w:rsid w:val="005450C8"/>
    <w:rsid w:val="00545554"/>
    <w:rsid w:val="00550652"/>
    <w:rsid w:val="00550F02"/>
    <w:rsid w:val="00551F9B"/>
    <w:rsid w:val="00552108"/>
    <w:rsid w:val="00553056"/>
    <w:rsid w:val="00553E7E"/>
    <w:rsid w:val="005546B7"/>
    <w:rsid w:val="005548C1"/>
    <w:rsid w:val="005565EE"/>
    <w:rsid w:val="0056011F"/>
    <w:rsid w:val="00560F1A"/>
    <w:rsid w:val="00562BE9"/>
    <w:rsid w:val="0056411C"/>
    <w:rsid w:val="005649CA"/>
    <w:rsid w:val="0056524B"/>
    <w:rsid w:val="0056649D"/>
    <w:rsid w:val="00566FEE"/>
    <w:rsid w:val="0056795F"/>
    <w:rsid w:val="00570EC7"/>
    <w:rsid w:val="005715AE"/>
    <w:rsid w:val="00571FF3"/>
    <w:rsid w:val="00573E46"/>
    <w:rsid w:val="00574404"/>
    <w:rsid w:val="00574FDE"/>
    <w:rsid w:val="00575F3D"/>
    <w:rsid w:val="00576C96"/>
    <w:rsid w:val="00577318"/>
    <w:rsid w:val="00580ADD"/>
    <w:rsid w:val="00580E40"/>
    <w:rsid w:val="00581641"/>
    <w:rsid w:val="005816C5"/>
    <w:rsid w:val="00583BDA"/>
    <w:rsid w:val="00584502"/>
    <w:rsid w:val="00584DAF"/>
    <w:rsid w:val="00586183"/>
    <w:rsid w:val="0058653F"/>
    <w:rsid w:val="00587F0C"/>
    <w:rsid w:val="005900FC"/>
    <w:rsid w:val="0059149A"/>
    <w:rsid w:val="00591DD3"/>
    <w:rsid w:val="00592605"/>
    <w:rsid w:val="0059315E"/>
    <w:rsid w:val="00595357"/>
    <w:rsid w:val="00595529"/>
    <w:rsid w:val="00595B95"/>
    <w:rsid w:val="00595E0C"/>
    <w:rsid w:val="00596025"/>
    <w:rsid w:val="005967F4"/>
    <w:rsid w:val="00596BBB"/>
    <w:rsid w:val="005A0259"/>
    <w:rsid w:val="005A1BC8"/>
    <w:rsid w:val="005A2F06"/>
    <w:rsid w:val="005A3525"/>
    <w:rsid w:val="005A3FD4"/>
    <w:rsid w:val="005A4ADE"/>
    <w:rsid w:val="005A5403"/>
    <w:rsid w:val="005A59AF"/>
    <w:rsid w:val="005A60D2"/>
    <w:rsid w:val="005A6484"/>
    <w:rsid w:val="005A66B2"/>
    <w:rsid w:val="005A70D5"/>
    <w:rsid w:val="005A7758"/>
    <w:rsid w:val="005A7D9F"/>
    <w:rsid w:val="005B0246"/>
    <w:rsid w:val="005B082F"/>
    <w:rsid w:val="005B1318"/>
    <w:rsid w:val="005B4CD9"/>
    <w:rsid w:val="005B7871"/>
    <w:rsid w:val="005C134A"/>
    <w:rsid w:val="005C2FF4"/>
    <w:rsid w:val="005C3004"/>
    <w:rsid w:val="005C38D6"/>
    <w:rsid w:val="005C39C4"/>
    <w:rsid w:val="005C4B42"/>
    <w:rsid w:val="005C692D"/>
    <w:rsid w:val="005C7A53"/>
    <w:rsid w:val="005C7BFE"/>
    <w:rsid w:val="005D3794"/>
    <w:rsid w:val="005D5BB7"/>
    <w:rsid w:val="005D60BE"/>
    <w:rsid w:val="005E191A"/>
    <w:rsid w:val="005E1D74"/>
    <w:rsid w:val="005E2D32"/>
    <w:rsid w:val="005E3255"/>
    <w:rsid w:val="005E4F91"/>
    <w:rsid w:val="005E51D9"/>
    <w:rsid w:val="005E5472"/>
    <w:rsid w:val="005E5FCF"/>
    <w:rsid w:val="005E79C3"/>
    <w:rsid w:val="005F0DE1"/>
    <w:rsid w:val="005F385E"/>
    <w:rsid w:val="005F47D3"/>
    <w:rsid w:val="005F4998"/>
    <w:rsid w:val="005F4C3D"/>
    <w:rsid w:val="005F6EC8"/>
    <w:rsid w:val="005F7A1F"/>
    <w:rsid w:val="00604E9B"/>
    <w:rsid w:val="006053B1"/>
    <w:rsid w:val="00605ED3"/>
    <w:rsid w:val="006069CA"/>
    <w:rsid w:val="00606E86"/>
    <w:rsid w:val="00611B7B"/>
    <w:rsid w:val="00611C56"/>
    <w:rsid w:val="00612013"/>
    <w:rsid w:val="006136C4"/>
    <w:rsid w:val="00613F58"/>
    <w:rsid w:val="006141E7"/>
    <w:rsid w:val="00614377"/>
    <w:rsid w:val="00614B75"/>
    <w:rsid w:val="00614F26"/>
    <w:rsid w:val="00615B40"/>
    <w:rsid w:val="006172BB"/>
    <w:rsid w:val="006173CB"/>
    <w:rsid w:val="006177CA"/>
    <w:rsid w:val="00617FD2"/>
    <w:rsid w:val="00620999"/>
    <w:rsid w:val="00620A60"/>
    <w:rsid w:val="00622477"/>
    <w:rsid w:val="00623FAE"/>
    <w:rsid w:val="00625633"/>
    <w:rsid w:val="0062590E"/>
    <w:rsid w:val="00626BEC"/>
    <w:rsid w:val="006302E6"/>
    <w:rsid w:val="00630E27"/>
    <w:rsid w:val="0063177E"/>
    <w:rsid w:val="00631A48"/>
    <w:rsid w:val="00632482"/>
    <w:rsid w:val="006333CC"/>
    <w:rsid w:val="00633735"/>
    <w:rsid w:val="00633CE4"/>
    <w:rsid w:val="006343CE"/>
    <w:rsid w:val="0063558C"/>
    <w:rsid w:val="00635B11"/>
    <w:rsid w:val="00640DA6"/>
    <w:rsid w:val="00640E63"/>
    <w:rsid w:val="00642A75"/>
    <w:rsid w:val="00642C5B"/>
    <w:rsid w:val="00642F85"/>
    <w:rsid w:val="00643347"/>
    <w:rsid w:val="00643A1E"/>
    <w:rsid w:val="00643DD8"/>
    <w:rsid w:val="00644D5D"/>
    <w:rsid w:val="006455C9"/>
    <w:rsid w:val="006457BB"/>
    <w:rsid w:val="00645B57"/>
    <w:rsid w:val="00646A7E"/>
    <w:rsid w:val="006472CE"/>
    <w:rsid w:val="0064765C"/>
    <w:rsid w:val="0065058D"/>
    <w:rsid w:val="00651DDA"/>
    <w:rsid w:val="0065273B"/>
    <w:rsid w:val="00656253"/>
    <w:rsid w:val="00656868"/>
    <w:rsid w:val="00656CD3"/>
    <w:rsid w:val="00657C54"/>
    <w:rsid w:val="00662274"/>
    <w:rsid w:val="00663C21"/>
    <w:rsid w:val="00665BE3"/>
    <w:rsid w:val="00667048"/>
    <w:rsid w:val="00667532"/>
    <w:rsid w:val="006702AD"/>
    <w:rsid w:val="00670575"/>
    <w:rsid w:val="00671A54"/>
    <w:rsid w:val="00671D21"/>
    <w:rsid w:val="00672A67"/>
    <w:rsid w:val="00672B69"/>
    <w:rsid w:val="00672D52"/>
    <w:rsid w:val="0067302C"/>
    <w:rsid w:val="00674656"/>
    <w:rsid w:val="00674C85"/>
    <w:rsid w:val="006751B2"/>
    <w:rsid w:val="00675B9D"/>
    <w:rsid w:val="006801F3"/>
    <w:rsid w:val="006803D1"/>
    <w:rsid w:val="00680C3E"/>
    <w:rsid w:val="00680E39"/>
    <w:rsid w:val="00682250"/>
    <w:rsid w:val="00682453"/>
    <w:rsid w:val="00684C8D"/>
    <w:rsid w:val="006862AD"/>
    <w:rsid w:val="0068737D"/>
    <w:rsid w:val="0069019F"/>
    <w:rsid w:val="00690C7F"/>
    <w:rsid w:val="0069151A"/>
    <w:rsid w:val="00693CA4"/>
    <w:rsid w:val="0069437E"/>
    <w:rsid w:val="006947D2"/>
    <w:rsid w:val="00694E73"/>
    <w:rsid w:val="006956F5"/>
    <w:rsid w:val="00695B27"/>
    <w:rsid w:val="006964DD"/>
    <w:rsid w:val="006977F9"/>
    <w:rsid w:val="00697FB5"/>
    <w:rsid w:val="006A0E62"/>
    <w:rsid w:val="006A11BD"/>
    <w:rsid w:val="006A135B"/>
    <w:rsid w:val="006A2F25"/>
    <w:rsid w:val="006A379F"/>
    <w:rsid w:val="006A3FCC"/>
    <w:rsid w:val="006A40BB"/>
    <w:rsid w:val="006A6CA3"/>
    <w:rsid w:val="006A6E9E"/>
    <w:rsid w:val="006A702B"/>
    <w:rsid w:val="006B16A5"/>
    <w:rsid w:val="006B269D"/>
    <w:rsid w:val="006B49F2"/>
    <w:rsid w:val="006B4B9F"/>
    <w:rsid w:val="006B5FCB"/>
    <w:rsid w:val="006B6B6B"/>
    <w:rsid w:val="006B6E9B"/>
    <w:rsid w:val="006B7869"/>
    <w:rsid w:val="006B79FB"/>
    <w:rsid w:val="006B79FE"/>
    <w:rsid w:val="006C003B"/>
    <w:rsid w:val="006C0438"/>
    <w:rsid w:val="006C230F"/>
    <w:rsid w:val="006C26E6"/>
    <w:rsid w:val="006C369C"/>
    <w:rsid w:val="006C46AA"/>
    <w:rsid w:val="006C6695"/>
    <w:rsid w:val="006C6883"/>
    <w:rsid w:val="006C77F7"/>
    <w:rsid w:val="006D0D35"/>
    <w:rsid w:val="006D0EE9"/>
    <w:rsid w:val="006D1223"/>
    <w:rsid w:val="006D398B"/>
    <w:rsid w:val="006D428B"/>
    <w:rsid w:val="006D4A26"/>
    <w:rsid w:val="006D748E"/>
    <w:rsid w:val="006D7940"/>
    <w:rsid w:val="006E37C1"/>
    <w:rsid w:val="006E3BF5"/>
    <w:rsid w:val="006E4587"/>
    <w:rsid w:val="006E4F4C"/>
    <w:rsid w:val="006E5000"/>
    <w:rsid w:val="006E5C0A"/>
    <w:rsid w:val="006E6B76"/>
    <w:rsid w:val="006E72C8"/>
    <w:rsid w:val="006E7536"/>
    <w:rsid w:val="006F04E5"/>
    <w:rsid w:val="006F06D0"/>
    <w:rsid w:val="006F0CA3"/>
    <w:rsid w:val="006F11D3"/>
    <w:rsid w:val="006F2192"/>
    <w:rsid w:val="006F37F0"/>
    <w:rsid w:val="006F46C4"/>
    <w:rsid w:val="006F60B9"/>
    <w:rsid w:val="006F610E"/>
    <w:rsid w:val="006F68B1"/>
    <w:rsid w:val="006F6FBD"/>
    <w:rsid w:val="006F7AE6"/>
    <w:rsid w:val="007000FC"/>
    <w:rsid w:val="00705015"/>
    <w:rsid w:val="00705217"/>
    <w:rsid w:val="00705A8C"/>
    <w:rsid w:val="00711218"/>
    <w:rsid w:val="007119AC"/>
    <w:rsid w:val="0071265A"/>
    <w:rsid w:val="00712763"/>
    <w:rsid w:val="0071361B"/>
    <w:rsid w:val="00714287"/>
    <w:rsid w:val="007142EE"/>
    <w:rsid w:val="007143A6"/>
    <w:rsid w:val="00715576"/>
    <w:rsid w:val="0071598F"/>
    <w:rsid w:val="00716D08"/>
    <w:rsid w:val="007200CF"/>
    <w:rsid w:val="007209CB"/>
    <w:rsid w:val="00721C4E"/>
    <w:rsid w:val="0072340F"/>
    <w:rsid w:val="00723727"/>
    <w:rsid w:val="0072385F"/>
    <w:rsid w:val="00723AB3"/>
    <w:rsid w:val="00724FA0"/>
    <w:rsid w:val="0072578E"/>
    <w:rsid w:val="007257A3"/>
    <w:rsid w:val="00725A6D"/>
    <w:rsid w:val="007270DF"/>
    <w:rsid w:val="0072768D"/>
    <w:rsid w:val="00730B81"/>
    <w:rsid w:val="007316E0"/>
    <w:rsid w:val="0073225F"/>
    <w:rsid w:val="0073352A"/>
    <w:rsid w:val="00733552"/>
    <w:rsid w:val="00734787"/>
    <w:rsid w:val="00735CC7"/>
    <w:rsid w:val="00735FE6"/>
    <w:rsid w:val="0073692C"/>
    <w:rsid w:val="00736EE6"/>
    <w:rsid w:val="00740EC8"/>
    <w:rsid w:val="00743351"/>
    <w:rsid w:val="0074356C"/>
    <w:rsid w:val="00743DB2"/>
    <w:rsid w:val="007453AF"/>
    <w:rsid w:val="007459D0"/>
    <w:rsid w:val="007461D0"/>
    <w:rsid w:val="0074688D"/>
    <w:rsid w:val="00747191"/>
    <w:rsid w:val="007478A1"/>
    <w:rsid w:val="0075037B"/>
    <w:rsid w:val="0075173D"/>
    <w:rsid w:val="00751CDF"/>
    <w:rsid w:val="00751E92"/>
    <w:rsid w:val="0075259D"/>
    <w:rsid w:val="007546A7"/>
    <w:rsid w:val="00754804"/>
    <w:rsid w:val="00754EC9"/>
    <w:rsid w:val="007557B8"/>
    <w:rsid w:val="00755873"/>
    <w:rsid w:val="00755D51"/>
    <w:rsid w:val="00756AAF"/>
    <w:rsid w:val="00757179"/>
    <w:rsid w:val="0075798A"/>
    <w:rsid w:val="00757BF5"/>
    <w:rsid w:val="007609A1"/>
    <w:rsid w:val="00760AE6"/>
    <w:rsid w:val="00761FDD"/>
    <w:rsid w:val="00762040"/>
    <w:rsid w:val="007621B9"/>
    <w:rsid w:val="007628D5"/>
    <w:rsid w:val="00762E7C"/>
    <w:rsid w:val="0076333F"/>
    <w:rsid w:val="00764953"/>
    <w:rsid w:val="00764CDB"/>
    <w:rsid w:val="00764FA6"/>
    <w:rsid w:val="00766B7F"/>
    <w:rsid w:val="00766BDB"/>
    <w:rsid w:val="007672FA"/>
    <w:rsid w:val="00767BBA"/>
    <w:rsid w:val="0077280D"/>
    <w:rsid w:val="00772C4F"/>
    <w:rsid w:val="00774552"/>
    <w:rsid w:val="00774C77"/>
    <w:rsid w:val="00775D64"/>
    <w:rsid w:val="00775F95"/>
    <w:rsid w:val="00777BC5"/>
    <w:rsid w:val="00777D34"/>
    <w:rsid w:val="00780C0A"/>
    <w:rsid w:val="007815BC"/>
    <w:rsid w:val="00781CA8"/>
    <w:rsid w:val="00783F12"/>
    <w:rsid w:val="00784DC5"/>
    <w:rsid w:val="00785816"/>
    <w:rsid w:val="007866D6"/>
    <w:rsid w:val="00786D11"/>
    <w:rsid w:val="007873B2"/>
    <w:rsid w:val="00790012"/>
    <w:rsid w:val="0079004A"/>
    <w:rsid w:val="00790973"/>
    <w:rsid w:val="007919C7"/>
    <w:rsid w:val="007920F3"/>
    <w:rsid w:val="00792528"/>
    <w:rsid w:val="00792A57"/>
    <w:rsid w:val="007944C2"/>
    <w:rsid w:val="00794613"/>
    <w:rsid w:val="00794D3E"/>
    <w:rsid w:val="00794D50"/>
    <w:rsid w:val="00794EA4"/>
    <w:rsid w:val="00795375"/>
    <w:rsid w:val="007956A1"/>
    <w:rsid w:val="00795F06"/>
    <w:rsid w:val="007969EF"/>
    <w:rsid w:val="00796B16"/>
    <w:rsid w:val="00796E32"/>
    <w:rsid w:val="007974AC"/>
    <w:rsid w:val="007A035D"/>
    <w:rsid w:val="007A217F"/>
    <w:rsid w:val="007A2180"/>
    <w:rsid w:val="007A2697"/>
    <w:rsid w:val="007A2835"/>
    <w:rsid w:val="007A35A3"/>
    <w:rsid w:val="007A379E"/>
    <w:rsid w:val="007A3BAE"/>
    <w:rsid w:val="007A4BAC"/>
    <w:rsid w:val="007A4DBA"/>
    <w:rsid w:val="007A59FE"/>
    <w:rsid w:val="007A6ACD"/>
    <w:rsid w:val="007A6B9F"/>
    <w:rsid w:val="007A7BAA"/>
    <w:rsid w:val="007B065B"/>
    <w:rsid w:val="007B1150"/>
    <w:rsid w:val="007B347F"/>
    <w:rsid w:val="007B4264"/>
    <w:rsid w:val="007B469D"/>
    <w:rsid w:val="007B549E"/>
    <w:rsid w:val="007B5E55"/>
    <w:rsid w:val="007B68DF"/>
    <w:rsid w:val="007B73F0"/>
    <w:rsid w:val="007C1292"/>
    <w:rsid w:val="007C17B2"/>
    <w:rsid w:val="007C1A90"/>
    <w:rsid w:val="007C2AAC"/>
    <w:rsid w:val="007C46A1"/>
    <w:rsid w:val="007C473E"/>
    <w:rsid w:val="007C5AF5"/>
    <w:rsid w:val="007D0FE3"/>
    <w:rsid w:val="007D1294"/>
    <w:rsid w:val="007D268D"/>
    <w:rsid w:val="007D27BE"/>
    <w:rsid w:val="007D476F"/>
    <w:rsid w:val="007D5077"/>
    <w:rsid w:val="007D51EF"/>
    <w:rsid w:val="007D60C8"/>
    <w:rsid w:val="007E1C7D"/>
    <w:rsid w:val="007E24DA"/>
    <w:rsid w:val="007E2E72"/>
    <w:rsid w:val="007E37B2"/>
    <w:rsid w:val="007E471A"/>
    <w:rsid w:val="007E6B22"/>
    <w:rsid w:val="007E6EC6"/>
    <w:rsid w:val="007E7434"/>
    <w:rsid w:val="007F0A49"/>
    <w:rsid w:val="007F0BB6"/>
    <w:rsid w:val="007F1798"/>
    <w:rsid w:val="007F3BE9"/>
    <w:rsid w:val="007F4916"/>
    <w:rsid w:val="00801191"/>
    <w:rsid w:val="008011CA"/>
    <w:rsid w:val="008040D4"/>
    <w:rsid w:val="00804ABF"/>
    <w:rsid w:val="00807DD1"/>
    <w:rsid w:val="00810125"/>
    <w:rsid w:val="00810AE5"/>
    <w:rsid w:val="00811193"/>
    <w:rsid w:val="00811C53"/>
    <w:rsid w:val="00812049"/>
    <w:rsid w:val="008122AA"/>
    <w:rsid w:val="00812387"/>
    <w:rsid w:val="0081358C"/>
    <w:rsid w:val="00814A41"/>
    <w:rsid w:val="008154F3"/>
    <w:rsid w:val="00815C6A"/>
    <w:rsid w:val="00816757"/>
    <w:rsid w:val="0081715E"/>
    <w:rsid w:val="0081753D"/>
    <w:rsid w:val="008179D2"/>
    <w:rsid w:val="00820C30"/>
    <w:rsid w:val="00821173"/>
    <w:rsid w:val="00822EEB"/>
    <w:rsid w:val="00823186"/>
    <w:rsid w:val="00823262"/>
    <w:rsid w:val="00824E0F"/>
    <w:rsid w:val="008257A5"/>
    <w:rsid w:val="00825CF9"/>
    <w:rsid w:val="008306A5"/>
    <w:rsid w:val="00831057"/>
    <w:rsid w:val="0083133E"/>
    <w:rsid w:val="0083230D"/>
    <w:rsid w:val="00832EA9"/>
    <w:rsid w:val="00832FC5"/>
    <w:rsid w:val="00833018"/>
    <w:rsid w:val="008335EB"/>
    <w:rsid w:val="00834C12"/>
    <w:rsid w:val="00835347"/>
    <w:rsid w:val="00835D4A"/>
    <w:rsid w:val="00836451"/>
    <w:rsid w:val="00836734"/>
    <w:rsid w:val="00837535"/>
    <w:rsid w:val="008400DD"/>
    <w:rsid w:val="00842FB6"/>
    <w:rsid w:val="00843B25"/>
    <w:rsid w:val="008450B9"/>
    <w:rsid w:val="00845225"/>
    <w:rsid w:val="0084555A"/>
    <w:rsid w:val="008466D2"/>
    <w:rsid w:val="008470D9"/>
    <w:rsid w:val="00847AF7"/>
    <w:rsid w:val="008529A3"/>
    <w:rsid w:val="008533F5"/>
    <w:rsid w:val="00854773"/>
    <w:rsid w:val="008572BF"/>
    <w:rsid w:val="00857495"/>
    <w:rsid w:val="00857973"/>
    <w:rsid w:val="008605FD"/>
    <w:rsid w:val="00861D41"/>
    <w:rsid w:val="008622D3"/>
    <w:rsid w:val="0086338C"/>
    <w:rsid w:val="00863958"/>
    <w:rsid w:val="00863C72"/>
    <w:rsid w:val="00864F48"/>
    <w:rsid w:val="00865043"/>
    <w:rsid w:val="0086668D"/>
    <w:rsid w:val="008667A6"/>
    <w:rsid w:val="008670FD"/>
    <w:rsid w:val="00867410"/>
    <w:rsid w:val="00867EDD"/>
    <w:rsid w:val="00867F46"/>
    <w:rsid w:val="0087196B"/>
    <w:rsid w:val="008753B8"/>
    <w:rsid w:val="00876230"/>
    <w:rsid w:val="00877481"/>
    <w:rsid w:val="00877B0F"/>
    <w:rsid w:val="00881419"/>
    <w:rsid w:val="00881CF0"/>
    <w:rsid w:val="00881D24"/>
    <w:rsid w:val="008835DB"/>
    <w:rsid w:val="00883F2F"/>
    <w:rsid w:val="0088429B"/>
    <w:rsid w:val="00885285"/>
    <w:rsid w:val="008856F3"/>
    <w:rsid w:val="008874D8"/>
    <w:rsid w:val="008876B1"/>
    <w:rsid w:val="008877E6"/>
    <w:rsid w:val="00890AFF"/>
    <w:rsid w:val="00891DAF"/>
    <w:rsid w:val="00894F7B"/>
    <w:rsid w:val="008967B6"/>
    <w:rsid w:val="008975B4"/>
    <w:rsid w:val="00897E0A"/>
    <w:rsid w:val="00897E42"/>
    <w:rsid w:val="008A0499"/>
    <w:rsid w:val="008A060A"/>
    <w:rsid w:val="008A1178"/>
    <w:rsid w:val="008A1450"/>
    <w:rsid w:val="008A1722"/>
    <w:rsid w:val="008A274D"/>
    <w:rsid w:val="008A4492"/>
    <w:rsid w:val="008A51BC"/>
    <w:rsid w:val="008A5962"/>
    <w:rsid w:val="008A5DE5"/>
    <w:rsid w:val="008A5FCB"/>
    <w:rsid w:val="008A6209"/>
    <w:rsid w:val="008A7F05"/>
    <w:rsid w:val="008B0EA0"/>
    <w:rsid w:val="008B1161"/>
    <w:rsid w:val="008B13D1"/>
    <w:rsid w:val="008B17EC"/>
    <w:rsid w:val="008B20A5"/>
    <w:rsid w:val="008B25BC"/>
    <w:rsid w:val="008B2BBD"/>
    <w:rsid w:val="008B2D5E"/>
    <w:rsid w:val="008B2DE0"/>
    <w:rsid w:val="008B2FBE"/>
    <w:rsid w:val="008B3413"/>
    <w:rsid w:val="008B4FD6"/>
    <w:rsid w:val="008B553F"/>
    <w:rsid w:val="008B6DC6"/>
    <w:rsid w:val="008C0AD8"/>
    <w:rsid w:val="008C0B6A"/>
    <w:rsid w:val="008C2AA5"/>
    <w:rsid w:val="008C561C"/>
    <w:rsid w:val="008C631A"/>
    <w:rsid w:val="008C7D53"/>
    <w:rsid w:val="008D0A30"/>
    <w:rsid w:val="008D10A1"/>
    <w:rsid w:val="008D10B2"/>
    <w:rsid w:val="008D2B65"/>
    <w:rsid w:val="008D426B"/>
    <w:rsid w:val="008D4850"/>
    <w:rsid w:val="008D4ECC"/>
    <w:rsid w:val="008D4ED8"/>
    <w:rsid w:val="008D7D98"/>
    <w:rsid w:val="008E15AF"/>
    <w:rsid w:val="008E1795"/>
    <w:rsid w:val="008E2190"/>
    <w:rsid w:val="008E24E4"/>
    <w:rsid w:val="008E2CC9"/>
    <w:rsid w:val="008E38B0"/>
    <w:rsid w:val="008E3A13"/>
    <w:rsid w:val="008E4353"/>
    <w:rsid w:val="008E44BD"/>
    <w:rsid w:val="008E48F5"/>
    <w:rsid w:val="008E4B1E"/>
    <w:rsid w:val="008E712C"/>
    <w:rsid w:val="008E73AD"/>
    <w:rsid w:val="008E7D29"/>
    <w:rsid w:val="008F039C"/>
    <w:rsid w:val="008F1CFC"/>
    <w:rsid w:val="008F1E4D"/>
    <w:rsid w:val="008F1F7E"/>
    <w:rsid w:val="008F2000"/>
    <w:rsid w:val="008F3489"/>
    <w:rsid w:val="008F3B64"/>
    <w:rsid w:val="008F5860"/>
    <w:rsid w:val="008F6127"/>
    <w:rsid w:val="008F6BF3"/>
    <w:rsid w:val="008F6D4C"/>
    <w:rsid w:val="009002DA"/>
    <w:rsid w:val="00900FDB"/>
    <w:rsid w:val="00903FB3"/>
    <w:rsid w:val="00904A03"/>
    <w:rsid w:val="00904DFE"/>
    <w:rsid w:val="00904E70"/>
    <w:rsid w:val="00905C33"/>
    <w:rsid w:val="0091037D"/>
    <w:rsid w:val="0091088D"/>
    <w:rsid w:val="00911ADB"/>
    <w:rsid w:val="00911BCB"/>
    <w:rsid w:val="009122A8"/>
    <w:rsid w:val="009127DE"/>
    <w:rsid w:val="009138C9"/>
    <w:rsid w:val="00913B35"/>
    <w:rsid w:val="00914677"/>
    <w:rsid w:val="0091491A"/>
    <w:rsid w:val="00915468"/>
    <w:rsid w:val="009156C3"/>
    <w:rsid w:val="00915D7C"/>
    <w:rsid w:val="009171CC"/>
    <w:rsid w:val="0092099B"/>
    <w:rsid w:val="00921450"/>
    <w:rsid w:val="00923501"/>
    <w:rsid w:val="00924082"/>
    <w:rsid w:val="00924FDD"/>
    <w:rsid w:val="009254C7"/>
    <w:rsid w:val="00925E8C"/>
    <w:rsid w:val="00926ACD"/>
    <w:rsid w:val="00927632"/>
    <w:rsid w:val="00927970"/>
    <w:rsid w:val="009304F4"/>
    <w:rsid w:val="00931BD2"/>
    <w:rsid w:val="0093200E"/>
    <w:rsid w:val="009321B8"/>
    <w:rsid w:val="009324B7"/>
    <w:rsid w:val="00932C6F"/>
    <w:rsid w:val="00932F1F"/>
    <w:rsid w:val="00933285"/>
    <w:rsid w:val="0093560A"/>
    <w:rsid w:val="00935CD0"/>
    <w:rsid w:val="009366B0"/>
    <w:rsid w:val="009403CD"/>
    <w:rsid w:val="009404F2"/>
    <w:rsid w:val="00940571"/>
    <w:rsid w:val="00940B51"/>
    <w:rsid w:val="00940D1D"/>
    <w:rsid w:val="009411C8"/>
    <w:rsid w:val="00942953"/>
    <w:rsid w:val="00943361"/>
    <w:rsid w:val="0094376E"/>
    <w:rsid w:val="00944165"/>
    <w:rsid w:val="00944404"/>
    <w:rsid w:val="009454F2"/>
    <w:rsid w:val="009460AE"/>
    <w:rsid w:val="009465F0"/>
    <w:rsid w:val="0095084B"/>
    <w:rsid w:val="00951786"/>
    <w:rsid w:val="00951B9D"/>
    <w:rsid w:val="00952ED2"/>
    <w:rsid w:val="00954786"/>
    <w:rsid w:val="00954822"/>
    <w:rsid w:val="009555BF"/>
    <w:rsid w:val="00956B59"/>
    <w:rsid w:val="009576AD"/>
    <w:rsid w:val="009623E8"/>
    <w:rsid w:val="009623EB"/>
    <w:rsid w:val="0096445B"/>
    <w:rsid w:val="00964B4F"/>
    <w:rsid w:val="009657AC"/>
    <w:rsid w:val="00965BA6"/>
    <w:rsid w:val="00965E30"/>
    <w:rsid w:val="009679A3"/>
    <w:rsid w:val="00970644"/>
    <w:rsid w:val="00970B7E"/>
    <w:rsid w:val="009716E4"/>
    <w:rsid w:val="00971983"/>
    <w:rsid w:val="00972D61"/>
    <w:rsid w:val="00973AB3"/>
    <w:rsid w:val="00974FC1"/>
    <w:rsid w:val="00977777"/>
    <w:rsid w:val="0098101F"/>
    <w:rsid w:val="009813CA"/>
    <w:rsid w:val="0098228F"/>
    <w:rsid w:val="009826B1"/>
    <w:rsid w:val="0098292D"/>
    <w:rsid w:val="0098389A"/>
    <w:rsid w:val="00983DE6"/>
    <w:rsid w:val="009843EA"/>
    <w:rsid w:val="00985590"/>
    <w:rsid w:val="0098575F"/>
    <w:rsid w:val="00990924"/>
    <w:rsid w:val="009914DB"/>
    <w:rsid w:val="00992296"/>
    <w:rsid w:val="00992385"/>
    <w:rsid w:val="00992707"/>
    <w:rsid w:val="00993387"/>
    <w:rsid w:val="00995DC6"/>
    <w:rsid w:val="00996D30"/>
    <w:rsid w:val="00997070"/>
    <w:rsid w:val="009A00C7"/>
    <w:rsid w:val="009A021C"/>
    <w:rsid w:val="009A1F84"/>
    <w:rsid w:val="009A3C01"/>
    <w:rsid w:val="009A4668"/>
    <w:rsid w:val="009A63A9"/>
    <w:rsid w:val="009A6DA4"/>
    <w:rsid w:val="009A7F4F"/>
    <w:rsid w:val="009B0297"/>
    <w:rsid w:val="009B1E9E"/>
    <w:rsid w:val="009B2369"/>
    <w:rsid w:val="009B31AA"/>
    <w:rsid w:val="009B31FD"/>
    <w:rsid w:val="009B41ED"/>
    <w:rsid w:val="009B4ABF"/>
    <w:rsid w:val="009B4E5F"/>
    <w:rsid w:val="009B617E"/>
    <w:rsid w:val="009B6A4C"/>
    <w:rsid w:val="009B726E"/>
    <w:rsid w:val="009B7EF0"/>
    <w:rsid w:val="009C03F7"/>
    <w:rsid w:val="009C0696"/>
    <w:rsid w:val="009C1271"/>
    <w:rsid w:val="009C1504"/>
    <w:rsid w:val="009C28F6"/>
    <w:rsid w:val="009C2E51"/>
    <w:rsid w:val="009C5008"/>
    <w:rsid w:val="009C5AD1"/>
    <w:rsid w:val="009C5BDA"/>
    <w:rsid w:val="009D0552"/>
    <w:rsid w:val="009D0749"/>
    <w:rsid w:val="009D11AB"/>
    <w:rsid w:val="009D20E3"/>
    <w:rsid w:val="009D4D16"/>
    <w:rsid w:val="009D58E2"/>
    <w:rsid w:val="009D5969"/>
    <w:rsid w:val="009D6D32"/>
    <w:rsid w:val="009D6EB7"/>
    <w:rsid w:val="009E095E"/>
    <w:rsid w:val="009E21E8"/>
    <w:rsid w:val="009E2685"/>
    <w:rsid w:val="009E3162"/>
    <w:rsid w:val="009E3B8C"/>
    <w:rsid w:val="009E4971"/>
    <w:rsid w:val="009E687F"/>
    <w:rsid w:val="009E7749"/>
    <w:rsid w:val="009E7ECC"/>
    <w:rsid w:val="009F2563"/>
    <w:rsid w:val="009F2B5C"/>
    <w:rsid w:val="009F2F3D"/>
    <w:rsid w:val="009F379B"/>
    <w:rsid w:val="009F4450"/>
    <w:rsid w:val="009F4563"/>
    <w:rsid w:val="009F4CD6"/>
    <w:rsid w:val="009F50EF"/>
    <w:rsid w:val="009F638E"/>
    <w:rsid w:val="009F676D"/>
    <w:rsid w:val="00A01483"/>
    <w:rsid w:val="00A01608"/>
    <w:rsid w:val="00A04225"/>
    <w:rsid w:val="00A042E4"/>
    <w:rsid w:val="00A047AA"/>
    <w:rsid w:val="00A048BA"/>
    <w:rsid w:val="00A04BE6"/>
    <w:rsid w:val="00A0603F"/>
    <w:rsid w:val="00A060EF"/>
    <w:rsid w:val="00A064DF"/>
    <w:rsid w:val="00A06821"/>
    <w:rsid w:val="00A06ABC"/>
    <w:rsid w:val="00A07989"/>
    <w:rsid w:val="00A07E6F"/>
    <w:rsid w:val="00A1002A"/>
    <w:rsid w:val="00A12115"/>
    <w:rsid w:val="00A123BC"/>
    <w:rsid w:val="00A130F5"/>
    <w:rsid w:val="00A13506"/>
    <w:rsid w:val="00A14DA8"/>
    <w:rsid w:val="00A15AEE"/>
    <w:rsid w:val="00A16AAA"/>
    <w:rsid w:val="00A17552"/>
    <w:rsid w:val="00A20218"/>
    <w:rsid w:val="00A20DDB"/>
    <w:rsid w:val="00A24DCA"/>
    <w:rsid w:val="00A25EF4"/>
    <w:rsid w:val="00A25EF8"/>
    <w:rsid w:val="00A278EC"/>
    <w:rsid w:val="00A303ED"/>
    <w:rsid w:val="00A31291"/>
    <w:rsid w:val="00A32340"/>
    <w:rsid w:val="00A325DF"/>
    <w:rsid w:val="00A3374E"/>
    <w:rsid w:val="00A3386B"/>
    <w:rsid w:val="00A33D39"/>
    <w:rsid w:val="00A341E6"/>
    <w:rsid w:val="00A35CF2"/>
    <w:rsid w:val="00A3734D"/>
    <w:rsid w:val="00A375ED"/>
    <w:rsid w:val="00A40763"/>
    <w:rsid w:val="00A40D03"/>
    <w:rsid w:val="00A41896"/>
    <w:rsid w:val="00A447D7"/>
    <w:rsid w:val="00A45B6A"/>
    <w:rsid w:val="00A45DE5"/>
    <w:rsid w:val="00A462DD"/>
    <w:rsid w:val="00A4793C"/>
    <w:rsid w:val="00A47D2D"/>
    <w:rsid w:val="00A50993"/>
    <w:rsid w:val="00A50FEA"/>
    <w:rsid w:val="00A513A0"/>
    <w:rsid w:val="00A51C5E"/>
    <w:rsid w:val="00A53A42"/>
    <w:rsid w:val="00A55BF6"/>
    <w:rsid w:val="00A56392"/>
    <w:rsid w:val="00A5648F"/>
    <w:rsid w:val="00A566E5"/>
    <w:rsid w:val="00A56AAE"/>
    <w:rsid w:val="00A56E41"/>
    <w:rsid w:val="00A57A89"/>
    <w:rsid w:val="00A60056"/>
    <w:rsid w:val="00A60508"/>
    <w:rsid w:val="00A606D4"/>
    <w:rsid w:val="00A6117F"/>
    <w:rsid w:val="00A62D74"/>
    <w:rsid w:val="00A64960"/>
    <w:rsid w:val="00A6517B"/>
    <w:rsid w:val="00A6523F"/>
    <w:rsid w:val="00A67460"/>
    <w:rsid w:val="00A6778A"/>
    <w:rsid w:val="00A67E98"/>
    <w:rsid w:val="00A703BD"/>
    <w:rsid w:val="00A70565"/>
    <w:rsid w:val="00A70D8C"/>
    <w:rsid w:val="00A710BC"/>
    <w:rsid w:val="00A7225A"/>
    <w:rsid w:val="00A732C7"/>
    <w:rsid w:val="00A73EDD"/>
    <w:rsid w:val="00A74865"/>
    <w:rsid w:val="00A7498E"/>
    <w:rsid w:val="00A753BD"/>
    <w:rsid w:val="00A75746"/>
    <w:rsid w:val="00A7662B"/>
    <w:rsid w:val="00A766CF"/>
    <w:rsid w:val="00A768CD"/>
    <w:rsid w:val="00A769C6"/>
    <w:rsid w:val="00A775EF"/>
    <w:rsid w:val="00A77996"/>
    <w:rsid w:val="00A77ACA"/>
    <w:rsid w:val="00A80469"/>
    <w:rsid w:val="00A807A6"/>
    <w:rsid w:val="00A80C40"/>
    <w:rsid w:val="00A8155C"/>
    <w:rsid w:val="00A84147"/>
    <w:rsid w:val="00A843AB"/>
    <w:rsid w:val="00A848EE"/>
    <w:rsid w:val="00A865A1"/>
    <w:rsid w:val="00A87820"/>
    <w:rsid w:val="00A90400"/>
    <w:rsid w:val="00A91132"/>
    <w:rsid w:val="00A915E3"/>
    <w:rsid w:val="00A919EB"/>
    <w:rsid w:val="00A9266F"/>
    <w:rsid w:val="00A92ED9"/>
    <w:rsid w:val="00A92F94"/>
    <w:rsid w:val="00A94276"/>
    <w:rsid w:val="00A969B0"/>
    <w:rsid w:val="00AA1714"/>
    <w:rsid w:val="00AA2519"/>
    <w:rsid w:val="00AA2AFA"/>
    <w:rsid w:val="00AA2F9A"/>
    <w:rsid w:val="00AA3444"/>
    <w:rsid w:val="00AA37F2"/>
    <w:rsid w:val="00AA3A96"/>
    <w:rsid w:val="00AA3E6F"/>
    <w:rsid w:val="00AA4515"/>
    <w:rsid w:val="00AA4F61"/>
    <w:rsid w:val="00AA5926"/>
    <w:rsid w:val="00AA59BF"/>
    <w:rsid w:val="00AA6C70"/>
    <w:rsid w:val="00AB19B4"/>
    <w:rsid w:val="00AB25FD"/>
    <w:rsid w:val="00AB4210"/>
    <w:rsid w:val="00AB592F"/>
    <w:rsid w:val="00AB5CF9"/>
    <w:rsid w:val="00AC073C"/>
    <w:rsid w:val="00AC119F"/>
    <w:rsid w:val="00AC2CBD"/>
    <w:rsid w:val="00AC647C"/>
    <w:rsid w:val="00AC65B9"/>
    <w:rsid w:val="00AC6F05"/>
    <w:rsid w:val="00AD0A48"/>
    <w:rsid w:val="00AD1B45"/>
    <w:rsid w:val="00AD1DDA"/>
    <w:rsid w:val="00AD24D6"/>
    <w:rsid w:val="00AD2B9A"/>
    <w:rsid w:val="00AD3442"/>
    <w:rsid w:val="00AD352B"/>
    <w:rsid w:val="00AD3C75"/>
    <w:rsid w:val="00AD4D4D"/>
    <w:rsid w:val="00AD4FEE"/>
    <w:rsid w:val="00AD6B37"/>
    <w:rsid w:val="00AE1258"/>
    <w:rsid w:val="00AE1A3A"/>
    <w:rsid w:val="00AE26D3"/>
    <w:rsid w:val="00AE3C2F"/>
    <w:rsid w:val="00AE3EC7"/>
    <w:rsid w:val="00AE49CA"/>
    <w:rsid w:val="00AE585F"/>
    <w:rsid w:val="00AE5BE1"/>
    <w:rsid w:val="00AE6025"/>
    <w:rsid w:val="00AF0D71"/>
    <w:rsid w:val="00AF11F7"/>
    <w:rsid w:val="00AF2DF9"/>
    <w:rsid w:val="00AF3648"/>
    <w:rsid w:val="00AF3AB8"/>
    <w:rsid w:val="00AF3C51"/>
    <w:rsid w:val="00AF4070"/>
    <w:rsid w:val="00AF5280"/>
    <w:rsid w:val="00AF5BF3"/>
    <w:rsid w:val="00AF65C6"/>
    <w:rsid w:val="00AF667C"/>
    <w:rsid w:val="00AF71BD"/>
    <w:rsid w:val="00AF7D12"/>
    <w:rsid w:val="00B025E1"/>
    <w:rsid w:val="00B02E9E"/>
    <w:rsid w:val="00B03247"/>
    <w:rsid w:val="00B03472"/>
    <w:rsid w:val="00B0347F"/>
    <w:rsid w:val="00B03566"/>
    <w:rsid w:val="00B043DF"/>
    <w:rsid w:val="00B043EB"/>
    <w:rsid w:val="00B051C1"/>
    <w:rsid w:val="00B054C9"/>
    <w:rsid w:val="00B06EC6"/>
    <w:rsid w:val="00B07ECA"/>
    <w:rsid w:val="00B1064A"/>
    <w:rsid w:val="00B118BE"/>
    <w:rsid w:val="00B11D45"/>
    <w:rsid w:val="00B12F6A"/>
    <w:rsid w:val="00B13183"/>
    <w:rsid w:val="00B14BC8"/>
    <w:rsid w:val="00B15F41"/>
    <w:rsid w:val="00B16818"/>
    <w:rsid w:val="00B173B9"/>
    <w:rsid w:val="00B23E50"/>
    <w:rsid w:val="00B253ED"/>
    <w:rsid w:val="00B25A35"/>
    <w:rsid w:val="00B307BE"/>
    <w:rsid w:val="00B30D50"/>
    <w:rsid w:val="00B363C7"/>
    <w:rsid w:val="00B366F3"/>
    <w:rsid w:val="00B36D49"/>
    <w:rsid w:val="00B36F88"/>
    <w:rsid w:val="00B37CC9"/>
    <w:rsid w:val="00B4233D"/>
    <w:rsid w:val="00B4398D"/>
    <w:rsid w:val="00B4426B"/>
    <w:rsid w:val="00B4447E"/>
    <w:rsid w:val="00B454E5"/>
    <w:rsid w:val="00B45639"/>
    <w:rsid w:val="00B45B52"/>
    <w:rsid w:val="00B46256"/>
    <w:rsid w:val="00B46391"/>
    <w:rsid w:val="00B464D8"/>
    <w:rsid w:val="00B47014"/>
    <w:rsid w:val="00B514E4"/>
    <w:rsid w:val="00B51DB3"/>
    <w:rsid w:val="00B51F55"/>
    <w:rsid w:val="00B525A5"/>
    <w:rsid w:val="00B52F3B"/>
    <w:rsid w:val="00B53600"/>
    <w:rsid w:val="00B561D4"/>
    <w:rsid w:val="00B56D20"/>
    <w:rsid w:val="00B571AF"/>
    <w:rsid w:val="00B5733B"/>
    <w:rsid w:val="00B5755F"/>
    <w:rsid w:val="00B57A50"/>
    <w:rsid w:val="00B60759"/>
    <w:rsid w:val="00B618FF"/>
    <w:rsid w:val="00B61ADD"/>
    <w:rsid w:val="00B62E64"/>
    <w:rsid w:val="00B63093"/>
    <w:rsid w:val="00B63D88"/>
    <w:rsid w:val="00B64104"/>
    <w:rsid w:val="00B66F9B"/>
    <w:rsid w:val="00B67029"/>
    <w:rsid w:val="00B67649"/>
    <w:rsid w:val="00B704F6"/>
    <w:rsid w:val="00B70B61"/>
    <w:rsid w:val="00B753F8"/>
    <w:rsid w:val="00B75EBE"/>
    <w:rsid w:val="00B769F5"/>
    <w:rsid w:val="00B8027E"/>
    <w:rsid w:val="00B80EB5"/>
    <w:rsid w:val="00B8159B"/>
    <w:rsid w:val="00B835B3"/>
    <w:rsid w:val="00B83892"/>
    <w:rsid w:val="00B84756"/>
    <w:rsid w:val="00B848D2"/>
    <w:rsid w:val="00B8612C"/>
    <w:rsid w:val="00B86AB4"/>
    <w:rsid w:val="00B87186"/>
    <w:rsid w:val="00B909C8"/>
    <w:rsid w:val="00B90F98"/>
    <w:rsid w:val="00B9136F"/>
    <w:rsid w:val="00B92D7C"/>
    <w:rsid w:val="00B92F75"/>
    <w:rsid w:val="00B9330A"/>
    <w:rsid w:val="00B937F5"/>
    <w:rsid w:val="00B93C89"/>
    <w:rsid w:val="00B95322"/>
    <w:rsid w:val="00B95AB1"/>
    <w:rsid w:val="00B96479"/>
    <w:rsid w:val="00BA07EB"/>
    <w:rsid w:val="00BA1305"/>
    <w:rsid w:val="00BA2EC3"/>
    <w:rsid w:val="00BA301F"/>
    <w:rsid w:val="00BA3599"/>
    <w:rsid w:val="00BA3FE0"/>
    <w:rsid w:val="00BA4853"/>
    <w:rsid w:val="00BA5858"/>
    <w:rsid w:val="00BA660E"/>
    <w:rsid w:val="00BA6EC9"/>
    <w:rsid w:val="00BA7AE4"/>
    <w:rsid w:val="00BA7C0A"/>
    <w:rsid w:val="00BB17FF"/>
    <w:rsid w:val="00BB23C6"/>
    <w:rsid w:val="00BB2F23"/>
    <w:rsid w:val="00BB4309"/>
    <w:rsid w:val="00BB4599"/>
    <w:rsid w:val="00BB477C"/>
    <w:rsid w:val="00BB4989"/>
    <w:rsid w:val="00BB7818"/>
    <w:rsid w:val="00BC0F74"/>
    <w:rsid w:val="00BC18C9"/>
    <w:rsid w:val="00BC2261"/>
    <w:rsid w:val="00BC2364"/>
    <w:rsid w:val="00BC241A"/>
    <w:rsid w:val="00BC37F8"/>
    <w:rsid w:val="00BC3F0A"/>
    <w:rsid w:val="00BC3FBD"/>
    <w:rsid w:val="00BC4BDB"/>
    <w:rsid w:val="00BC554B"/>
    <w:rsid w:val="00BC5660"/>
    <w:rsid w:val="00BC58E2"/>
    <w:rsid w:val="00BC5F30"/>
    <w:rsid w:val="00BC6D2F"/>
    <w:rsid w:val="00BC7843"/>
    <w:rsid w:val="00BD02D5"/>
    <w:rsid w:val="00BD0C95"/>
    <w:rsid w:val="00BD0FD2"/>
    <w:rsid w:val="00BD14DB"/>
    <w:rsid w:val="00BD269C"/>
    <w:rsid w:val="00BD274D"/>
    <w:rsid w:val="00BD3A81"/>
    <w:rsid w:val="00BD3FB1"/>
    <w:rsid w:val="00BD492C"/>
    <w:rsid w:val="00BD73FE"/>
    <w:rsid w:val="00BD7C73"/>
    <w:rsid w:val="00BE0039"/>
    <w:rsid w:val="00BE013D"/>
    <w:rsid w:val="00BE2424"/>
    <w:rsid w:val="00BE250A"/>
    <w:rsid w:val="00BE2B7F"/>
    <w:rsid w:val="00BE3DFC"/>
    <w:rsid w:val="00BE4A83"/>
    <w:rsid w:val="00BE4F62"/>
    <w:rsid w:val="00BF12AD"/>
    <w:rsid w:val="00BF24C3"/>
    <w:rsid w:val="00BF4EC9"/>
    <w:rsid w:val="00BF5846"/>
    <w:rsid w:val="00BF5956"/>
    <w:rsid w:val="00BF63FC"/>
    <w:rsid w:val="00C0034B"/>
    <w:rsid w:val="00C00A5E"/>
    <w:rsid w:val="00C00FC7"/>
    <w:rsid w:val="00C0170E"/>
    <w:rsid w:val="00C01A2B"/>
    <w:rsid w:val="00C0258B"/>
    <w:rsid w:val="00C027A2"/>
    <w:rsid w:val="00C03008"/>
    <w:rsid w:val="00C04045"/>
    <w:rsid w:val="00C044ED"/>
    <w:rsid w:val="00C0466D"/>
    <w:rsid w:val="00C04E8C"/>
    <w:rsid w:val="00C106BB"/>
    <w:rsid w:val="00C10B09"/>
    <w:rsid w:val="00C11337"/>
    <w:rsid w:val="00C11B28"/>
    <w:rsid w:val="00C134E3"/>
    <w:rsid w:val="00C144C4"/>
    <w:rsid w:val="00C14B93"/>
    <w:rsid w:val="00C164C4"/>
    <w:rsid w:val="00C1661A"/>
    <w:rsid w:val="00C1776A"/>
    <w:rsid w:val="00C219B9"/>
    <w:rsid w:val="00C23705"/>
    <w:rsid w:val="00C23764"/>
    <w:rsid w:val="00C24FF7"/>
    <w:rsid w:val="00C25E04"/>
    <w:rsid w:val="00C27275"/>
    <w:rsid w:val="00C30678"/>
    <w:rsid w:val="00C314C2"/>
    <w:rsid w:val="00C31943"/>
    <w:rsid w:val="00C349BB"/>
    <w:rsid w:val="00C352C3"/>
    <w:rsid w:val="00C356C5"/>
    <w:rsid w:val="00C35A37"/>
    <w:rsid w:val="00C35AD5"/>
    <w:rsid w:val="00C35E67"/>
    <w:rsid w:val="00C36421"/>
    <w:rsid w:val="00C4054A"/>
    <w:rsid w:val="00C40A09"/>
    <w:rsid w:val="00C40A50"/>
    <w:rsid w:val="00C419B5"/>
    <w:rsid w:val="00C41A50"/>
    <w:rsid w:val="00C422A1"/>
    <w:rsid w:val="00C42DE0"/>
    <w:rsid w:val="00C43416"/>
    <w:rsid w:val="00C43B0A"/>
    <w:rsid w:val="00C45236"/>
    <w:rsid w:val="00C45424"/>
    <w:rsid w:val="00C46C66"/>
    <w:rsid w:val="00C5119C"/>
    <w:rsid w:val="00C53601"/>
    <w:rsid w:val="00C537B0"/>
    <w:rsid w:val="00C537CF"/>
    <w:rsid w:val="00C53B52"/>
    <w:rsid w:val="00C555CB"/>
    <w:rsid w:val="00C5608E"/>
    <w:rsid w:val="00C56C07"/>
    <w:rsid w:val="00C5712C"/>
    <w:rsid w:val="00C613A9"/>
    <w:rsid w:val="00C654C0"/>
    <w:rsid w:val="00C656BE"/>
    <w:rsid w:val="00C66E8F"/>
    <w:rsid w:val="00C70A5A"/>
    <w:rsid w:val="00C71390"/>
    <w:rsid w:val="00C71EEA"/>
    <w:rsid w:val="00C7277E"/>
    <w:rsid w:val="00C72CF8"/>
    <w:rsid w:val="00C732BA"/>
    <w:rsid w:val="00C732D8"/>
    <w:rsid w:val="00C73DF7"/>
    <w:rsid w:val="00C756D4"/>
    <w:rsid w:val="00C7709A"/>
    <w:rsid w:val="00C77EFE"/>
    <w:rsid w:val="00C80034"/>
    <w:rsid w:val="00C800F6"/>
    <w:rsid w:val="00C80A72"/>
    <w:rsid w:val="00C8128F"/>
    <w:rsid w:val="00C81936"/>
    <w:rsid w:val="00C844CF"/>
    <w:rsid w:val="00C8470A"/>
    <w:rsid w:val="00C847C6"/>
    <w:rsid w:val="00C8702F"/>
    <w:rsid w:val="00C87ACA"/>
    <w:rsid w:val="00C90F92"/>
    <w:rsid w:val="00C916C1"/>
    <w:rsid w:val="00C91E71"/>
    <w:rsid w:val="00C929E0"/>
    <w:rsid w:val="00C9361D"/>
    <w:rsid w:val="00C937F3"/>
    <w:rsid w:val="00C96CF2"/>
    <w:rsid w:val="00CA046E"/>
    <w:rsid w:val="00CA0687"/>
    <w:rsid w:val="00CA0817"/>
    <w:rsid w:val="00CA13A4"/>
    <w:rsid w:val="00CA378A"/>
    <w:rsid w:val="00CA3C4A"/>
    <w:rsid w:val="00CA4373"/>
    <w:rsid w:val="00CA4694"/>
    <w:rsid w:val="00CA57D5"/>
    <w:rsid w:val="00CA63E9"/>
    <w:rsid w:val="00CB002C"/>
    <w:rsid w:val="00CB0042"/>
    <w:rsid w:val="00CB1246"/>
    <w:rsid w:val="00CB19B1"/>
    <w:rsid w:val="00CB2517"/>
    <w:rsid w:val="00CB36F5"/>
    <w:rsid w:val="00CB3865"/>
    <w:rsid w:val="00CB5340"/>
    <w:rsid w:val="00CB577A"/>
    <w:rsid w:val="00CB6CAD"/>
    <w:rsid w:val="00CC03F2"/>
    <w:rsid w:val="00CC0D1E"/>
    <w:rsid w:val="00CC12FC"/>
    <w:rsid w:val="00CC18FB"/>
    <w:rsid w:val="00CC1ACA"/>
    <w:rsid w:val="00CC1FD0"/>
    <w:rsid w:val="00CC3012"/>
    <w:rsid w:val="00CC307D"/>
    <w:rsid w:val="00CC3388"/>
    <w:rsid w:val="00CC3A47"/>
    <w:rsid w:val="00CC4BAB"/>
    <w:rsid w:val="00CC4D92"/>
    <w:rsid w:val="00CC716A"/>
    <w:rsid w:val="00CD0FAB"/>
    <w:rsid w:val="00CD1675"/>
    <w:rsid w:val="00CD2E7C"/>
    <w:rsid w:val="00CD45FB"/>
    <w:rsid w:val="00CD485D"/>
    <w:rsid w:val="00CD4D1F"/>
    <w:rsid w:val="00CD610E"/>
    <w:rsid w:val="00CD68C1"/>
    <w:rsid w:val="00CE109A"/>
    <w:rsid w:val="00CE147A"/>
    <w:rsid w:val="00CE3B4B"/>
    <w:rsid w:val="00CE4476"/>
    <w:rsid w:val="00CE45AB"/>
    <w:rsid w:val="00CE4BCD"/>
    <w:rsid w:val="00CE643D"/>
    <w:rsid w:val="00CE713A"/>
    <w:rsid w:val="00CE78F3"/>
    <w:rsid w:val="00CF0784"/>
    <w:rsid w:val="00CF0AFE"/>
    <w:rsid w:val="00CF1127"/>
    <w:rsid w:val="00CF1692"/>
    <w:rsid w:val="00CF16F8"/>
    <w:rsid w:val="00CF2558"/>
    <w:rsid w:val="00CF2B9D"/>
    <w:rsid w:val="00CF2CEB"/>
    <w:rsid w:val="00CF3684"/>
    <w:rsid w:val="00CF5146"/>
    <w:rsid w:val="00CF583A"/>
    <w:rsid w:val="00CF5C56"/>
    <w:rsid w:val="00CF61CE"/>
    <w:rsid w:val="00CF6772"/>
    <w:rsid w:val="00CF7516"/>
    <w:rsid w:val="00D01210"/>
    <w:rsid w:val="00D0162B"/>
    <w:rsid w:val="00D0209F"/>
    <w:rsid w:val="00D02162"/>
    <w:rsid w:val="00D031A5"/>
    <w:rsid w:val="00D0382A"/>
    <w:rsid w:val="00D038D5"/>
    <w:rsid w:val="00D039EA"/>
    <w:rsid w:val="00D039F4"/>
    <w:rsid w:val="00D0432E"/>
    <w:rsid w:val="00D04483"/>
    <w:rsid w:val="00D04746"/>
    <w:rsid w:val="00D05B2E"/>
    <w:rsid w:val="00D06FED"/>
    <w:rsid w:val="00D07131"/>
    <w:rsid w:val="00D0714E"/>
    <w:rsid w:val="00D10130"/>
    <w:rsid w:val="00D11A43"/>
    <w:rsid w:val="00D12045"/>
    <w:rsid w:val="00D12169"/>
    <w:rsid w:val="00D12B57"/>
    <w:rsid w:val="00D13241"/>
    <w:rsid w:val="00D13AC5"/>
    <w:rsid w:val="00D13B1F"/>
    <w:rsid w:val="00D14448"/>
    <w:rsid w:val="00D15267"/>
    <w:rsid w:val="00D15EE4"/>
    <w:rsid w:val="00D17CAA"/>
    <w:rsid w:val="00D2055D"/>
    <w:rsid w:val="00D217F2"/>
    <w:rsid w:val="00D23B59"/>
    <w:rsid w:val="00D254CB"/>
    <w:rsid w:val="00D3189E"/>
    <w:rsid w:val="00D32AAB"/>
    <w:rsid w:val="00D32C56"/>
    <w:rsid w:val="00D331CF"/>
    <w:rsid w:val="00D34AEA"/>
    <w:rsid w:val="00D3569D"/>
    <w:rsid w:val="00D356F0"/>
    <w:rsid w:val="00D36A07"/>
    <w:rsid w:val="00D370E1"/>
    <w:rsid w:val="00D3752C"/>
    <w:rsid w:val="00D37D13"/>
    <w:rsid w:val="00D4077A"/>
    <w:rsid w:val="00D42091"/>
    <w:rsid w:val="00D42E93"/>
    <w:rsid w:val="00D4372E"/>
    <w:rsid w:val="00D44B83"/>
    <w:rsid w:val="00D4553D"/>
    <w:rsid w:val="00D45BB5"/>
    <w:rsid w:val="00D47996"/>
    <w:rsid w:val="00D50E82"/>
    <w:rsid w:val="00D50EF1"/>
    <w:rsid w:val="00D51166"/>
    <w:rsid w:val="00D5136B"/>
    <w:rsid w:val="00D51470"/>
    <w:rsid w:val="00D521C2"/>
    <w:rsid w:val="00D531C2"/>
    <w:rsid w:val="00D53DA5"/>
    <w:rsid w:val="00D54766"/>
    <w:rsid w:val="00D547D2"/>
    <w:rsid w:val="00D55C69"/>
    <w:rsid w:val="00D5611F"/>
    <w:rsid w:val="00D56434"/>
    <w:rsid w:val="00D566AD"/>
    <w:rsid w:val="00D56717"/>
    <w:rsid w:val="00D62E8A"/>
    <w:rsid w:val="00D656EE"/>
    <w:rsid w:val="00D65845"/>
    <w:rsid w:val="00D67546"/>
    <w:rsid w:val="00D67F22"/>
    <w:rsid w:val="00D7049F"/>
    <w:rsid w:val="00D7050A"/>
    <w:rsid w:val="00D70BC0"/>
    <w:rsid w:val="00D71714"/>
    <w:rsid w:val="00D74830"/>
    <w:rsid w:val="00D748A9"/>
    <w:rsid w:val="00D75B42"/>
    <w:rsid w:val="00D75FAC"/>
    <w:rsid w:val="00D76592"/>
    <w:rsid w:val="00D76E70"/>
    <w:rsid w:val="00D77EC8"/>
    <w:rsid w:val="00D8077A"/>
    <w:rsid w:val="00D80B43"/>
    <w:rsid w:val="00D812F3"/>
    <w:rsid w:val="00D8182C"/>
    <w:rsid w:val="00D828B4"/>
    <w:rsid w:val="00D82C50"/>
    <w:rsid w:val="00D837B5"/>
    <w:rsid w:val="00D8474B"/>
    <w:rsid w:val="00D84825"/>
    <w:rsid w:val="00D8511B"/>
    <w:rsid w:val="00D864AB"/>
    <w:rsid w:val="00D90290"/>
    <w:rsid w:val="00D91575"/>
    <w:rsid w:val="00D91652"/>
    <w:rsid w:val="00D92B6F"/>
    <w:rsid w:val="00D93BD5"/>
    <w:rsid w:val="00D93D93"/>
    <w:rsid w:val="00D93DF0"/>
    <w:rsid w:val="00D95310"/>
    <w:rsid w:val="00D95A1B"/>
    <w:rsid w:val="00DA21F1"/>
    <w:rsid w:val="00DA3127"/>
    <w:rsid w:val="00DA369B"/>
    <w:rsid w:val="00DA3E05"/>
    <w:rsid w:val="00DA406E"/>
    <w:rsid w:val="00DA4091"/>
    <w:rsid w:val="00DA6313"/>
    <w:rsid w:val="00DA66C1"/>
    <w:rsid w:val="00DA6931"/>
    <w:rsid w:val="00DA6C13"/>
    <w:rsid w:val="00DB092D"/>
    <w:rsid w:val="00DB0BD6"/>
    <w:rsid w:val="00DB171B"/>
    <w:rsid w:val="00DB19A6"/>
    <w:rsid w:val="00DB2D88"/>
    <w:rsid w:val="00DB3BE1"/>
    <w:rsid w:val="00DB429E"/>
    <w:rsid w:val="00DB494A"/>
    <w:rsid w:val="00DB49D7"/>
    <w:rsid w:val="00DB7863"/>
    <w:rsid w:val="00DC01C2"/>
    <w:rsid w:val="00DC0290"/>
    <w:rsid w:val="00DC08AC"/>
    <w:rsid w:val="00DC1C22"/>
    <w:rsid w:val="00DC2424"/>
    <w:rsid w:val="00DC2CA9"/>
    <w:rsid w:val="00DC33BB"/>
    <w:rsid w:val="00DC3DD5"/>
    <w:rsid w:val="00DC55E4"/>
    <w:rsid w:val="00DC58CE"/>
    <w:rsid w:val="00DC6A28"/>
    <w:rsid w:val="00DC6CAD"/>
    <w:rsid w:val="00DC7024"/>
    <w:rsid w:val="00DC7ADF"/>
    <w:rsid w:val="00DD0EBC"/>
    <w:rsid w:val="00DD10F3"/>
    <w:rsid w:val="00DD19D4"/>
    <w:rsid w:val="00DD3B0D"/>
    <w:rsid w:val="00DD478A"/>
    <w:rsid w:val="00DD4DE8"/>
    <w:rsid w:val="00DD692F"/>
    <w:rsid w:val="00DD69F1"/>
    <w:rsid w:val="00DD79BA"/>
    <w:rsid w:val="00DE042F"/>
    <w:rsid w:val="00DE13C2"/>
    <w:rsid w:val="00DE144E"/>
    <w:rsid w:val="00DE1D05"/>
    <w:rsid w:val="00DE30FC"/>
    <w:rsid w:val="00DE3B63"/>
    <w:rsid w:val="00DE5C09"/>
    <w:rsid w:val="00DE6476"/>
    <w:rsid w:val="00DE6F9A"/>
    <w:rsid w:val="00DE7CA9"/>
    <w:rsid w:val="00DE7D95"/>
    <w:rsid w:val="00DE7DC4"/>
    <w:rsid w:val="00DF018C"/>
    <w:rsid w:val="00DF0756"/>
    <w:rsid w:val="00DF0F82"/>
    <w:rsid w:val="00DF14BA"/>
    <w:rsid w:val="00DF253F"/>
    <w:rsid w:val="00DF29B3"/>
    <w:rsid w:val="00DF41EA"/>
    <w:rsid w:val="00DF49C5"/>
    <w:rsid w:val="00DF59AE"/>
    <w:rsid w:val="00DF5CB7"/>
    <w:rsid w:val="00DF6016"/>
    <w:rsid w:val="00DF6F3C"/>
    <w:rsid w:val="00E01D64"/>
    <w:rsid w:val="00E0297C"/>
    <w:rsid w:val="00E02BA6"/>
    <w:rsid w:val="00E03208"/>
    <w:rsid w:val="00E03F63"/>
    <w:rsid w:val="00E04D7F"/>
    <w:rsid w:val="00E0527E"/>
    <w:rsid w:val="00E0572C"/>
    <w:rsid w:val="00E06023"/>
    <w:rsid w:val="00E072BD"/>
    <w:rsid w:val="00E07B14"/>
    <w:rsid w:val="00E1002C"/>
    <w:rsid w:val="00E10523"/>
    <w:rsid w:val="00E12325"/>
    <w:rsid w:val="00E12DF3"/>
    <w:rsid w:val="00E12F07"/>
    <w:rsid w:val="00E12FD3"/>
    <w:rsid w:val="00E1382A"/>
    <w:rsid w:val="00E13D0B"/>
    <w:rsid w:val="00E142EB"/>
    <w:rsid w:val="00E1603B"/>
    <w:rsid w:val="00E16B12"/>
    <w:rsid w:val="00E20800"/>
    <w:rsid w:val="00E20815"/>
    <w:rsid w:val="00E215D7"/>
    <w:rsid w:val="00E21DC2"/>
    <w:rsid w:val="00E21DF1"/>
    <w:rsid w:val="00E22249"/>
    <w:rsid w:val="00E22CD9"/>
    <w:rsid w:val="00E248A0"/>
    <w:rsid w:val="00E24BA6"/>
    <w:rsid w:val="00E24E56"/>
    <w:rsid w:val="00E253DC"/>
    <w:rsid w:val="00E253E5"/>
    <w:rsid w:val="00E27044"/>
    <w:rsid w:val="00E30750"/>
    <w:rsid w:val="00E3349F"/>
    <w:rsid w:val="00E34178"/>
    <w:rsid w:val="00E34714"/>
    <w:rsid w:val="00E36AA8"/>
    <w:rsid w:val="00E37CE3"/>
    <w:rsid w:val="00E405BE"/>
    <w:rsid w:val="00E4135C"/>
    <w:rsid w:val="00E4205C"/>
    <w:rsid w:val="00E4289C"/>
    <w:rsid w:val="00E428A4"/>
    <w:rsid w:val="00E42B16"/>
    <w:rsid w:val="00E435D2"/>
    <w:rsid w:val="00E43972"/>
    <w:rsid w:val="00E446AF"/>
    <w:rsid w:val="00E447A8"/>
    <w:rsid w:val="00E44E67"/>
    <w:rsid w:val="00E47465"/>
    <w:rsid w:val="00E4794A"/>
    <w:rsid w:val="00E47B06"/>
    <w:rsid w:val="00E47E1D"/>
    <w:rsid w:val="00E52900"/>
    <w:rsid w:val="00E54E93"/>
    <w:rsid w:val="00E55320"/>
    <w:rsid w:val="00E55FBC"/>
    <w:rsid w:val="00E56073"/>
    <w:rsid w:val="00E569F0"/>
    <w:rsid w:val="00E57003"/>
    <w:rsid w:val="00E5708A"/>
    <w:rsid w:val="00E57604"/>
    <w:rsid w:val="00E57971"/>
    <w:rsid w:val="00E60B7B"/>
    <w:rsid w:val="00E60F91"/>
    <w:rsid w:val="00E61C20"/>
    <w:rsid w:val="00E633F2"/>
    <w:rsid w:val="00E63ABA"/>
    <w:rsid w:val="00E65314"/>
    <w:rsid w:val="00E654BE"/>
    <w:rsid w:val="00E65860"/>
    <w:rsid w:val="00E667AC"/>
    <w:rsid w:val="00E6727A"/>
    <w:rsid w:val="00E67E96"/>
    <w:rsid w:val="00E70D05"/>
    <w:rsid w:val="00E71A47"/>
    <w:rsid w:val="00E72EBC"/>
    <w:rsid w:val="00E74DE4"/>
    <w:rsid w:val="00E74F55"/>
    <w:rsid w:val="00E7558D"/>
    <w:rsid w:val="00E75D35"/>
    <w:rsid w:val="00E75FF0"/>
    <w:rsid w:val="00E76470"/>
    <w:rsid w:val="00E777E3"/>
    <w:rsid w:val="00E77843"/>
    <w:rsid w:val="00E806AA"/>
    <w:rsid w:val="00E80AC4"/>
    <w:rsid w:val="00E80FFB"/>
    <w:rsid w:val="00E81702"/>
    <w:rsid w:val="00E81D54"/>
    <w:rsid w:val="00E822A3"/>
    <w:rsid w:val="00E82611"/>
    <w:rsid w:val="00E82913"/>
    <w:rsid w:val="00E84F49"/>
    <w:rsid w:val="00E86E9D"/>
    <w:rsid w:val="00E87CF8"/>
    <w:rsid w:val="00E91D7A"/>
    <w:rsid w:val="00E91EAE"/>
    <w:rsid w:val="00E92165"/>
    <w:rsid w:val="00E92F89"/>
    <w:rsid w:val="00E96526"/>
    <w:rsid w:val="00E97E65"/>
    <w:rsid w:val="00EA15FE"/>
    <w:rsid w:val="00EA1E17"/>
    <w:rsid w:val="00EA25B4"/>
    <w:rsid w:val="00EA265A"/>
    <w:rsid w:val="00EA340F"/>
    <w:rsid w:val="00EA37D9"/>
    <w:rsid w:val="00EA3823"/>
    <w:rsid w:val="00EA3AA7"/>
    <w:rsid w:val="00EA3EC3"/>
    <w:rsid w:val="00EA3EDC"/>
    <w:rsid w:val="00EA4E3E"/>
    <w:rsid w:val="00EA5C43"/>
    <w:rsid w:val="00EA637B"/>
    <w:rsid w:val="00EA65ED"/>
    <w:rsid w:val="00EA6B12"/>
    <w:rsid w:val="00EA7AB6"/>
    <w:rsid w:val="00EB00C1"/>
    <w:rsid w:val="00EB17E6"/>
    <w:rsid w:val="00EB37C6"/>
    <w:rsid w:val="00EB39F2"/>
    <w:rsid w:val="00EB4371"/>
    <w:rsid w:val="00EB616D"/>
    <w:rsid w:val="00EB6D7C"/>
    <w:rsid w:val="00EB6DC1"/>
    <w:rsid w:val="00EC0A86"/>
    <w:rsid w:val="00EC0D26"/>
    <w:rsid w:val="00EC1153"/>
    <w:rsid w:val="00EC1FA3"/>
    <w:rsid w:val="00EC297A"/>
    <w:rsid w:val="00EC3FCF"/>
    <w:rsid w:val="00EC3FDC"/>
    <w:rsid w:val="00EC48DA"/>
    <w:rsid w:val="00EC50A1"/>
    <w:rsid w:val="00EC59C8"/>
    <w:rsid w:val="00EC5B87"/>
    <w:rsid w:val="00EC78ED"/>
    <w:rsid w:val="00EC7FD0"/>
    <w:rsid w:val="00ED0E44"/>
    <w:rsid w:val="00ED1907"/>
    <w:rsid w:val="00ED2863"/>
    <w:rsid w:val="00ED3DFB"/>
    <w:rsid w:val="00ED456B"/>
    <w:rsid w:val="00ED59AC"/>
    <w:rsid w:val="00ED70C9"/>
    <w:rsid w:val="00ED7BA3"/>
    <w:rsid w:val="00ED7D7F"/>
    <w:rsid w:val="00EE09E0"/>
    <w:rsid w:val="00EE25DA"/>
    <w:rsid w:val="00EE31B8"/>
    <w:rsid w:val="00EE4903"/>
    <w:rsid w:val="00EE5358"/>
    <w:rsid w:val="00EE6102"/>
    <w:rsid w:val="00EE7204"/>
    <w:rsid w:val="00EF1DD0"/>
    <w:rsid w:val="00EF32FF"/>
    <w:rsid w:val="00EF3E43"/>
    <w:rsid w:val="00EF3F4A"/>
    <w:rsid w:val="00EF4AAF"/>
    <w:rsid w:val="00EF5B11"/>
    <w:rsid w:val="00EF5EBA"/>
    <w:rsid w:val="00EF64CE"/>
    <w:rsid w:val="00EF64D1"/>
    <w:rsid w:val="00F004A7"/>
    <w:rsid w:val="00F00685"/>
    <w:rsid w:val="00F006DF"/>
    <w:rsid w:val="00F01217"/>
    <w:rsid w:val="00F018EA"/>
    <w:rsid w:val="00F021A0"/>
    <w:rsid w:val="00F02C65"/>
    <w:rsid w:val="00F0439C"/>
    <w:rsid w:val="00F04FF2"/>
    <w:rsid w:val="00F06EFF"/>
    <w:rsid w:val="00F10081"/>
    <w:rsid w:val="00F101AB"/>
    <w:rsid w:val="00F106D5"/>
    <w:rsid w:val="00F10920"/>
    <w:rsid w:val="00F11039"/>
    <w:rsid w:val="00F119E3"/>
    <w:rsid w:val="00F11B5E"/>
    <w:rsid w:val="00F121E5"/>
    <w:rsid w:val="00F124FC"/>
    <w:rsid w:val="00F13508"/>
    <w:rsid w:val="00F1351E"/>
    <w:rsid w:val="00F150E4"/>
    <w:rsid w:val="00F1517A"/>
    <w:rsid w:val="00F159FA"/>
    <w:rsid w:val="00F16198"/>
    <w:rsid w:val="00F17242"/>
    <w:rsid w:val="00F17959"/>
    <w:rsid w:val="00F17F95"/>
    <w:rsid w:val="00F20690"/>
    <w:rsid w:val="00F207FC"/>
    <w:rsid w:val="00F209E0"/>
    <w:rsid w:val="00F218BA"/>
    <w:rsid w:val="00F22888"/>
    <w:rsid w:val="00F23932"/>
    <w:rsid w:val="00F23F98"/>
    <w:rsid w:val="00F2479E"/>
    <w:rsid w:val="00F2682B"/>
    <w:rsid w:val="00F27C63"/>
    <w:rsid w:val="00F30EB4"/>
    <w:rsid w:val="00F32904"/>
    <w:rsid w:val="00F33239"/>
    <w:rsid w:val="00F3356B"/>
    <w:rsid w:val="00F34220"/>
    <w:rsid w:val="00F364FE"/>
    <w:rsid w:val="00F37D39"/>
    <w:rsid w:val="00F403A9"/>
    <w:rsid w:val="00F4167C"/>
    <w:rsid w:val="00F41726"/>
    <w:rsid w:val="00F42F2D"/>
    <w:rsid w:val="00F43B07"/>
    <w:rsid w:val="00F43CF8"/>
    <w:rsid w:val="00F44517"/>
    <w:rsid w:val="00F45D82"/>
    <w:rsid w:val="00F46CFD"/>
    <w:rsid w:val="00F47E9A"/>
    <w:rsid w:val="00F51615"/>
    <w:rsid w:val="00F52242"/>
    <w:rsid w:val="00F52474"/>
    <w:rsid w:val="00F530C7"/>
    <w:rsid w:val="00F538DC"/>
    <w:rsid w:val="00F54418"/>
    <w:rsid w:val="00F554CF"/>
    <w:rsid w:val="00F56EB3"/>
    <w:rsid w:val="00F600C3"/>
    <w:rsid w:val="00F60930"/>
    <w:rsid w:val="00F609B8"/>
    <w:rsid w:val="00F62A33"/>
    <w:rsid w:val="00F63095"/>
    <w:rsid w:val="00F6421E"/>
    <w:rsid w:val="00F64551"/>
    <w:rsid w:val="00F6490D"/>
    <w:rsid w:val="00F66413"/>
    <w:rsid w:val="00F66545"/>
    <w:rsid w:val="00F665BA"/>
    <w:rsid w:val="00F6750C"/>
    <w:rsid w:val="00F67BAA"/>
    <w:rsid w:val="00F67C24"/>
    <w:rsid w:val="00F67F54"/>
    <w:rsid w:val="00F70FF8"/>
    <w:rsid w:val="00F71145"/>
    <w:rsid w:val="00F72372"/>
    <w:rsid w:val="00F72685"/>
    <w:rsid w:val="00F73EF7"/>
    <w:rsid w:val="00F77106"/>
    <w:rsid w:val="00F776C0"/>
    <w:rsid w:val="00F77D09"/>
    <w:rsid w:val="00F80388"/>
    <w:rsid w:val="00F82BC0"/>
    <w:rsid w:val="00F8368F"/>
    <w:rsid w:val="00F84212"/>
    <w:rsid w:val="00F84B31"/>
    <w:rsid w:val="00F85131"/>
    <w:rsid w:val="00F857F9"/>
    <w:rsid w:val="00F859F6"/>
    <w:rsid w:val="00F8643E"/>
    <w:rsid w:val="00F86CCC"/>
    <w:rsid w:val="00F873D7"/>
    <w:rsid w:val="00F87D54"/>
    <w:rsid w:val="00F9029C"/>
    <w:rsid w:val="00F908DA"/>
    <w:rsid w:val="00F91C27"/>
    <w:rsid w:val="00F9216F"/>
    <w:rsid w:val="00F930C7"/>
    <w:rsid w:val="00F93A44"/>
    <w:rsid w:val="00F95C53"/>
    <w:rsid w:val="00F96C5C"/>
    <w:rsid w:val="00FA0417"/>
    <w:rsid w:val="00FA0CD6"/>
    <w:rsid w:val="00FA28AF"/>
    <w:rsid w:val="00FA2B83"/>
    <w:rsid w:val="00FA3D3F"/>
    <w:rsid w:val="00FA414B"/>
    <w:rsid w:val="00FA4342"/>
    <w:rsid w:val="00FA4773"/>
    <w:rsid w:val="00FB082A"/>
    <w:rsid w:val="00FB08FC"/>
    <w:rsid w:val="00FB0A33"/>
    <w:rsid w:val="00FB1220"/>
    <w:rsid w:val="00FB149E"/>
    <w:rsid w:val="00FB477D"/>
    <w:rsid w:val="00FB4858"/>
    <w:rsid w:val="00FB4EE8"/>
    <w:rsid w:val="00FB538B"/>
    <w:rsid w:val="00FB7870"/>
    <w:rsid w:val="00FC003C"/>
    <w:rsid w:val="00FC0285"/>
    <w:rsid w:val="00FC0956"/>
    <w:rsid w:val="00FC3D89"/>
    <w:rsid w:val="00FC44FA"/>
    <w:rsid w:val="00FC7E6B"/>
    <w:rsid w:val="00FD0ADD"/>
    <w:rsid w:val="00FD13D7"/>
    <w:rsid w:val="00FD1B48"/>
    <w:rsid w:val="00FD23EE"/>
    <w:rsid w:val="00FD40FE"/>
    <w:rsid w:val="00FD42C6"/>
    <w:rsid w:val="00FD6594"/>
    <w:rsid w:val="00FD6E74"/>
    <w:rsid w:val="00FD71E3"/>
    <w:rsid w:val="00FD7D53"/>
    <w:rsid w:val="00FE00A6"/>
    <w:rsid w:val="00FE0269"/>
    <w:rsid w:val="00FE2592"/>
    <w:rsid w:val="00FE27D6"/>
    <w:rsid w:val="00FE28B4"/>
    <w:rsid w:val="00FE3447"/>
    <w:rsid w:val="00FE3E66"/>
    <w:rsid w:val="00FE4732"/>
    <w:rsid w:val="00FE4974"/>
    <w:rsid w:val="00FE52D4"/>
    <w:rsid w:val="00FE5969"/>
    <w:rsid w:val="00FE7602"/>
    <w:rsid w:val="00FF016C"/>
    <w:rsid w:val="00FF0764"/>
    <w:rsid w:val="00FF2CC8"/>
    <w:rsid w:val="00FF33E5"/>
    <w:rsid w:val="00FF435E"/>
    <w:rsid w:val="00FF45F5"/>
    <w:rsid w:val="00FF48AA"/>
    <w:rsid w:val="00FF501F"/>
    <w:rsid w:val="00FF5537"/>
    <w:rsid w:val="00FF5650"/>
    <w:rsid w:val="00FF58B7"/>
    <w:rsid w:val="00FF6823"/>
    <w:rsid w:val="00FF75C9"/>
    <w:rsid w:val="00FF77FE"/>
    <w:rsid w:val="0148787E"/>
    <w:rsid w:val="01512841"/>
    <w:rsid w:val="01611D93"/>
    <w:rsid w:val="01954176"/>
    <w:rsid w:val="029E09AB"/>
    <w:rsid w:val="04012238"/>
    <w:rsid w:val="043F1D3E"/>
    <w:rsid w:val="044651A3"/>
    <w:rsid w:val="045722A1"/>
    <w:rsid w:val="049D56E9"/>
    <w:rsid w:val="04AA138F"/>
    <w:rsid w:val="059F41AB"/>
    <w:rsid w:val="060C4B01"/>
    <w:rsid w:val="06D3561E"/>
    <w:rsid w:val="071E5C73"/>
    <w:rsid w:val="086E3174"/>
    <w:rsid w:val="08A61707"/>
    <w:rsid w:val="08DC606C"/>
    <w:rsid w:val="095011A8"/>
    <w:rsid w:val="099C4DC7"/>
    <w:rsid w:val="09C02A04"/>
    <w:rsid w:val="09D502E0"/>
    <w:rsid w:val="09E65669"/>
    <w:rsid w:val="0A4D4F05"/>
    <w:rsid w:val="0A726FEB"/>
    <w:rsid w:val="0AB46DD8"/>
    <w:rsid w:val="0ACD3158"/>
    <w:rsid w:val="0B4765DB"/>
    <w:rsid w:val="0B49105E"/>
    <w:rsid w:val="0BB8147F"/>
    <w:rsid w:val="0BD47E6F"/>
    <w:rsid w:val="0C1932A9"/>
    <w:rsid w:val="0C194767"/>
    <w:rsid w:val="0C9F68C2"/>
    <w:rsid w:val="0CA75583"/>
    <w:rsid w:val="0CB2311C"/>
    <w:rsid w:val="0CC954FA"/>
    <w:rsid w:val="0D672C11"/>
    <w:rsid w:val="0D722C03"/>
    <w:rsid w:val="0DF05AF7"/>
    <w:rsid w:val="0DF32D1E"/>
    <w:rsid w:val="0E182E4D"/>
    <w:rsid w:val="0E903DF5"/>
    <w:rsid w:val="0E920FD7"/>
    <w:rsid w:val="0E9C2AB0"/>
    <w:rsid w:val="0EE859DF"/>
    <w:rsid w:val="0FBC30F4"/>
    <w:rsid w:val="0FEA363C"/>
    <w:rsid w:val="10EC350F"/>
    <w:rsid w:val="10F63CF7"/>
    <w:rsid w:val="117C2C8C"/>
    <w:rsid w:val="11B47436"/>
    <w:rsid w:val="11F847FA"/>
    <w:rsid w:val="122E699B"/>
    <w:rsid w:val="12C72D36"/>
    <w:rsid w:val="13573133"/>
    <w:rsid w:val="13945D21"/>
    <w:rsid w:val="13AE466A"/>
    <w:rsid w:val="13DD1904"/>
    <w:rsid w:val="14A26D00"/>
    <w:rsid w:val="14B708F9"/>
    <w:rsid w:val="15086206"/>
    <w:rsid w:val="150F0862"/>
    <w:rsid w:val="152F25BA"/>
    <w:rsid w:val="15B730C2"/>
    <w:rsid w:val="1643155F"/>
    <w:rsid w:val="164B2AE3"/>
    <w:rsid w:val="1669589F"/>
    <w:rsid w:val="17375756"/>
    <w:rsid w:val="17583D77"/>
    <w:rsid w:val="176C417B"/>
    <w:rsid w:val="1854438F"/>
    <w:rsid w:val="18D258E3"/>
    <w:rsid w:val="18E75714"/>
    <w:rsid w:val="190273F6"/>
    <w:rsid w:val="19371A3D"/>
    <w:rsid w:val="1A09162B"/>
    <w:rsid w:val="1A661FA5"/>
    <w:rsid w:val="1A703458"/>
    <w:rsid w:val="1AB27AC2"/>
    <w:rsid w:val="1AE47A2C"/>
    <w:rsid w:val="1B19589E"/>
    <w:rsid w:val="1B2C3BAE"/>
    <w:rsid w:val="1B797F89"/>
    <w:rsid w:val="1B987142"/>
    <w:rsid w:val="1BF4532D"/>
    <w:rsid w:val="1C206DB7"/>
    <w:rsid w:val="1DC92CE5"/>
    <w:rsid w:val="1E2F500B"/>
    <w:rsid w:val="1E9F6A33"/>
    <w:rsid w:val="1F0B0FC7"/>
    <w:rsid w:val="1F1A750A"/>
    <w:rsid w:val="1F3F2ABD"/>
    <w:rsid w:val="1F68266E"/>
    <w:rsid w:val="1FB735B9"/>
    <w:rsid w:val="1FC23B00"/>
    <w:rsid w:val="1FF71F26"/>
    <w:rsid w:val="210F0430"/>
    <w:rsid w:val="21A60522"/>
    <w:rsid w:val="22021F8E"/>
    <w:rsid w:val="2229540F"/>
    <w:rsid w:val="2421330E"/>
    <w:rsid w:val="243462CF"/>
    <w:rsid w:val="2485297A"/>
    <w:rsid w:val="24B158C5"/>
    <w:rsid w:val="24BE7B76"/>
    <w:rsid w:val="25802B77"/>
    <w:rsid w:val="261F0E35"/>
    <w:rsid w:val="264A1001"/>
    <w:rsid w:val="272C08D9"/>
    <w:rsid w:val="274E1A5D"/>
    <w:rsid w:val="281C077C"/>
    <w:rsid w:val="28A140AF"/>
    <w:rsid w:val="291516FB"/>
    <w:rsid w:val="291E0B5F"/>
    <w:rsid w:val="294119E5"/>
    <w:rsid w:val="297F3DD1"/>
    <w:rsid w:val="299B4698"/>
    <w:rsid w:val="2A3B553A"/>
    <w:rsid w:val="2B132595"/>
    <w:rsid w:val="2BF5596C"/>
    <w:rsid w:val="2C4D184B"/>
    <w:rsid w:val="2C875F1F"/>
    <w:rsid w:val="2CFD753E"/>
    <w:rsid w:val="2D106B9D"/>
    <w:rsid w:val="2D1901A4"/>
    <w:rsid w:val="2D6C5D01"/>
    <w:rsid w:val="2D9B27C7"/>
    <w:rsid w:val="2E9F3BE7"/>
    <w:rsid w:val="2EA94D33"/>
    <w:rsid w:val="2EBC5FF1"/>
    <w:rsid w:val="2ED60D59"/>
    <w:rsid w:val="2ED951A3"/>
    <w:rsid w:val="2EF51693"/>
    <w:rsid w:val="2F3A6314"/>
    <w:rsid w:val="304D5F7E"/>
    <w:rsid w:val="308028F6"/>
    <w:rsid w:val="30DD7B6C"/>
    <w:rsid w:val="31A01B12"/>
    <w:rsid w:val="31B47C77"/>
    <w:rsid w:val="321C397F"/>
    <w:rsid w:val="326C7CBC"/>
    <w:rsid w:val="329F51BF"/>
    <w:rsid w:val="32BF4B25"/>
    <w:rsid w:val="33082242"/>
    <w:rsid w:val="334978F0"/>
    <w:rsid w:val="33762C5B"/>
    <w:rsid w:val="33900BD3"/>
    <w:rsid w:val="33EC291A"/>
    <w:rsid w:val="341A07C0"/>
    <w:rsid w:val="34202997"/>
    <w:rsid w:val="34577C74"/>
    <w:rsid w:val="348A2661"/>
    <w:rsid w:val="34AC334E"/>
    <w:rsid w:val="34E56399"/>
    <w:rsid w:val="35750409"/>
    <w:rsid w:val="35EA74B1"/>
    <w:rsid w:val="3606332C"/>
    <w:rsid w:val="36AF6C5F"/>
    <w:rsid w:val="37517D16"/>
    <w:rsid w:val="37B7401D"/>
    <w:rsid w:val="37F727FA"/>
    <w:rsid w:val="3814321D"/>
    <w:rsid w:val="386C3059"/>
    <w:rsid w:val="39307546"/>
    <w:rsid w:val="3A43577F"/>
    <w:rsid w:val="3BF91740"/>
    <w:rsid w:val="3BFF0D8F"/>
    <w:rsid w:val="3CFC24D2"/>
    <w:rsid w:val="3DC426E4"/>
    <w:rsid w:val="3E152F88"/>
    <w:rsid w:val="3EAF3F32"/>
    <w:rsid w:val="3FB5325F"/>
    <w:rsid w:val="3FD913C0"/>
    <w:rsid w:val="3FEC5BA5"/>
    <w:rsid w:val="411A7861"/>
    <w:rsid w:val="417E7959"/>
    <w:rsid w:val="418C6FAF"/>
    <w:rsid w:val="41E43129"/>
    <w:rsid w:val="421F60B3"/>
    <w:rsid w:val="42F07066"/>
    <w:rsid w:val="43212C92"/>
    <w:rsid w:val="433B02AB"/>
    <w:rsid w:val="437D1C27"/>
    <w:rsid w:val="43DA1034"/>
    <w:rsid w:val="443C1750"/>
    <w:rsid w:val="447A786C"/>
    <w:rsid w:val="44A45929"/>
    <w:rsid w:val="45075968"/>
    <w:rsid w:val="451C3EE9"/>
    <w:rsid w:val="461B3AA5"/>
    <w:rsid w:val="46BA72A5"/>
    <w:rsid w:val="471C3E9C"/>
    <w:rsid w:val="473B4604"/>
    <w:rsid w:val="477E30E1"/>
    <w:rsid w:val="480F755D"/>
    <w:rsid w:val="48914416"/>
    <w:rsid w:val="490970BA"/>
    <w:rsid w:val="49FE0185"/>
    <w:rsid w:val="4A0B7B37"/>
    <w:rsid w:val="4A1B6564"/>
    <w:rsid w:val="4B084710"/>
    <w:rsid w:val="4BAE4724"/>
    <w:rsid w:val="4C6E60AC"/>
    <w:rsid w:val="4C8445C1"/>
    <w:rsid w:val="4CC2759A"/>
    <w:rsid w:val="4CDB65A8"/>
    <w:rsid w:val="4D165530"/>
    <w:rsid w:val="4D6245D3"/>
    <w:rsid w:val="4E054315"/>
    <w:rsid w:val="4E914C57"/>
    <w:rsid w:val="4EDB5236"/>
    <w:rsid w:val="4FFF8853"/>
    <w:rsid w:val="50EC48E0"/>
    <w:rsid w:val="510D5B14"/>
    <w:rsid w:val="513D36C3"/>
    <w:rsid w:val="51BD44CE"/>
    <w:rsid w:val="521F0F51"/>
    <w:rsid w:val="524B3888"/>
    <w:rsid w:val="52F8451B"/>
    <w:rsid w:val="532679B8"/>
    <w:rsid w:val="5352182F"/>
    <w:rsid w:val="53EE6BC1"/>
    <w:rsid w:val="54782CF0"/>
    <w:rsid w:val="549265B4"/>
    <w:rsid w:val="54996B2C"/>
    <w:rsid w:val="551B115E"/>
    <w:rsid w:val="552B024B"/>
    <w:rsid w:val="55A43677"/>
    <w:rsid w:val="564979CB"/>
    <w:rsid w:val="56F73250"/>
    <w:rsid w:val="57430C9F"/>
    <w:rsid w:val="5785106C"/>
    <w:rsid w:val="57AA2DFF"/>
    <w:rsid w:val="57BF60B0"/>
    <w:rsid w:val="58530075"/>
    <w:rsid w:val="587A79E8"/>
    <w:rsid w:val="58CB5521"/>
    <w:rsid w:val="59DC6AF3"/>
    <w:rsid w:val="5A7D2A4C"/>
    <w:rsid w:val="5A7F67C4"/>
    <w:rsid w:val="5AE0469E"/>
    <w:rsid w:val="5B152F34"/>
    <w:rsid w:val="5BA470B9"/>
    <w:rsid w:val="5D891708"/>
    <w:rsid w:val="5EDB41E5"/>
    <w:rsid w:val="5F9520F3"/>
    <w:rsid w:val="5F9C3975"/>
    <w:rsid w:val="5FE417B2"/>
    <w:rsid w:val="5FF51435"/>
    <w:rsid w:val="60363DC9"/>
    <w:rsid w:val="60570E50"/>
    <w:rsid w:val="60D007EE"/>
    <w:rsid w:val="610405E7"/>
    <w:rsid w:val="615A4CA0"/>
    <w:rsid w:val="61903065"/>
    <w:rsid w:val="61F8470C"/>
    <w:rsid w:val="62A0377C"/>
    <w:rsid w:val="62F249C8"/>
    <w:rsid w:val="63467D0B"/>
    <w:rsid w:val="63DF73D8"/>
    <w:rsid w:val="64AC5FD1"/>
    <w:rsid w:val="651934E7"/>
    <w:rsid w:val="65202507"/>
    <w:rsid w:val="658F172A"/>
    <w:rsid w:val="65DF430E"/>
    <w:rsid w:val="662276D5"/>
    <w:rsid w:val="662A0882"/>
    <w:rsid w:val="66D30C1B"/>
    <w:rsid w:val="66E13EFD"/>
    <w:rsid w:val="67A45ABC"/>
    <w:rsid w:val="68014CBD"/>
    <w:rsid w:val="68024591"/>
    <w:rsid w:val="686D4675"/>
    <w:rsid w:val="6892149C"/>
    <w:rsid w:val="68AA7D06"/>
    <w:rsid w:val="68EA5751"/>
    <w:rsid w:val="69201173"/>
    <w:rsid w:val="696E6382"/>
    <w:rsid w:val="6A4470E3"/>
    <w:rsid w:val="6B5C73DA"/>
    <w:rsid w:val="6B971B3A"/>
    <w:rsid w:val="6BA4220D"/>
    <w:rsid w:val="6BC227B3"/>
    <w:rsid w:val="6BC8237F"/>
    <w:rsid w:val="6BF31FD5"/>
    <w:rsid w:val="6C81624A"/>
    <w:rsid w:val="6D352A7C"/>
    <w:rsid w:val="6D3E5034"/>
    <w:rsid w:val="6DAE3FC8"/>
    <w:rsid w:val="6DC36FA6"/>
    <w:rsid w:val="6E7C4367"/>
    <w:rsid w:val="6E9407DB"/>
    <w:rsid w:val="700E7EB6"/>
    <w:rsid w:val="702332D1"/>
    <w:rsid w:val="708C5A51"/>
    <w:rsid w:val="70B02004"/>
    <w:rsid w:val="70C7302A"/>
    <w:rsid w:val="7113780F"/>
    <w:rsid w:val="72002CDB"/>
    <w:rsid w:val="72734CD2"/>
    <w:rsid w:val="740022CC"/>
    <w:rsid w:val="74D34B97"/>
    <w:rsid w:val="74E6416E"/>
    <w:rsid w:val="75395EB1"/>
    <w:rsid w:val="758C180E"/>
    <w:rsid w:val="76B80C3C"/>
    <w:rsid w:val="76BD3D19"/>
    <w:rsid w:val="774626EC"/>
    <w:rsid w:val="77C12AF9"/>
    <w:rsid w:val="77DD0F14"/>
    <w:rsid w:val="78B94AE7"/>
    <w:rsid w:val="798C4C6F"/>
    <w:rsid w:val="79CD2C51"/>
    <w:rsid w:val="7A051722"/>
    <w:rsid w:val="7A13262E"/>
    <w:rsid w:val="7A6029D5"/>
    <w:rsid w:val="7BBD6CF5"/>
    <w:rsid w:val="7BFB52A1"/>
    <w:rsid w:val="7C045638"/>
    <w:rsid w:val="7C3C5E6C"/>
    <w:rsid w:val="7C54645D"/>
    <w:rsid w:val="7D951DE5"/>
    <w:rsid w:val="7DC23BBE"/>
    <w:rsid w:val="7DD543C4"/>
    <w:rsid w:val="7E62115A"/>
    <w:rsid w:val="7EF50554"/>
    <w:rsid w:val="7EFC564A"/>
    <w:rsid w:val="7F792F33"/>
    <w:rsid w:val="7FA07DD8"/>
    <w:rsid w:val="7FA811F8"/>
    <w:rsid w:val="7FD16772"/>
    <w:rsid w:val="BF3E5C31"/>
    <w:rsid w:val="DFFFACD4"/>
    <w:rsid w:val="E7CE79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8"/>
    <w:qFormat/>
    <w:uiPriority w:val="99"/>
    <w:pPr>
      <w:keepNext/>
      <w:autoSpaceDE w:val="0"/>
      <w:autoSpaceDN w:val="0"/>
      <w:adjustRightInd w:val="0"/>
      <w:snapToGrid w:val="0"/>
      <w:spacing w:line="360" w:lineRule="auto"/>
      <w:jc w:val="center"/>
      <w:outlineLvl w:val="0"/>
    </w:pPr>
    <w:rPr>
      <w:rFonts w:asciiTheme="minorEastAsia" w:hAnsiTheme="minorEastAsia" w:eastAsiaTheme="minorEastAsia"/>
      <w:b/>
      <w:bCs/>
      <w:color w:val="000000" w:themeColor="text1"/>
      <w:kern w:val="0"/>
      <w:sz w:val="32"/>
      <w:szCs w:val="20"/>
      <w:highlight w:val="none"/>
      <w14:textFill>
        <w14:solidFill>
          <w14:schemeClr w14:val="tx1"/>
        </w14:solidFill>
      </w14:textFill>
    </w:rPr>
  </w:style>
  <w:style w:type="paragraph" w:styleId="3">
    <w:name w:val="heading 2"/>
    <w:basedOn w:val="1"/>
    <w:next w:val="1"/>
    <w:link w:val="79"/>
    <w:qFormat/>
    <w:uiPriority w:val="0"/>
    <w:pPr>
      <w:keepNext/>
      <w:keepLines/>
      <w:snapToGrid w:val="0"/>
      <w:spacing w:line="360" w:lineRule="auto"/>
      <w:outlineLvl w:val="1"/>
    </w:pPr>
    <w:rPr>
      <w:rFonts w:asciiTheme="minorEastAsia" w:hAnsiTheme="minorEastAsia" w:eastAsiaTheme="minorEastAsia"/>
      <w:b/>
      <w:bCs/>
      <w:color w:val="000000" w:themeColor="text1"/>
      <w:sz w:val="24"/>
      <w:highlight w:val="none"/>
      <w14:textFill>
        <w14:solidFill>
          <w14:schemeClr w14:val="tx1"/>
        </w14:solidFill>
      </w14:textFill>
    </w:rPr>
  </w:style>
  <w:style w:type="paragraph" w:styleId="4">
    <w:name w:val="heading 3"/>
    <w:basedOn w:val="1"/>
    <w:next w:val="1"/>
    <w:link w:val="80"/>
    <w:qFormat/>
    <w:uiPriority w:val="0"/>
    <w:pPr>
      <w:keepNext/>
      <w:keepLines/>
      <w:spacing w:before="120" w:after="120" w:line="360" w:lineRule="auto"/>
      <w:ind w:firstLine="200" w:firstLineChars="200"/>
      <w:jc w:val="center"/>
      <w:outlineLvl w:val="2"/>
    </w:pPr>
    <w:rPr>
      <w:rFonts w:ascii="宋体"/>
      <w:b/>
      <w:bCs/>
      <w:kern w:val="0"/>
      <w:sz w:val="32"/>
      <w:szCs w:val="32"/>
    </w:rPr>
  </w:style>
  <w:style w:type="paragraph" w:styleId="5">
    <w:name w:val="heading 4"/>
    <w:basedOn w:val="1"/>
    <w:next w:val="1"/>
    <w:link w:val="8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2"/>
    <w:qFormat/>
    <w:uiPriority w:val="0"/>
    <w:pPr>
      <w:keepNext/>
      <w:keepLines/>
      <w:adjustRightInd w:val="0"/>
      <w:spacing w:before="280" w:after="290" w:line="376" w:lineRule="atLeast"/>
      <w:ind w:left="2125" w:hanging="425"/>
      <w:textAlignment w:val="baseline"/>
      <w:outlineLvl w:val="4"/>
    </w:pPr>
    <w:rPr>
      <w:b/>
      <w:kern w:val="0"/>
      <w:sz w:val="24"/>
    </w:rPr>
  </w:style>
  <w:style w:type="paragraph" w:styleId="7">
    <w:name w:val="heading 6"/>
    <w:basedOn w:val="1"/>
    <w:next w:val="1"/>
    <w:link w:val="86"/>
    <w:qFormat/>
    <w:uiPriority w:val="0"/>
    <w:pPr>
      <w:keepNext/>
      <w:keepLines/>
      <w:spacing w:before="240" w:after="64" w:line="319" w:lineRule="auto"/>
      <w:outlineLvl w:val="5"/>
    </w:pPr>
    <w:rPr>
      <w:rFonts w:ascii="Arial" w:hAnsi="Arial" w:eastAsia="黑体"/>
      <w:b/>
      <w:bCs/>
      <w:sz w:val="24"/>
    </w:rPr>
  </w:style>
  <w:style w:type="paragraph" w:styleId="8">
    <w:name w:val="heading 7"/>
    <w:basedOn w:val="1"/>
    <w:next w:val="1"/>
    <w:link w:val="87"/>
    <w:qFormat/>
    <w:uiPriority w:val="0"/>
    <w:pPr>
      <w:widowControl/>
      <w:tabs>
        <w:tab w:val="left" w:pos="2940"/>
      </w:tabs>
      <w:overflowPunct w:val="0"/>
      <w:autoSpaceDE w:val="0"/>
      <w:autoSpaceDN w:val="0"/>
      <w:adjustRightInd w:val="0"/>
      <w:ind w:left="2940" w:hanging="420"/>
      <w:textAlignment w:val="baseline"/>
      <w:outlineLvl w:val="6"/>
    </w:pPr>
    <w:rPr>
      <w:i/>
      <w:kern w:val="0"/>
      <w:position w:val="-6"/>
      <w:sz w:val="22"/>
      <w:szCs w:val="20"/>
      <w:lang w:val="en-GB"/>
    </w:rPr>
  </w:style>
  <w:style w:type="paragraph" w:styleId="9">
    <w:name w:val="heading 8"/>
    <w:basedOn w:val="1"/>
    <w:next w:val="1"/>
    <w:link w:val="88"/>
    <w:qFormat/>
    <w:uiPriority w:val="0"/>
    <w:pPr>
      <w:widowControl/>
      <w:tabs>
        <w:tab w:val="left" w:pos="3360"/>
      </w:tabs>
      <w:overflowPunct w:val="0"/>
      <w:autoSpaceDE w:val="0"/>
      <w:autoSpaceDN w:val="0"/>
      <w:adjustRightInd w:val="0"/>
      <w:ind w:left="3360" w:hanging="420"/>
      <w:textAlignment w:val="baseline"/>
      <w:outlineLvl w:val="7"/>
    </w:pPr>
    <w:rPr>
      <w:i/>
      <w:kern w:val="0"/>
      <w:position w:val="-6"/>
      <w:sz w:val="22"/>
      <w:szCs w:val="20"/>
      <w:lang w:val="en-GB"/>
    </w:rPr>
  </w:style>
  <w:style w:type="paragraph" w:styleId="10">
    <w:name w:val="heading 9"/>
    <w:basedOn w:val="1"/>
    <w:next w:val="1"/>
    <w:link w:val="89"/>
    <w:qFormat/>
    <w:uiPriority w:val="0"/>
    <w:pPr>
      <w:widowControl/>
      <w:tabs>
        <w:tab w:val="left" w:pos="3780"/>
      </w:tabs>
      <w:overflowPunct w:val="0"/>
      <w:autoSpaceDE w:val="0"/>
      <w:autoSpaceDN w:val="0"/>
      <w:adjustRightInd w:val="0"/>
      <w:ind w:left="3780" w:hanging="420"/>
      <w:textAlignment w:val="baseline"/>
      <w:outlineLvl w:val="8"/>
    </w:pPr>
    <w:rPr>
      <w:i/>
      <w:kern w:val="0"/>
      <w:position w:val="-6"/>
      <w:sz w:val="22"/>
      <w:szCs w:val="20"/>
      <w:lang w:val="en-GB"/>
    </w:rPr>
  </w:style>
  <w:style w:type="character" w:default="1" w:styleId="69">
    <w:name w:val="Default Paragraph Font"/>
    <w:unhideWhenUsed/>
    <w:qFormat/>
    <w:uiPriority w:val="1"/>
  </w:style>
  <w:style w:type="table" w:default="1" w:styleId="67">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jc w:val="left"/>
    </w:pPr>
    <w:rPr>
      <w:rFonts w:cs="Arial"/>
    </w:rPr>
  </w:style>
  <w:style w:type="paragraph" w:styleId="12">
    <w:name w:val="toc 7"/>
    <w:basedOn w:val="1"/>
    <w:next w:val="1"/>
    <w:qFormat/>
    <w:uiPriority w:val="39"/>
    <w:pPr>
      <w:ind w:left="1200" w:leftChars="1200"/>
    </w:pPr>
  </w:style>
  <w:style w:type="paragraph" w:styleId="13">
    <w:name w:val="List Number 2"/>
    <w:basedOn w:val="1"/>
    <w:qFormat/>
    <w:uiPriority w:val="0"/>
    <w:pPr>
      <w:tabs>
        <w:tab w:val="left" w:pos="360"/>
        <w:tab w:val="left" w:pos="1200"/>
      </w:tabs>
      <w:jc w:val="left"/>
    </w:pPr>
    <w:rPr>
      <w:rFonts w:cs="Arial"/>
      <w:sz w:val="28"/>
      <w:szCs w:val="20"/>
    </w:rPr>
  </w:style>
  <w:style w:type="paragraph" w:styleId="14">
    <w:name w:val="table of authorities"/>
    <w:basedOn w:val="1"/>
    <w:next w:val="1"/>
    <w:qFormat/>
    <w:uiPriority w:val="0"/>
    <w:pPr>
      <w:ind w:left="420" w:leftChars="200"/>
    </w:pPr>
  </w:style>
  <w:style w:type="paragraph" w:styleId="15">
    <w:name w:val="index 8"/>
    <w:basedOn w:val="1"/>
    <w:next w:val="1"/>
    <w:qFormat/>
    <w:uiPriority w:val="0"/>
    <w:pPr>
      <w:spacing w:line="440" w:lineRule="exact"/>
      <w:ind w:left="1400" w:leftChars="1400" w:firstLine="300" w:firstLineChars="300"/>
      <w:jc w:val="left"/>
    </w:pPr>
    <w:rPr>
      <w:rFonts w:ascii="华文细黑" w:hAnsi="华文细黑" w:cs="Arial"/>
      <w:kern w:val="0"/>
      <w:szCs w:val="21"/>
    </w:rPr>
  </w:style>
  <w:style w:type="paragraph" w:styleId="16">
    <w:name w:val="List Number"/>
    <w:basedOn w:val="1"/>
    <w:qFormat/>
    <w:uiPriority w:val="0"/>
    <w:pPr>
      <w:widowControl/>
      <w:overflowPunct w:val="0"/>
      <w:autoSpaceDE w:val="0"/>
      <w:autoSpaceDN w:val="0"/>
      <w:adjustRightInd w:val="0"/>
      <w:ind w:left="425" w:hanging="425"/>
      <w:textAlignment w:val="baseline"/>
    </w:pPr>
    <w:rPr>
      <w:rFonts w:hAnsi="Arial"/>
      <w:kern w:val="0"/>
      <w:sz w:val="28"/>
      <w:szCs w:val="28"/>
    </w:rPr>
  </w:style>
  <w:style w:type="paragraph" w:styleId="17">
    <w:name w:val="Normal Indent"/>
    <w:basedOn w:val="1"/>
    <w:qFormat/>
    <w:uiPriority w:val="0"/>
    <w:pPr>
      <w:tabs>
        <w:tab w:val="left" w:pos="750"/>
      </w:tabs>
      <w:spacing w:beforeLines="50" w:line="300" w:lineRule="auto"/>
      <w:ind w:firstLine="200" w:firstLineChars="200"/>
    </w:pPr>
    <w:rPr>
      <w:rFonts w:ascii="宋体"/>
      <w:szCs w:val="20"/>
    </w:rPr>
  </w:style>
  <w:style w:type="paragraph" w:styleId="18">
    <w:name w:val="caption"/>
    <w:basedOn w:val="1"/>
    <w:next w:val="1"/>
    <w:link w:val="83"/>
    <w:qFormat/>
    <w:uiPriority w:val="0"/>
    <w:pPr>
      <w:spacing w:line="300" w:lineRule="auto"/>
    </w:pPr>
    <w:rPr>
      <w:rFonts w:ascii="Cambria" w:hAnsi="Cambria" w:eastAsia="黑体"/>
      <w:kern w:val="0"/>
      <w:sz w:val="20"/>
      <w:szCs w:val="20"/>
    </w:rPr>
  </w:style>
  <w:style w:type="paragraph" w:styleId="19">
    <w:name w:val="index 5"/>
    <w:basedOn w:val="1"/>
    <w:next w:val="1"/>
    <w:qFormat/>
    <w:uiPriority w:val="0"/>
    <w:pPr>
      <w:spacing w:line="440" w:lineRule="exact"/>
      <w:ind w:left="800" w:leftChars="800" w:firstLine="300" w:firstLineChars="300"/>
      <w:jc w:val="left"/>
    </w:pPr>
    <w:rPr>
      <w:rFonts w:ascii="华文细黑" w:hAnsi="华文细黑" w:cs="Arial"/>
      <w:kern w:val="0"/>
      <w:szCs w:val="21"/>
    </w:rPr>
  </w:style>
  <w:style w:type="paragraph" w:styleId="20">
    <w:name w:val="List Bullet"/>
    <w:basedOn w:val="1"/>
    <w:qFormat/>
    <w:uiPriority w:val="0"/>
    <w:pPr>
      <w:tabs>
        <w:tab w:val="left" w:pos="284"/>
        <w:tab w:val="left" w:pos="1138"/>
      </w:tabs>
      <w:ind w:left="1138" w:hanging="420"/>
    </w:pPr>
    <w:rPr>
      <w:szCs w:val="20"/>
    </w:rPr>
  </w:style>
  <w:style w:type="paragraph" w:styleId="21">
    <w:name w:val="Document Map"/>
    <w:basedOn w:val="1"/>
    <w:link w:val="99"/>
    <w:qFormat/>
    <w:uiPriority w:val="0"/>
    <w:pPr>
      <w:shd w:val="clear" w:color="auto" w:fill="000080"/>
    </w:pPr>
  </w:style>
  <w:style w:type="paragraph" w:styleId="22">
    <w:name w:val="toa heading"/>
    <w:basedOn w:val="1"/>
    <w:next w:val="1"/>
    <w:qFormat/>
    <w:uiPriority w:val="0"/>
    <w:pPr>
      <w:spacing w:before="120"/>
    </w:pPr>
    <w:rPr>
      <w:rFonts w:ascii="Arial" w:hAnsi="Arial" w:cs="Arial"/>
      <w:sz w:val="24"/>
    </w:rPr>
  </w:style>
  <w:style w:type="paragraph" w:styleId="23">
    <w:name w:val="annotation text"/>
    <w:basedOn w:val="1"/>
    <w:link w:val="95"/>
    <w:qFormat/>
    <w:uiPriority w:val="0"/>
    <w:pPr>
      <w:jc w:val="left"/>
    </w:pPr>
  </w:style>
  <w:style w:type="paragraph" w:styleId="24">
    <w:name w:val="index 6"/>
    <w:basedOn w:val="1"/>
    <w:next w:val="1"/>
    <w:qFormat/>
    <w:uiPriority w:val="0"/>
    <w:pPr>
      <w:spacing w:line="440" w:lineRule="exact"/>
      <w:ind w:left="1000" w:leftChars="1000" w:firstLine="300" w:firstLineChars="300"/>
      <w:jc w:val="left"/>
    </w:pPr>
    <w:rPr>
      <w:rFonts w:ascii="华文细黑" w:hAnsi="华文细黑" w:cs="Arial"/>
      <w:kern w:val="0"/>
      <w:szCs w:val="21"/>
    </w:rPr>
  </w:style>
  <w:style w:type="paragraph" w:styleId="25">
    <w:name w:val="Salutation"/>
    <w:basedOn w:val="1"/>
    <w:next w:val="1"/>
    <w:link w:val="246"/>
    <w:qFormat/>
    <w:uiPriority w:val="0"/>
    <w:pPr>
      <w:ind w:firstLine="630" w:firstLineChars="300"/>
      <w:jc w:val="left"/>
    </w:pPr>
    <w:rPr>
      <w:sz w:val="28"/>
      <w:szCs w:val="20"/>
    </w:rPr>
  </w:style>
  <w:style w:type="paragraph" w:styleId="26">
    <w:name w:val="Body Text 3"/>
    <w:basedOn w:val="1"/>
    <w:link w:val="186"/>
    <w:qFormat/>
    <w:uiPriority w:val="0"/>
    <w:rPr>
      <w:sz w:val="24"/>
    </w:rPr>
  </w:style>
  <w:style w:type="paragraph" w:styleId="27">
    <w:name w:val="List Bullet 3"/>
    <w:basedOn w:val="1"/>
    <w:qFormat/>
    <w:uiPriority w:val="0"/>
    <w:pPr>
      <w:widowControl/>
      <w:tabs>
        <w:tab w:val="left" w:pos="1200"/>
      </w:tabs>
      <w:spacing w:after="120" w:line="360" w:lineRule="auto"/>
      <w:ind w:left="1200" w:hanging="360"/>
      <w:jc w:val="left"/>
    </w:pPr>
    <w:rPr>
      <w:rFonts w:cs="Arial"/>
      <w:kern w:val="0"/>
      <w:sz w:val="20"/>
      <w:szCs w:val="20"/>
    </w:rPr>
  </w:style>
  <w:style w:type="paragraph" w:styleId="28">
    <w:name w:val="Body Text"/>
    <w:basedOn w:val="29"/>
    <w:next w:val="29"/>
    <w:link w:val="96"/>
    <w:unhideWhenUsed/>
    <w:qFormat/>
    <w:uiPriority w:val="0"/>
    <w:pPr>
      <w:spacing w:after="120"/>
    </w:pPr>
  </w:style>
  <w:style w:type="paragraph" w:styleId="29">
    <w:name w:val="Title"/>
    <w:basedOn w:val="1"/>
    <w:next w:val="1"/>
    <w:link w:val="168"/>
    <w:qFormat/>
    <w:uiPriority w:val="10"/>
    <w:pPr>
      <w:spacing w:before="240" w:after="60"/>
      <w:jc w:val="center"/>
      <w:outlineLvl w:val="0"/>
    </w:pPr>
    <w:rPr>
      <w:rFonts w:ascii="Calibri Light" w:hAnsi="Calibri Light"/>
      <w:b/>
      <w:bCs/>
      <w:sz w:val="32"/>
      <w:szCs w:val="32"/>
    </w:rPr>
  </w:style>
  <w:style w:type="paragraph" w:styleId="30">
    <w:name w:val="Body Text Indent"/>
    <w:basedOn w:val="1"/>
    <w:link w:val="98"/>
    <w:qFormat/>
    <w:uiPriority w:val="0"/>
    <w:pPr>
      <w:ind w:firstLine="200" w:firstLineChars="200"/>
      <w:jc w:val="left"/>
    </w:pPr>
    <w:rPr>
      <w:rFonts w:ascii="仿宋_GB2312" w:eastAsia="仿宋_GB2312"/>
      <w:sz w:val="28"/>
    </w:rPr>
  </w:style>
  <w:style w:type="paragraph" w:styleId="31">
    <w:name w:val="List 2"/>
    <w:basedOn w:val="1"/>
    <w:qFormat/>
    <w:uiPriority w:val="0"/>
    <w:pPr>
      <w:ind w:left="100" w:hanging="200"/>
    </w:pPr>
    <w:rPr>
      <w:rFonts w:ascii="宋体"/>
      <w:sz w:val="24"/>
    </w:rPr>
  </w:style>
  <w:style w:type="paragraph" w:styleId="32">
    <w:name w:val="Block Text"/>
    <w:basedOn w:val="1"/>
    <w:qFormat/>
    <w:uiPriority w:val="0"/>
    <w:pPr>
      <w:widowControl/>
      <w:spacing w:after="120"/>
      <w:ind w:left="1440" w:leftChars="700" w:right="1440" w:rightChars="700"/>
      <w:jc w:val="left"/>
    </w:pPr>
    <w:rPr>
      <w:kern w:val="0"/>
      <w:sz w:val="20"/>
      <w:szCs w:val="20"/>
    </w:rPr>
  </w:style>
  <w:style w:type="paragraph" w:styleId="33">
    <w:name w:val="List Bullet 2"/>
    <w:basedOn w:val="1"/>
    <w:qFormat/>
    <w:uiPriority w:val="0"/>
    <w:pPr>
      <w:numPr>
        <w:ilvl w:val="0"/>
        <w:numId w:val="1"/>
      </w:numPr>
    </w:pPr>
  </w:style>
  <w:style w:type="paragraph" w:styleId="34">
    <w:name w:val="index 4"/>
    <w:basedOn w:val="1"/>
    <w:next w:val="1"/>
    <w:qFormat/>
    <w:uiPriority w:val="0"/>
    <w:pPr>
      <w:spacing w:line="440" w:lineRule="exact"/>
      <w:ind w:left="600" w:leftChars="600" w:firstLine="300" w:firstLineChars="300"/>
      <w:jc w:val="left"/>
    </w:pPr>
    <w:rPr>
      <w:rFonts w:ascii="华文细黑" w:hAnsi="华文细黑" w:cs="Arial"/>
      <w:kern w:val="0"/>
      <w:szCs w:val="21"/>
    </w:rPr>
  </w:style>
  <w:style w:type="paragraph" w:styleId="35">
    <w:name w:val="toc 5"/>
    <w:basedOn w:val="1"/>
    <w:next w:val="1"/>
    <w:qFormat/>
    <w:uiPriority w:val="39"/>
    <w:pPr>
      <w:ind w:left="800" w:leftChars="800"/>
    </w:pPr>
  </w:style>
  <w:style w:type="paragraph" w:styleId="36">
    <w:name w:val="toc 3"/>
    <w:basedOn w:val="1"/>
    <w:next w:val="1"/>
    <w:qFormat/>
    <w:uiPriority w:val="39"/>
    <w:pPr>
      <w:tabs>
        <w:tab w:val="right" w:leader="dot" w:pos="9515"/>
      </w:tabs>
      <w:ind w:left="400" w:leftChars="400"/>
    </w:pPr>
  </w:style>
  <w:style w:type="paragraph" w:styleId="37">
    <w:name w:val="Plain Text"/>
    <w:basedOn w:val="1"/>
    <w:next w:val="1"/>
    <w:link w:val="92"/>
    <w:qFormat/>
    <w:uiPriority w:val="0"/>
    <w:pPr>
      <w:autoSpaceDE w:val="0"/>
      <w:autoSpaceDN w:val="0"/>
      <w:adjustRightInd w:val="0"/>
      <w:jc w:val="left"/>
    </w:pPr>
    <w:rPr>
      <w:rFonts w:ascii="宋体"/>
      <w:kern w:val="0"/>
      <w:sz w:val="20"/>
    </w:rPr>
  </w:style>
  <w:style w:type="paragraph" w:styleId="38">
    <w:name w:val="List Number 4"/>
    <w:basedOn w:val="1"/>
    <w:qFormat/>
    <w:uiPriority w:val="0"/>
    <w:pPr>
      <w:widowControl/>
      <w:tabs>
        <w:tab w:val="left" w:pos="1209"/>
        <w:tab w:val="left" w:pos="1418"/>
        <w:tab w:val="left" w:pos="1728"/>
        <w:tab w:val="left" w:pos="2160"/>
        <w:tab w:val="left" w:pos="6521"/>
      </w:tabs>
      <w:ind w:left="1209" w:hanging="425"/>
    </w:pPr>
    <w:rPr>
      <w:rFonts w:ascii="Arial" w:hAnsi="Arial"/>
      <w:kern w:val="0"/>
      <w:sz w:val="22"/>
      <w:szCs w:val="20"/>
      <w:lang w:val="en-GB"/>
    </w:rPr>
  </w:style>
  <w:style w:type="paragraph" w:styleId="39">
    <w:name w:val="toc 8"/>
    <w:basedOn w:val="1"/>
    <w:next w:val="1"/>
    <w:qFormat/>
    <w:uiPriority w:val="39"/>
    <w:pPr>
      <w:ind w:left="1400" w:leftChars="1400"/>
    </w:pPr>
  </w:style>
  <w:style w:type="paragraph" w:styleId="40">
    <w:name w:val="index 3"/>
    <w:basedOn w:val="1"/>
    <w:next w:val="1"/>
    <w:qFormat/>
    <w:uiPriority w:val="0"/>
    <w:pPr>
      <w:spacing w:line="440" w:lineRule="exact"/>
      <w:ind w:left="400" w:leftChars="400" w:firstLine="300" w:firstLineChars="300"/>
      <w:jc w:val="left"/>
    </w:pPr>
    <w:rPr>
      <w:rFonts w:ascii="华文细黑" w:hAnsi="华文细黑" w:cs="Arial"/>
      <w:kern w:val="0"/>
      <w:szCs w:val="21"/>
    </w:rPr>
  </w:style>
  <w:style w:type="paragraph" w:styleId="41">
    <w:name w:val="Date"/>
    <w:basedOn w:val="1"/>
    <w:next w:val="1"/>
    <w:link w:val="90"/>
    <w:qFormat/>
    <w:uiPriority w:val="0"/>
    <w:pPr>
      <w:ind w:left="2500" w:leftChars="2500"/>
    </w:pPr>
    <w:rPr>
      <w:rFonts w:ascii="仿宋_GB2312" w:eastAsia="仿宋_GB2312"/>
      <w:kern w:val="0"/>
      <w:sz w:val="28"/>
    </w:rPr>
  </w:style>
  <w:style w:type="paragraph" w:styleId="42">
    <w:name w:val="Body Text Indent 2"/>
    <w:basedOn w:val="1"/>
    <w:link w:val="116"/>
    <w:qFormat/>
    <w:uiPriority w:val="0"/>
    <w:pPr>
      <w:spacing w:line="60" w:lineRule="auto"/>
      <w:ind w:firstLine="128" w:firstLineChars="128"/>
    </w:pPr>
    <w:rPr>
      <w:rFonts w:ascii="仿宋_GB2312" w:eastAsia="仿宋_GB2312"/>
      <w:sz w:val="28"/>
    </w:rPr>
  </w:style>
  <w:style w:type="paragraph" w:styleId="43">
    <w:name w:val="endnote text"/>
    <w:basedOn w:val="1"/>
    <w:link w:val="255"/>
    <w:qFormat/>
    <w:uiPriority w:val="0"/>
    <w:pPr>
      <w:widowControl/>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rPr>
      <w:kern w:val="0"/>
      <w:sz w:val="24"/>
      <w:szCs w:val="20"/>
    </w:rPr>
  </w:style>
  <w:style w:type="paragraph" w:styleId="44">
    <w:name w:val="Balloon Text"/>
    <w:basedOn w:val="1"/>
    <w:link w:val="106"/>
    <w:qFormat/>
    <w:uiPriority w:val="99"/>
    <w:rPr>
      <w:sz w:val="18"/>
      <w:szCs w:val="18"/>
    </w:rPr>
  </w:style>
  <w:style w:type="paragraph" w:styleId="45">
    <w:name w:val="footer"/>
    <w:basedOn w:val="1"/>
    <w:link w:val="85"/>
    <w:unhideWhenUsed/>
    <w:qFormat/>
    <w:uiPriority w:val="0"/>
    <w:pPr>
      <w:tabs>
        <w:tab w:val="center" w:pos="4153"/>
        <w:tab w:val="right" w:pos="8306"/>
      </w:tabs>
      <w:snapToGrid w:val="0"/>
      <w:jc w:val="left"/>
    </w:pPr>
    <w:rPr>
      <w:sz w:val="18"/>
      <w:szCs w:val="18"/>
    </w:rPr>
  </w:style>
  <w:style w:type="paragraph" w:styleId="46">
    <w:name w:val="header"/>
    <w:basedOn w:val="1"/>
    <w:link w:val="84"/>
    <w:unhideWhenUsed/>
    <w:qFormat/>
    <w:uiPriority w:val="99"/>
    <w:pPr>
      <w:pBdr>
        <w:bottom w:val="single" w:color="auto" w:sz="6" w:space="1"/>
      </w:pBdr>
      <w:tabs>
        <w:tab w:val="center" w:pos="4153"/>
        <w:tab w:val="right" w:pos="8306"/>
      </w:tabs>
      <w:snapToGrid w:val="0"/>
      <w:jc w:val="center"/>
    </w:pPr>
    <w:rPr>
      <w:sz w:val="18"/>
      <w:szCs w:val="18"/>
    </w:rPr>
  </w:style>
  <w:style w:type="paragraph" w:styleId="47">
    <w:name w:val="toc 1"/>
    <w:basedOn w:val="1"/>
    <w:next w:val="1"/>
    <w:qFormat/>
    <w:uiPriority w:val="39"/>
    <w:pPr>
      <w:tabs>
        <w:tab w:val="right" w:leader="dot" w:pos="9628"/>
      </w:tabs>
      <w:spacing w:line="360" w:lineRule="auto"/>
    </w:pPr>
    <w:rPr>
      <w:b/>
      <w:sz w:val="24"/>
    </w:rPr>
  </w:style>
  <w:style w:type="paragraph" w:styleId="48">
    <w:name w:val="toc 4"/>
    <w:basedOn w:val="1"/>
    <w:next w:val="1"/>
    <w:qFormat/>
    <w:uiPriority w:val="39"/>
    <w:pPr>
      <w:ind w:left="600" w:leftChars="600"/>
    </w:pPr>
  </w:style>
  <w:style w:type="paragraph" w:styleId="49">
    <w:name w:val="index heading"/>
    <w:basedOn w:val="1"/>
    <w:next w:val="50"/>
    <w:qFormat/>
    <w:uiPriority w:val="0"/>
    <w:pPr>
      <w:spacing w:line="440" w:lineRule="exact"/>
      <w:ind w:firstLine="630" w:firstLineChars="300"/>
      <w:jc w:val="left"/>
    </w:pPr>
    <w:rPr>
      <w:rFonts w:ascii="华文细黑" w:hAnsi="华文细黑" w:cs="Arial"/>
      <w:kern w:val="0"/>
      <w:szCs w:val="21"/>
    </w:rPr>
  </w:style>
  <w:style w:type="paragraph" w:styleId="50">
    <w:name w:val="index 1"/>
    <w:basedOn w:val="1"/>
    <w:next w:val="1"/>
    <w:qFormat/>
    <w:uiPriority w:val="0"/>
    <w:pPr>
      <w:ind w:firstLine="480" w:firstLineChars="200"/>
      <w:jc w:val="center"/>
    </w:pPr>
    <w:rPr>
      <w:sz w:val="24"/>
    </w:rPr>
  </w:style>
  <w:style w:type="paragraph" w:styleId="51">
    <w:name w:val="List"/>
    <w:basedOn w:val="1"/>
    <w:qFormat/>
    <w:uiPriority w:val="0"/>
    <w:pPr>
      <w:ind w:left="200" w:hanging="200" w:hangingChars="200"/>
    </w:pPr>
    <w:rPr>
      <w:szCs w:val="20"/>
    </w:rPr>
  </w:style>
  <w:style w:type="paragraph" w:styleId="52">
    <w:name w:val="footnote text"/>
    <w:basedOn w:val="1"/>
    <w:link w:val="257"/>
    <w:qFormat/>
    <w:uiPriority w:val="0"/>
    <w:pPr>
      <w:adjustRightInd w:val="0"/>
      <w:spacing w:line="315" w:lineRule="atLeast"/>
      <w:textAlignment w:val="baseline"/>
    </w:pPr>
    <w:rPr>
      <w:rFonts w:ascii="宋体"/>
      <w:kern w:val="0"/>
      <w:sz w:val="24"/>
      <w:szCs w:val="20"/>
    </w:rPr>
  </w:style>
  <w:style w:type="paragraph" w:styleId="53">
    <w:name w:val="toc 6"/>
    <w:basedOn w:val="1"/>
    <w:next w:val="1"/>
    <w:qFormat/>
    <w:uiPriority w:val="39"/>
    <w:pPr>
      <w:ind w:left="1000" w:leftChars="1000"/>
    </w:pPr>
  </w:style>
  <w:style w:type="paragraph" w:styleId="54">
    <w:name w:val="Body Text Indent 3"/>
    <w:basedOn w:val="1"/>
    <w:link w:val="109"/>
    <w:qFormat/>
    <w:uiPriority w:val="0"/>
    <w:pPr>
      <w:spacing w:line="360" w:lineRule="auto"/>
      <w:ind w:firstLine="192" w:firstLineChars="192"/>
    </w:pPr>
    <w:rPr>
      <w:rFonts w:ascii="仿宋_GB2312" w:eastAsia="仿宋_GB2312"/>
      <w:color w:val="3366FF"/>
      <w:sz w:val="24"/>
    </w:rPr>
  </w:style>
  <w:style w:type="paragraph" w:styleId="55">
    <w:name w:val="index 7"/>
    <w:basedOn w:val="1"/>
    <w:next w:val="1"/>
    <w:qFormat/>
    <w:uiPriority w:val="0"/>
    <w:pPr>
      <w:spacing w:line="440" w:lineRule="exact"/>
      <w:ind w:left="1200" w:leftChars="1200" w:firstLine="300" w:firstLineChars="300"/>
      <w:jc w:val="left"/>
    </w:pPr>
    <w:rPr>
      <w:rFonts w:ascii="华文细黑" w:hAnsi="华文细黑" w:cs="Arial"/>
      <w:kern w:val="0"/>
      <w:szCs w:val="21"/>
    </w:rPr>
  </w:style>
  <w:style w:type="paragraph" w:styleId="56">
    <w:name w:val="index 9"/>
    <w:basedOn w:val="1"/>
    <w:next w:val="1"/>
    <w:qFormat/>
    <w:uiPriority w:val="0"/>
    <w:pPr>
      <w:spacing w:line="440" w:lineRule="exact"/>
      <w:ind w:left="1600" w:leftChars="1600" w:firstLine="300" w:firstLineChars="300"/>
      <w:jc w:val="left"/>
    </w:pPr>
    <w:rPr>
      <w:rFonts w:ascii="华文细黑" w:hAnsi="华文细黑" w:cs="Arial"/>
      <w:kern w:val="0"/>
      <w:szCs w:val="21"/>
    </w:rPr>
  </w:style>
  <w:style w:type="paragraph" w:styleId="57">
    <w:name w:val="toc 2"/>
    <w:basedOn w:val="1"/>
    <w:next w:val="1"/>
    <w:qFormat/>
    <w:uiPriority w:val="39"/>
    <w:pPr>
      <w:tabs>
        <w:tab w:val="right" w:leader="dot" w:pos="9515"/>
      </w:tabs>
      <w:ind w:left="270" w:leftChars="100" w:right="100" w:rightChars="100" w:hanging="60"/>
    </w:pPr>
  </w:style>
  <w:style w:type="paragraph" w:styleId="58">
    <w:name w:val="toc 9"/>
    <w:basedOn w:val="1"/>
    <w:next w:val="1"/>
    <w:qFormat/>
    <w:uiPriority w:val="39"/>
    <w:pPr>
      <w:ind w:left="1600" w:leftChars="1600"/>
    </w:pPr>
  </w:style>
  <w:style w:type="paragraph" w:styleId="59">
    <w:name w:val="Body Text 2"/>
    <w:basedOn w:val="1"/>
    <w:link w:val="121"/>
    <w:qFormat/>
    <w:uiPriority w:val="0"/>
    <w:rPr>
      <w:rFonts w:ascii="宋体"/>
      <w:sz w:val="13"/>
      <w:szCs w:val="20"/>
    </w:rPr>
  </w:style>
  <w:style w:type="paragraph" w:styleId="60">
    <w:name w:val="List Continue 2"/>
    <w:basedOn w:val="1"/>
    <w:qFormat/>
    <w:uiPriority w:val="0"/>
    <w:pPr>
      <w:spacing w:after="120"/>
      <w:ind w:left="840" w:leftChars="400"/>
      <w:jc w:val="left"/>
    </w:pPr>
    <w:rPr>
      <w:rFonts w:cs="Arial"/>
      <w:szCs w:val="21"/>
    </w:rPr>
  </w:style>
  <w:style w:type="paragraph" w:styleId="61">
    <w:name w:val="HTML Preformatted"/>
    <w:basedOn w:val="1"/>
    <w:link w:val="2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0"/>
      <w:szCs w:val="21"/>
    </w:rPr>
  </w:style>
  <w:style w:type="paragraph" w:styleId="62">
    <w:name w:val="Normal (Web)"/>
    <w:basedOn w:val="1"/>
    <w:link w:val="468"/>
    <w:qFormat/>
    <w:uiPriority w:val="0"/>
    <w:pPr>
      <w:widowControl/>
      <w:spacing w:before="100" w:beforeAutospacing="1" w:after="100" w:afterAutospacing="1"/>
      <w:jc w:val="left"/>
    </w:pPr>
    <w:rPr>
      <w:kern w:val="0"/>
      <w:sz w:val="24"/>
    </w:rPr>
  </w:style>
  <w:style w:type="paragraph" w:styleId="63">
    <w:name w:val="index 2"/>
    <w:basedOn w:val="1"/>
    <w:next w:val="1"/>
    <w:qFormat/>
    <w:uiPriority w:val="0"/>
    <w:pPr>
      <w:spacing w:line="440" w:lineRule="exact"/>
      <w:ind w:left="200" w:leftChars="200" w:firstLine="300" w:firstLineChars="300"/>
      <w:jc w:val="left"/>
    </w:pPr>
    <w:rPr>
      <w:rFonts w:ascii="华文细黑" w:hAnsi="华文细黑" w:cs="Arial"/>
      <w:kern w:val="0"/>
      <w:szCs w:val="21"/>
    </w:rPr>
  </w:style>
  <w:style w:type="paragraph" w:styleId="64">
    <w:name w:val="annotation subject"/>
    <w:basedOn w:val="23"/>
    <w:next w:val="23"/>
    <w:link w:val="100"/>
    <w:qFormat/>
    <w:uiPriority w:val="99"/>
    <w:rPr>
      <w:b/>
      <w:bCs/>
    </w:rPr>
  </w:style>
  <w:style w:type="paragraph" w:styleId="65">
    <w:name w:val="Body Text First Indent"/>
    <w:basedOn w:val="28"/>
    <w:link w:val="97"/>
    <w:qFormat/>
    <w:uiPriority w:val="0"/>
    <w:pPr>
      <w:tabs>
        <w:tab w:val="center" w:pos="2185"/>
      </w:tabs>
      <w:spacing w:beforeLines="50" w:after="0" w:line="300" w:lineRule="auto"/>
      <w:ind w:firstLine="200" w:firstLineChars="200"/>
    </w:pPr>
    <w:rPr>
      <w:rFonts w:ascii="楷体_GB2312" w:eastAsia="楷体_GB2312"/>
      <w:spacing w:val="4"/>
      <w:szCs w:val="20"/>
    </w:rPr>
  </w:style>
  <w:style w:type="paragraph" w:styleId="66">
    <w:name w:val="Body Text First Indent 2"/>
    <w:basedOn w:val="30"/>
    <w:next w:val="1"/>
    <w:link w:val="244"/>
    <w:qFormat/>
    <w:uiPriority w:val="0"/>
    <w:pPr>
      <w:spacing w:after="120"/>
      <w:ind w:left="420" w:leftChars="200" w:firstLine="420"/>
      <w:jc w:val="both"/>
    </w:pPr>
    <w:rPr>
      <w:rFonts w:ascii="宋体" w:eastAsia="宋体"/>
      <w:spacing w:val="-4"/>
      <w:sz w:val="21"/>
    </w:rPr>
  </w:style>
  <w:style w:type="table" w:styleId="68">
    <w:name w:val="Table Grid"/>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70">
    <w:name w:val="Strong"/>
    <w:qFormat/>
    <w:uiPriority w:val="0"/>
    <w:rPr>
      <w:b/>
      <w:bCs/>
    </w:rPr>
  </w:style>
  <w:style w:type="character" w:styleId="71">
    <w:name w:val="page number"/>
    <w:basedOn w:val="69"/>
    <w:qFormat/>
    <w:uiPriority w:val="0"/>
  </w:style>
  <w:style w:type="character" w:styleId="72">
    <w:name w:val="FollowedHyperlink"/>
    <w:qFormat/>
    <w:uiPriority w:val="99"/>
    <w:rPr>
      <w:color w:val="800080"/>
      <w:u w:val="single"/>
    </w:rPr>
  </w:style>
  <w:style w:type="character" w:styleId="73">
    <w:name w:val="Emphasis"/>
    <w:basedOn w:val="69"/>
    <w:qFormat/>
    <w:uiPriority w:val="0"/>
    <w:rPr>
      <w:i/>
      <w:iCs/>
    </w:rPr>
  </w:style>
  <w:style w:type="character" w:styleId="74">
    <w:name w:val="Hyperlink"/>
    <w:qFormat/>
    <w:uiPriority w:val="99"/>
    <w:rPr>
      <w:color w:val="0000FF"/>
      <w:u w:val="single"/>
    </w:rPr>
  </w:style>
  <w:style w:type="character" w:styleId="75">
    <w:name w:val="annotation reference"/>
    <w:qFormat/>
    <w:uiPriority w:val="0"/>
    <w:rPr>
      <w:sz w:val="21"/>
      <w:szCs w:val="21"/>
    </w:rPr>
  </w:style>
  <w:style w:type="character" w:styleId="76">
    <w:name w:val="footnote reference"/>
    <w:basedOn w:val="69"/>
    <w:semiHidden/>
    <w:unhideWhenUsed/>
    <w:qFormat/>
    <w:uiPriority w:val="99"/>
    <w:rPr>
      <w:vertAlign w:val="superscript"/>
    </w:rPr>
  </w:style>
  <w:style w:type="paragraph" w:customStyle="1" w:styleId="77">
    <w:name w:val="正文2.0"/>
    <w:qFormat/>
    <w:uiPriority w:val="0"/>
    <w:pPr>
      <w:spacing w:line="480" w:lineRule="auto"/>
    </w:pPr>
    <w:rPr>
      <w:rFonts w:ascii="Calibri" w:hAnsi="Calibri" w:eastAsia="Times New Roman" w:cs="Times New Roman"/>
      <w:sz w:val="24"/>
      <w:szCs w:val="22"/>
      <w:lang w:val="en-US" w:eastAsia="zh-CN" w:bidi="ar-SA"/>
    </w:rPr>
  </w:style>
  <w:style w:type="character" w:customStyle="1" w:styleId="78">
    <w:name w:val="标题 1 Char"/>
    <w:link w:val="2"/>
    <w:qFormat/>
    <w:uiPriority w:val="99"/>
    <w:rPr>
      <w:rFonts w:cs="Times New Roman" w:asciiTheme="minorEastAsia" w:hAnsiTheme="minorEastAsia" w:eastAsiaTheme="minorEastAsia"/>
      <w:b/>
      <w:bCs/>
      <w:color w:val="000000" w:themeColor="text1"/>
      <w:kern w:val="0"/>
      <w:sz w:val="32"/>
      <w:szCs w:val="20"/>
      <w:highlight w:val="none"/>
      <w:lang w:val="en-US" w:eastAsia="zh-CN" w:bidi="ar-SA"/>
      <w14:textFill>
        <w14:solidFill>
          <w14:schemeClr w14:val="tx1"/>
        </w14:solidFill>
      </w14:textFill>
    </w:rPr>
  </w:style>
  <w:style w:type="character" w:customStyle="1" w:styleId="79">
    <w:name w:val="标题 2 Char"/>
    <w:link w:val="3"/>
    <w:qFormat/>
    <w:uiPriority w:val="0"/>
    <w:rPr>
      <w:rFonts w:cs="Times New Roman" w:asciiTheme="minorEastAsia" w:hAnsiTheme="minorEastAsia" w:eastAsiaTheme="minorEastAsia"/>
      <w:b/>
      <w:bCs/>
      <w:color w:val="000000" w:themeColor="text1"/>
      <w:kern w:val="2"/>
      <w:sz w:val="24"/>
      <w:szCs w:val="24"/>
      <w:highlight w:val="none"/>
      <w:lang w:val="en-US" w:eastAsia="zh-CN" w:bidi="ar-SA"/>
      <w14:textFill>
        <w14:solidFill>
          <w14:schemeClr w14:val="tx1"/>
        </w14:solidFill>
      </w14:textFill>
    </w:rPr>
  </w:style>
  <w:style w:type="character" w:customStyle="1" w:styleId="80">
    <w:name w:val="标题 3 Char"/>
    <w:link w:val="4"/>
    <w:qFormat/>
    <w:uiPriority w:val="0"/>
    <w:rPr>
      <w:rFonts w:ascii="宋体"/>
      <w:b/>
      <w:bCs/>
      <w:sz w:val="32"/>
      <w:szCs w:val="32"/>
    </w:rPr>
  </w:style>
  <w:style w:type="character" w:customStyle="1" w:styleId="81">
    <w:name w:val="标题 4 Char"/>
    <w:link w:val="5"/>
    <w:qFormat/>
    <w:uiPriority w:val="0"/>
    <w:rPr>
      <w:rFonts w:ascii="Arial" w:hAnsi="Arial" w:eastAsia="黑体"/>
      <w:b/>
      <w:bCs/>
      <w:kern w:val="2"/>
      <w:sz w:val="28"/>
      <w:szCs w:val="28"/>
    </w:rPr>
  </w:style>
  <w:style w:type="character" w:customStyle="1" w:styleId="82">
    <w:name w:val="标题 5 Char"/>
    <w:link w:val="6"/>
    <w:qFormat/>
    <w:uiPriority w:val="0"/>
    <w:rPr>
      <w:b/>
      <w:sz w:val="24"/>
      <w:szCs w:val="24"/>
    </w:rPr>
  </w:style>
  <w:style w:type="character" w:customStyle="1" w:styleId="83">
    <w:name w:val="题注 Char"/>
    <w:link w:val="18"/>
    <w:qFormat/>
    <w:uiPriority w:val="0"/>
    <w:rPr>
      <w:rFonts w:ascii="Cambria" w:hAnsi="Cambria" w:eastAsia="黑体"/>
    </w:rPr>
  </w:style>
  <w:style w:type="character" w:customStyle="1" w:styleId="84">
    <w:name w:val="页眉 Char"/>
    <w:basedOn w:val="69"/>
    <w:link w:val="46"/>
    <w:qFormat/>
    <w:uiPriority w:val="99"/>
    <w:rPr>
      <w:kern w:val="2"/>
      <w:sz w:val="18"/>
      <w:szCs w:val="18"/>
    </w:rPr>
  </w:style>
  <w:style w:type="character" w:customStyle="1" w:styleId="85">
    <w:name w:val="页脚 Char"/>
    <w:basedOn w:val="69"/>
    <w:link w:val="45"/>
    <w:qFormat/>
    <w:uiPriority w:val="0"/>
    <w:rPr>
      <w:kern w:val="2"/>
      <w:sz w:val="18"/>
      <w:szCs w:val="18"/>
    </w:rPr>
  </w:style>
  <w:style w:type="character" w:customStyle="1" w:styleId="86">
    <w:name w:val="标题 6 Char"/>
    <w:basedOn w:val="69"/>
    <w:link w:val="7"/>
    <w:qFormat/>
    <w:uiPriority w:val="0"/>
    <w:rPr>
      <w:rFonts w:ascii="Arial" w:hAnsi="Arial" w:eastAsia="黑体"/>
      <w:b/>
      <w:bCs/>
      <w:kern w:val="2"/>
      <w:sz w:val="24"/>
      <w:szCs w:val="24"/>
    </w:rPr>
  </w:style>
  <w:style w:type="character" w:customStyle="1" w:styleId="87">
    <w:name w:val="标题 7 Char"/>
    <w:basedOn w:val="69"/>
    <w:link w:val="8"/>
    <w:qFormat/>
    <w:uiPriority w:val="0"/>
    <w:rPr>
      <w:i/>
      <w:position w:val="-6"/>
      <w:sz w:val="22"/>
      <w:lang w:val="en-GB"/>
    </w:rPr>
  </w:style>
  <w:style w:type="character" w:customStyle="1" w:styleId="88">
    <w:name w:val="标题 8 Char"/>
    <w:basedOn w:val="69"/>
    <w:link w:val="9"/>
    <w:qFormat/>
    <w:uiPriority w:val="0"/>
    <w:rPr>
      <w:i/>
      <w:position w:val="-6"/>
      <w:sz w:val="22"/>
      <w:lang w:val="en-GB"/>
    </w:rPr>
  </w:style>
  <w:style w:type="character" w:customStyle="1" w:styleId="89">
    <w:name w:val="标题 9 Char"/>
    <w:basedOn w:val="69"/>
    <w:link w:val="10"/>
    <w:qFormat/>
    <w:uiPriority w:val="0"/>
    <w:rPr>
      <w:i/>
      <w:position w:val="-6"/>
      <w:sz w:val="22"/>
      <w:lang w:val="en-GB"/>
    </w:rPr>
  </w:style>
  <w:style w:type="character" w:customStyle="1" w:styleId="90">
    <w:name w:val="日期 Char"/>
    <w:link w:val="41"/>
    <w:qFormat/>
    <w:uiPriority w:val="0"/>
    <w:rPr>
      <w:rFonts w:ascii="仿宋_GB2312" w:eastAsia="仿宋_GB2312"/>
      <w:sz w:val="28"/>
      <w:szCs w:val="24"/>
    </w:rPr>
  </w:style>
  <w:style w:type="character" w:customStyle="1" w:styleId="91">
    <w:name w:val="普通文字 Char Char1"/>
    <w:qFormat/>
    <w:uiPriority w:val="0"/>
    <w:rPr>
      <w:rFonts w:ascii="宋体" w:eastAsia="宋体"/>
      <w:kern w:val="2"/>
      <w:sz w:val="21"/>
      <w:lang w:val="en-US" w:eastAsia="zh-CN" w:bidi="ar-SA"/>
    </w:rPr>
  </w:style>
  <w:style w:type="character" w:customStyle="1" w:styleId="92">
    <w:name w:val="纯文本 Char"/>
    <w:link w:val="37"/>
    <w:qFormat/>
    <w:uiPriority w:val="0"/>
    <w:rPr>
      <w:rFonts w:ascii="宋体"/>
      <w:szCs w:val="24"/>
    </w:rPr>
  </w:style>
  <w:style w:type="character" w:customStyle="1" w:styleId="93">
    <w:name w:val="grame"/>
    <w:basedOn w:val="69"/>
    <w:qFormat/>
    <w:uiPriority w:val="0"/>
  </w:style>
  <w:style w:type="character" w:customStyle="1" w:styleId="94">
    <w:name w:val="para1"/>
    <w:qFormat/>
    <w:uiPriority w:val="0"/>
    <w:rPr>
      <w:rFonts w:hint="default" w:ascii="Arial" w:hAnsi="Arial" w:cs="Arial"/>
      <w:sz w:val="18"/>
      <w:szCs w:val="18"/>
    </w:rPr>
  </w:style>
  <w:style w:type="character" w:customStyle="1" w:styleId="95">
    <w:name w:val="批注文字 Char"/>
    <w:basedOn w:val="69"/>
    <w:link w:val="23"/>
    <w:qFormat/>
    <w:uiPriority w:val="0"/>
    <w:rPr>
      <w:kern w:val="2"/>
      <w:sz w:val="21"/>
      <w:szCs w:val="24"/>
    </w:rPr>
  </w:style>
  <w:style w:type="character" w:customStyle="1" w:styleId="96">
    <w:name w:val="正文文本 Char"/>
    <w:basedOn w:val="69"/>
    <w:link w:val="28"/>
    <w:qFormat/>
    <w:uiPriority w:val="0"/>
    <w:rPr>
      <w:kern w:val="2"/>
      <w:sz w:val="21"/>
      <w:szCs w:val="24"/>
    </w:rPr>
  </w:style>
  <w:style w:type="character" w:customStyle="1" w:styleId="97">
    <w:name w:val="正文首行缩进 Char"/>
    <w:basedOn w:val="96"/>
    <w:link w:val="65"/>
    <w:qFormat/>
    <w:uiPriority w:val="0"/>
    <w:rPr>
      <w:rFonts w:ascii="楷体_GB2312" w:eastAsia="楷体_GB2312"/>
      <w:spacing w:val="4"/>
      <w:kern w:val="2"/>
      <w:sz w:val="21"/>
      <w:szCs w:val="24"/>
    </w:rPr>
  </w:style>
  <w:style w:type="character" w:customStyle="1" w:styleId="98">
    <w:name w:val="正文文本缩进 Char"/>
    <w:basedOn w:val="69"/>
    <w:link w:val="30"/>
    <w:qFormat/>
    <w:uiPriority w:val="0"/>
    <w:rPr>
      <w:rFonts w:ascii="仿宋_GB2312" w:eastAsia="仿宋_GB2312"/>
      <w:kern w:val="2"/>
      <w:sz w:val="28"/>
      <w:szCs w:val="24"/>
    </w:rPr>
  </w:style>
  <w:style w:type="character" w:customStyle="1" w:styleId="99">
    <w:name w:val="文档结构图 Char"/>
    <w:basedOn w:val="69"/>
    <w:link w:val="21"/>
    <w:qFormat/>
    <w:uiPriority w:val="0"/>
    <w:rPr>
      <w:kern w:val="2"/>
      <w:sz w:val="21"/>
      <w:szCs w:val="24"/>
      <w:shd w:val="clear" w:color="auto" w:fill="000080"/>
    </w:rPr>
  </w:style>
  <w:style w:type="character" w:customStyle="1" w:styleId="100">
    <w:name w:val="批注主题 Char"/>
    <w:basedOn w:val="95"/>
    <w:link w:val="64"/>
    <w:qFormat/>
    <w:uiPriority w:val="99"/>
    <w:rPr>
      <w:b/>
      <w:bCs/>
      <w:kern w:val="2"/>
      <w:sz w:val="21"/>
      <w:szCs w:val="24"/>
    </w:rPr>
  </w:style>
  <w:style w:type="character" w:customStyle="1" w:styleId="101">
    <w:name w:val="纯文本 Char1"/>
    <w:basedOn w:val="69"/>
    <w:qFormat/>
    <w:uiPriority w:val="0"/>
    <w:rPr>
      <w:rFonts w:ascii="宋体" w:hAnsi="Courier New" w:cs="Courier New"/>
      <w:kern w:val="2"/>
      <w:sz w:val="21"/>
      <w:szCs w:val="21"/>
    </w:rPr>
  </w:style>
  <w:style w:type="paragraph" w:customStyle="1" w:styleId="102">
    <w:name w:val="_Style 89"/>
    <w:basedOn w:val="1"/>
    <w:qFormat/>
    <w:uiPriority w:val="0"/>
    <w:rPr>
      <w:rFonts w:ascii="Tahoma" w:hAnsi="Tahoma"/>
      <w:sz w:val="24"/>
      <w:szCs w:val="20"/>
    </w:rPr>
  </w:style>
  <w:style w:type="paragraph" w:customStyle="1" w:styleId="103">
    <w:name w:val="xl3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04">
    <w:name w:val="xl4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105">
    <w:name w:val="xl41"/>
    <w:basedOn w:val="1"/>
    <w:qFormat/>
    <w:uiPriority w:val="0"/>
    <w:pPr>
      <w:widowControl/>
      <w:pBdr>
        <w:top w:val="single" w:color="000000"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character" w:customStyle="1" w:styleId="106">
    <w:name w:val="批注框文本 Char"/>
    <w:basedOn w:val="69"/>
    <w:link w:val="44"/>
    <w:qFormat/>
    <w:uiPriority w:val="99"/>
    <w:rPr>
      <w:kern w:val="2"/>
      <w:sz w:val="18"/>
      <w:szCs w:val="18"/>
    </w:rPr>
  </w:style>
  <w:style w:type="paragraph" w:customStyle="1" w:styleId="107">
    <w:name w:val="Bullet_Title"/>
    <w:basedOn w:val="1"/>
    <w:qFormat/>
    <w:uiPriority w:val="0"/>
    <w:pPr>
      <w:tabs>
        <w:tab w:val="left" w:pos="814"/>
      </w:tabs>
      <w:spacing w:after="78" w:line="300" w:lineRule="auto"/>
      <w:ind w:left="794" w:hanging="340"/>
    </w:pPr>
    <w:rPr>
      <w:rFonts w:ascii="Arial Narrow" w:hAnsi="Arial Narrow"/>
      <w:sz w:val="24"/>
      <w:szCs w:val="20"/>
    </w:rPr>
  </w:style>
  <w:style w:type="paragraph" w:customStyle="1" w:styleId="108">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kern w:val="0"/>
      <w:sz w:val="20"/>
      <w:szCs w:val="20"/>
    </w:rPr>
  </w:style>
  <w:style w:type="character" w:customStyle="1" w:styleId="109">
    <w:name w:val="正文文本缩进 3 Char"/>
    <w:basedOn w:val="69"/>
    <w:link w:val="54"/>
    <w:qFormat/>
    <w:uiPriority w:val="0"/>
    <w:rPr>
      <w:rFonts w:ascii="仿宋_GB2312" w:eastAsia="仿宋_GB2312"/>
      <w:color w:val="3366FF"/>
      <w:kern w:val="2"/>
      <w:sz w:val="24"/>
      <w:szCs w:val="24"/>
    </w:rPr>
  </w:style>
  <w:style w:type="paragraph" w:customStyle="1" w:styleId="110">
    <w:name w:val="xl61"/>
    <w:basedOn w:val="1"/>
    <w:qFormat/>
    <w:uiPriority w:val="0"/>
    <w:pPr>
      <w:widowControl/>
      <w:pBdr>
        <w:top w:val="double" w:color="auto" w:sz="6"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宋体"/>
      <w:kern w:val="0"/>
      <w:sz w:val="20"/>
      <w:szCs w:val="20"/>
    </w:rPr>
  </w:style>
  <w:style w:type="character" w:customStyle="1" w:styleId="111">
    <w:name w:val="日期 Char1"/>
    <w:basedOn w:val="69"/>
    <w:semiHidden/>
    <w:qFormat/>
    <w:uiPriority w:val="99"/>
    <w:rPr>
      <w:kern w:val="2"/>
      <w:sz w:val="21"/>
      <w:szCs w:val="24"/>
    </w:rPr>
  </w:style>
  <w:style w:type="paragraph" w:customStyle="1" w:styleId="112">
    <w:name w:val="xl4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113">
    <w:name w:val="Char Char Char Char1 Char Char Char"/>
    <w:basedOn w:val="1"/>
    <w:qFormat/>
    <w:uiPriority w:val="0"/>
    <w:pPr>
      <w:spacing w:line="240" w:lineRule="atLeast"/>
      <w:ind w:left="420" w:firstLine="420"/>
    </w:pPr>
    <w:rPr>
      <w:szCs w:val="20"/>
    </w:rPr>
  </w:style>
  <w:style w:type="paragraph" w:customStyle="1" w:styleId="114">
    <w:name w:val="xl35"/>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15">
    <w:name w:val="xl30"/>
    <w:basedOn w:val="1"/>
    <w:qFormat/>
    <w:uiPriority w:val="0"/>
    <w:pPr>
      <w:widowControl/>
      <w:pBdr>
        <w:bottom w:val="single" w:color="auto" w:sz="8" w:space="0"/>
      </w:pBdr>
      <w:spacing w:before="100" w:beforeAutospacing="1" w:after="100" w:afterAutospacing="1"/>
      <w:jc w:val="left"/>
    </w:pPr>
    <w:rPr>
      <w:rFonts w:ascii="仿宋_GB2312" w:eastAsia="仿宋_GB2312"/>
      <w:kern w:val="0"/>
      <w:sz w:val="24"/>
    </w:rPr>
  </w:style>
  <w:style w:type="character" w:customStyle="1" w:styleId="116">
    <w:name w:val="正文文本缩进 2 Char"/>
    <w:basedOn w:val="69"/>
    <w:link w:val="42"/>
    <w:qFormat/>
    <w:uiPriority w:val="0"/>
    <w:rPr>
      <w:rFonts w:ascii="仿宋_GB2312" w:eastAsia="仿宋_GB2312"/>
      <w:kern w:val="2"/>
      <w:sz w:val="28"/>
      <w:szCs w:val="24"/>
    </w:rPr>
  </w:style>
  <w:style w:type="paragraph" w:customStyle="1" w:styleId="117">
    <w:name w:val="xl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kern w:val="0"/>
      <w:sz w:val="20"/>
      <w:szCs w:val="20"/>
    </w:rPr>
  </w:style>
  <w:style w:type="paragraph" w:customStyle="1" w:styleId="11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character" w:customStyle="1" w:styleId="119">
    <w:name w:val="页脚 Char1"/>
    <w:basedOn w:val="69"/>
    <w:qFormat/>
    <w:uiPriority w:val="99"/>
    <w:rPr>
      <w:kern w:val="2"/>
      <w:sz w:val="18"/>
      <w:szCs w:val="18"/>
    </w:rPr>
  </w:style>
  <w:style w:type="paragraph" w:customStyle="1" w:styleId="120">
    <w:name w:val="xl3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character" w:customStyle="1" w:styleId="121">
    <w:name w:val="正文文本 2 Char"/>
    <w:basedOn w:val="69"/>
    <w:link w:val="59"/>
    <w:qFormat/>
    <w:uiPriority w:val="0"/>
    <w:rPr>
      <w:rFonts w:ascii="宋体"/>
      <w:kern w:val="2"/>
      <w:sz w:val="13"/>
    </w:rPr>
  </w:style>
  <w:style w:type="paragraph" w:customStyle="1" w:styleId="122">
    <w:name w:val="xl29"/>
    <w:basedOn w:val="1"/>
    <w:qFormat/>
    <w:uiPriority w:val="0"/>
    <w:pPr>
      <w:widowControl/>
      <w:pBdr>
        <w:bottom w:val="single" w:color="auto" w:sz="8" w:space="0"/>
      </w:pBdr>
      <w:spacing w:before="100" w:beforeAutospacing="1" w:after="100" w:afterAutospacing="1"/>
      <w:textAlignment w:val="top"/>
    </w:pPr>
    <w:rPr>
      <w:rFonts w:ascii="仿宋_GB2312" w:eastAsia="仿宋_GB2312"/>
      <w:kern w:val="0"/>
      <w:sz w:val="24"/>
    </w:rPr>
  </w:style>
  <w:style w:type="paragraph" w:customStyle="1" w:styleId="123">
    <w:name w:val="1"/>
    <w:basedOn w:val="1"/>
    <w:next w:val="32"/>
    <w:qFormat/>
    <w:uiPriority w:val="0"/>
    <w:pPr>
      <w:adjustRightInd w:val="0"/>
      <w:ind w:left="420" w:right="33"/>
      <w:jc w:val="left"/>
      <w:textAlignment w:val="baseline"/>
    </w:pPr>
    <w:rPr>
      <w:kern w:val="0"/>
      <w:sz w:val="24"/>
      <w:szCs w:val="20"/>
    </w:rPr>
  </w:style>
  <w:style w:type="paragraph" w:customStyle="1" w:styleId="124">
    <w:name w:val="xl2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25">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0"/>
      <w:szCs w:val="20"/>
    </w:rPr>
  </w:style>
  <w:style w:type="paragraph" w:customStyle="1" w:styleId="126">
    <w:name w:val="xl48"/>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127">
    <w:name w:val="font9"/>
    <w:basedOn w:val="1"/>
    <w:qFormat/>
    <w:uiPriority w:val="0"/>
    <w:pPr>
      <w:widowControl/>
      <w:spacing w:before="100" w:beforeAutospacing="1" w:after="100" w:afterAutospacing="1"/>
      <w:jc w:val="left"/>
    </w:pPr>
    <w:rPr>
      <w:rFonts w:ascii="宋体"/>
      <w:b/>
      <w:bCs/>
      <w:color w:val="000000"/>
      <w:kern w:val="0"/>
      <w:sz w:val="18"/>
      <w:szCs w:val="18"/>
    </w:rPr>
  </w:style>
  <w:style w:type="paragraph" w:customStyle="1" w:styleId="128">
    <w:name w:val="xl42"/>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29">
    <w:name w:val="xl28"/>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kern w:val="0"/>
      <w:sz w:val="24"/>
    </w:rPr>
  </w:style>
  <w:style w:type="paragraph" w:customStyle="1" w:styleId="13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31">
    <w:name w:val="xl51"/>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kern w:val="0"/>
      <w:sz w:val="20"/>
      <w:szCs w:val="20"/>
    </w:rPr>
  </w:style>
  <w:style w:type="paragraph" w:customStyle="1" w:styleId="132">
    <w:name w:val="xl4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eastAsia="仿宋_GB2312"/>
      <w:b/>
      <w:bCs/>
      <w:kern w:val="0"/>
      <w:sz w:val="24"/>
    </w:rPr>
  </w:style>
  <w:style w:type="paragraph" w:customStyle="1" w:styleId="133">
    <w:name w:val="xl31"/>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ascii="仿宋_GB2312" w:eastAsia="仿宋_GB2312"/>
      <w:kern w:val="0"/>
      <w:sz w:val="24"/>
    </w:rPr>
  </w:style>
  <w:style w:type="paragraph" w:customStyle="1" w:styleId="134">
    <w:name w:val="xl2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35">
    <w:name w:val="Char13"/>
    <w:basedOn w:val="1"/>
    <w:qFormat/>
    <w:uiPriority w:val="0"/>
  </w:style>
  <w:style w:type="paragraph" w:customStyle="1" w:styleId="136">
    <w:name w:val="xl44"/>
    <w:basedOn w:val="1"/>
    <w:qFormat/>
    <w:uiPriority w:val="0"/>
    <w:pPr>
      <w:widowControl/>
      <w:pBdr>
        <w:top w:val="single" w:color="auto" w:sz="8" w:space="0"/>
        <w:bottom w:val="single" w:color="auto" w:sz="8" w:space="0"/>
      </w:pBdr>
      <w:spacing w:before="100" w:beforeAutospacing="1" w:after="100" w:afterAutospacing="1"/>
      <w:jc w:val="center"/>
    </w:pPr>
    <w:rPr>
      <w:rFonts w:ascii="仿宋_GB2312" w:eastAsia="仿宋_GB2312"/>
      <w:b/>
      <w:bCs/>
      <w:kern w:val="0"/>
      <w:sz w:val="24"/>
    </w:rPr>
  </w:style>
  <w:style w:type="paragraph" w:customStyle="1" w:styleId="137">
    <w:name w:val="font6"/>
    <w:basedOn w:val="1"/>
    <w:qFormat/>
    <w:uiPriority w:val="0"/>
    <w:pPr>
      <w:widowControl/>
      <w:spacing w:before="100" w:beforeAutospacing="1" w:after="100" w:afterAutospacing="1"/>
      <w:jc w:val="left"/>
    </w:pPr>
    <w:rPr>
      <w:rFonts w:ascii="宋体"/>
      <w:color w:val="0000FF"/>
      <w:kern w:val="0"/>
      <w:sz w:val="24"/>
      <w:u w:val="single"/>
    </w:rPr>
  </w:style>
  <w:style w:type="paragraph" w:customStyle="1" w:styleId="138">
    <w:name w:val="xl39"/>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139">
    <w:name w:val="xl2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40">
    <w:name w:val="xl43"/>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仿宋_GB2312" w:eastAsia="仿宋_GB2312"/>
      <w:b/>
      <w:bCs/>
      <w:kern w:val="0"/>
      <w:sz w:val="24"/>
    </w:rPr>
  </w:style>
  <w:style w:type="paragraph" w:customStyle="1" w:styleId="141">
    <w:name w:val="xl38"/>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仿宋_GB2312" w:eastAsia="仿宋_GB2312"/>
      <w:b/>
      <w:bCs/>
      <w:kern w:val="0"/>
      <w:sz w:val="24"/>
    </w:rPr>
  </w:style>
  <w:style w:type="paragraph" w:customStyle="1" w:styleId="142">
    <w:name w:val="xl3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43">
    <w:name w:val="font5"/>
    <w:basedOn w:val="1"/>
    <w:qFormat/>
    <w:uiPriority w:val="0"/>
    <w:pPr>
      <w:widowControl/>
      <w:spacing w:before="100" w:beforeAutospacing="1" w:after="100" w:afterAutospacing="1"/>
      <w:jc w:val="left"/>
    </w:pPr>
    <w:rPr>
      <w:rFonts w:ascii="宋体"/>
      <w:kern w:val="0"/>
      <w:sz w:val="18"/>
      <w:szCs w:val="18"/>
    </w:rPr>
  </w:style>
  <w:style w:type="paragraph" w:customStyle="1" w:styleId="144">
    <w:name w:val="xl37"/>
    <w:basedOn w:val="1"/>
    <w:qFormat/>
    <w:uiPriority w:val="0"/>
    <w:pPr>
      <w:widowControl/>
      <w:pBdr>
        <w:left w:val="single" w:color="auto" w:sz="8" w:space="0"/>
        <w:bottom w:val="single" w:color="000000" w:sz="8" w:space="0"/>
        <w:right w:val="single" w:color="auto" w:sz="8" w:space="0"/>
      </w:pBdr>
      <w:spacing w:before="100" w:beforeAutospacing="1" w:after="100" w:afterAutospacing="1"/>
      <w:jc w:val="center"/>
      <w:textAlignment w:val="center"/>
    </w:pPr>
    <w:rPr>
      <w:rFonts w:ascii="仿宋_GB2312" w:eastAsia="仿宋_GB2312"/>
      <w:kern w:val="0"/>
      <w:sz w:val="24"/>
    </w:rPr>
  </w:style>
  <w:style w:type="paragraph" w:customStyle="1" w:styleId="145">
    <w:name w:val="xl32"/>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b/>
      <w:bCs/>
      <w:kern w:val="0"/>
      <w:sz w:val="24"/>
    </w:rPr>
  </w:style>
  <w:style w:type="paragraph" w:customStyle="1" w:styleId="146">
    <w:name w:val="xl2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kern w:val="0"/>
      <w:sz w:val="24"/>
    </w:rPr>
  </w:style>
  <w:style w:type="paragraph" w:customStyle="1" w:styleId="147">
    <w:name w:val="xl47"/>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kern w:val="0"/>
      <w:sz w:val="24"/>
    </w:rPr>
  </w:style>
  <w:style w:type="paragraph" w:customStyle="1" w:styleId="148">
    <w:name w:val="font7"/>
    <w:basedOn w:val="1"/>
    <w:qFormat/>
    <w:uiPriority w:val="0"/>
    <w:pPr>
      <w:widowControl/>
      <w:spacing w:before="100" w:beforeAutospacing="1" w:after="100" w:afterAutospacing="1"/>
      <w:jc w:val="left"/>
    </w:pPr>
    <w:rPr>
      <w:rFonts w:ascii="宋体"/>
      <w:kern w:val="0"/>
      <w:sz w:val="18"/>
      <w:szCs w:val="18"/>
    </w:rPr>
  </w:style>
  <w:style w:type="paragraph" w:customStyle="1" w:styleId="149">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50">
    <w:name w:val="font8"/>
    <w:basedOn w:val="1"/>
    <w:qFormat/>
    <w:uiPriority w:val="0"/>
    <w:pPr>
      <w:widowControl/>
      <w:spacing w:before="100" w:beforeAutospacing="1" w:after="100" w:afterAutospacing="1"/>
      <w:jc w:val="left"/>
    </w:pPr>
    <w:rPr>
      <w:kern w:val="0"/>
      <w:sz w:val="20"/>
      <w:szCs w:val="20"/>
    </w:rPr>
  </w:style>
  <w:style w:type="paragraph" w:customStyle="1" w:styleId="151">
    <w:name w:val="xl49"/>
    <w:basedOn w:val="1"/>
    <w:qFormat/>
    <w:uiPriority w:val="0"/>
    <w:pPr>
      <w:widowControl/>
      <w:pBdr>
        <w:left w:val="single" w:color="auto" w:sz="4" w:space="0"/>
        <w:bottom w:val="double" w:color="auto" w:sz="6" w:space="0"/>
        <w:right w:val="single" w:color="auto" w:sz="4" w:space="0"/>
      </w:pBdr>
      <w:shd w:val="clear" w:color="auto" w:fill="FFFFFF"/>
      <w:spacing w:before="100" w:beforeAutospacing="1" w:after="100" w:afterAutospacing="1"/>
      <w:jc w:val="left"/>
      <w:textAlignment w:val="center"/>
    </w:pPr>
    <w:rPr>
      <w:kern w:val="0"/>
      <w:sz w:val="20"/>
      <w:szCs w:val="20"/>
    </w:rPr>
  </w:style>
  <w:style w:type="paragraph" w:customStyle="1" w:styleId="152">
    <w:name w:val="xl5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textAlignment w:val="center"/>
    </w:pPr>
    <w:rPr>
      <w:kern w:val="0"/>
      <w:sz w:val="20"/>
      <w:szCs w:val="20"/>
    </w:rPr>
  </w:style>
  <w:style w:type="paragraph" w:customStyle="1" w:styleId="153">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kern w:val="0"/>
      <w:sz w:val="20"/>
      <w:szCs w:val="20"/>
    </w:rPr>
  </w:style>
  <w:style w:type="paragraph" w:customStyle="1" w:styleId="154">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kern w:val="0"/>
      <w:sz w:val="20"/>
      <w:szCs w:val="20"/>
    </w:rPr>
  </w:style>
  <w:style w:type="paragraph" w:customStyle="1" w:styleId="155">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 w:val="20"/>
      <w:szCs w:val="20"/>
    </w:rPr>
  </w:style>
  <w:style w:type="paragraph" w:customStyle="1" w:styleId="156">
    <w:name w:val="xl58"/>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57">
    <w:name w:val="Char"/>
    <w:basedOn w:val="1"/>
    <w:qFormat/>
    <w:uiPriority w:val="0"/>
  </w:style>
  <w:style w:type="paragraph" w:customStyle="1" w:styleId="158">
    <w:name w:val="xl59"/>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59">
    <w:name w:val="目录文字"/>
    <w:basedOn w:val="1"/>
    <w:qFormat/>
    <w:uiPriority w:val="0"/>
    <w:pPr>
      <w:widowControl/>
      <w:spacing w:line="480" w:lineRule="auto"/>
      <w:jc w:val="left"/>
    </w:pPr>
    <w:rPr>
      <w:rFonts w:ascii="宋体" w:hAnsi="宋体"/>
      <w:kern w:val="0"/>
      <w:sz w:val="24"/>
      <w:szCs w:val="20"/>
    </w:rPr>
  </w:style>
  <w:style w:type="paragraph" w:customStyle="1" w:styleId="16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kern w:val="0"/>
      <w:sz w:val="20"/>
      <w:szCs w:val="20"/>
    </w:rPr>
  </w:style>
  <w:style w:type="paragraph" w:customStyle="1" w:styleId="161">
    <w:name w:val="xl64"/>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62">
    <w:name w:val="xl65"/>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kern w:val="0"/>
      <w:sz w:val="20"/>
      <w:szCs w:val="20"/>
    </w:rPr>
  </w:style>
  <w:style w:type="paragraph" w:customStyle="1" w:styleId="163">
    <w:name w:val="Char Char Char Char Char Char Char Char Char Char"/>
    <w:basedOn w:val="1"/>
    <w:qFormat/>
    <w:uiPriority w:val="0"/>
    <w:rPr>
      <w:rFonts w:ascii="Tahoma" w:hAnsi="Tahoma"/>
      <w:sz w:val="24"/>
      <w:szCs w:val="20"/>
    </w:rPr>
  </w:style>
  <w:style w:type="paragraph" w:customStyle="1" w:styleId="164">
    <w:name w:val="xl23"/>
    <w:next w:val="129"/>
    <w:qFormat/>
    <w:uiPriority w:val="0"/>
    <w:pPr>
      <w:spacing w:before="100" w:beforeAutospacing="1" w:after="100" w:afterAutospacing="1"/>
      <w:jc w:val="center"/>
    </w:pPr>
    <w:rPr>
      <w:rFonts w:ascii="Arial Unicode MS" w:hAnsi="Arial Unicode MS" w:eastAsia="Arial Unicode MS" w:cs="Times New Roman"/>
      <w:sz w:val="24"/>
      <w:lang w:val="en-US" w:eastAsia="zh-CN" w:bidi="ar-SA"/>
    </w:rPr>
  </w:style>
  <w:style w:type="paragraph" w:customStyle="1" w:styleId="165">
    <w:name w:val="标题1"/>
    <w:basedOn w:val="2"/>
    <w:qFormat/>
    <w:uiPriority w:val="0"/>
    <w:pPr>
      <w:keepLines/>
      <w:autoSpaceDE/>
      <w:autoSpaceDN/>
      <w:adjustRightInd/>
      <w:spacing w:before="100" w:beforeAutospacing="1" w:after="100" w:afterAutospacing="1" w:line="0" w:lineRule="atLeast"/>
      <w:jc w:val="center"/>
    </w:pPr>
    <w:rPr>
      <w:rFonts w:ascii="Times New Roman" w:eastAsia="宋体"/>
      <w:kern w:val="2"/>
      <w:sz w:val="30"/>
      <w:szCs w:val="30"/>
    </w:rPr>
  </w:style>
  <w:style w:type="paragraph" w:customStyle="1" w:styleId="166">
    <w:name w:val="Char3"/>
    <w:basedOn w:val="1"/>
    <w:link w:val="167"/>
    <w:qFormat/>
    <w:uiPriority w:val="0"/>
    <w:rPr>
      <w:rFonts w:ascii="Tahoma" w:hAnsi="Tahoma"/>
      <w:sz w:val="24"/>
      <w:szCs w:val="20"/>
    </w:rPr>
  </w:style>
  <w:style w:type="character" w:customStyle="1" w:styleId="167">
    <w:name w:val="Char Char"/>
    <w:link w:val="166"/>
    <w:qFormat/>
    <w:uiPriority w:val="0"/>
    <w:rPr>
      <w:rFonts w:ascii="Tahoma" w:hAnsi="Tahoma"/>
      <w:kern w:val="2"/>
      <w:sz w:val="24"/>
    </w:rPr>
  </w:style>
  <w:style w:type="character" w:customStyle="1" w:styleId="168">
    <w:name w:val="标题 Char"/>
    <w:basedOn w:val="69"/>
    <w:link w:val="29"/>
    <w:qFormat/>
    <w:uiPriority w:val="10"/>
    <w:rPr>
      <w:rFonts w:ascii="Calibri Light" w:hAnsi="Calibri Light"/>
      <w:b/>
      <w:bCs/>
      <w:kern w:val="2"/>
      <w:sz w:val="32"/>
      <w:szCs w:val="32"/>
    </w:rPr>
  </w:style>
  <w:style w:type="paragraph" w:customStyle="1" w:styleId="169">
    <w:name w:val="表格"/>
    <w:basedOn w:val="1"/>
    <w:qFormat/>
    <w:uiPriority w:val="0"/>
    <w:pPr>
      <w:tabs>
        <w:tab w:val="left" w:pos="1200"/>
      </w:tabs>
      <w:spacing w:line="500" w:lineRule="exact"/>
      <w:jc w:val="center"/>
    </w:pPr>
    <w:rPr>
      <w:rFonts w:ascii="宋体"/>
      <w:sz w:val="24"/>
      <w:szCs w:val="18"/>
    </w:rPr>
  </w:style>
  <w:style w:type="paragraph" w:customStyle="1" w:styleId="170">
    <w:name w:val="Absatz2AL"/>
    <w:basedOn w:val="28"/>
    <w:next w:val="1"/>
    <w:qFormat/>
    <w:uiPriority w:val="0"/>
    <w:pPr>
      <w:widowControl/>
      <w:overflowPunct w:val="0"/>
      <w:autoSpaceDE w:val="0"/>
      <w:autoSpaceDN w:val="0"/>
      <w:adjustRightInd w:val="0"/>
      <w:spacing w:after="0"/>
      <w:textAlignment w:val="baseline"/>
    </w:pPr>
    <w:rPr>
      <w:rFonts w:eastAsia="楷体_GB2312"/>
      <w:kern w:val="0"/>
      <w:sz w:val="24"/>
      <w:szCs w:val="20"/>
      <w:lang w:val="de-DE" w:eastAsia="de-DE"/>
    </w:rPr>
  </w:style>
  <w:style w:type="paragraph" w:customStyle="1" w:styleId="171">
    <w:name w:val="列出段落1"/>
    <w:basedOn w:val="1"/>
    <w:qFormat/>
    <w:uiPriority w:val="0"/>
    <w:pPr>
      <w:ind w:firstLine="420" w:firstLineChars="200"/>
    </w:pPr>
    <w:rPr>
      <w:szCs w:val="21"/>
    </w:rPr>
  </w:style>
  <w:style w:type="paragraph" w:styleId="172">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173">
    <w:name w:val="样式3 Char"/>
    <w:link w:val="174"/>
    <w:qFormat/>
    <w:uiPriority w:val="0"/>
    <w:rPr>
      <w:rFonts w:ascii="黑体" w:hAnsi="宋体" w:eastAsia="黑体"/>
      <w:b/>
      <w:bCs/>
      <w:kern w:val="44"/>
      <w:sz w:val="28"/>
      <w:szCs w:val="28"/>
    </w:rPr>
  </w:style>
  <w:style w:type="paragraph" w:customStyle="1" w:styleId="174">
    <w:name w:val="样式3"/>
    <w:basedOn w:val="1"/>
    <w:link w:val="173"/>
    <w:qFormat/>
    <w:uiPriority w:val="0"/>
    <w:pPr>
      <w:keepNext/>
      <w:keepLines/>
      <w:spacing w:line="360" w:lineRule="auto"/>
      <w:jc w:val="center"/>
      <w:outlineLvl w:val="0"/>
    </w:pPr>
    <w:rPr>
      <w:rFonts w:ascii="黑体" w:hAnsi="宋体" w:eastAsia="黑体"/>
      <w:b/>
      <w:bCs/>
      <w:kern w:val="44"/>
      <w:sz w:val="28"/>
      <w:szCs w:val="28"/>
    </w:rPr>
  </w:style>
  <w:style w:type="character" w:customStyle="1" w:styleId="175">
    <w:name w:val="black1"/>
    <w:qFormat/>
    <w:uiPriority w:val="0"/>
    <w:rPr>
      <w:rFonts w:hint="default" w:ascii="ˎ̥" w:hAnsi="ˎ̥"/>
      <w:color w:val="333333"/>
      <w:sz w:val="15"/>
      <w:szCs w:val="15"/>
      <w:u w:val="none"/>
    </w:rPr>
  </w:style>
  <w:style w:type="character" w:customStyle="1" w:styleId="176">
    <w:name w:val="Char Char1"/>
    <w:qFormat/>
    <w:uiPriority w:val="0"/>
    <w:rPr>
      <w:rFonts w:ascii="宋体" w:hAnsi="Courier New"/>
      <w:kern w:val="2"/>
      <w:sz w:val="21"/>
    </w:rPr>
  </w:style>
  <w:style w:type="character" w:customStyle="1" w:styleId="177">
    <w:name w:val="正文要缩进 Char"/>
    <w:link w:val="178"/>
    <w:qFormat/>
    <w:uiPriority w:val="0"/>
    <w:rPr>
      <w:rFonts w:ascii="宋体" w:hAnsi="宋体"/>
      <w:sz w:val="28"/>
      <w:szCs w:val="28"/>
    </w:rPr>
  </w:style>
  <w:style w:type="paragraph" w:customStyle="1" w:styleId="178">
    <w:name w:val="正文要缩进"/>
    <w:basedOn w:val="1"/>
    <w:link w:val="177"/>
    <w:qFormat/>
    <w:uiPriority w:val="0"/>
    <w:pPr>
      <w:adjustRightInd w:val="0"/>
      <w:snapToGrid w:val="0"/>
      <w:spacing w:line="360" w:lineRule="auto"/>
      <w:ind w:firstLine="562" w:firstLineChars="200"/>
    </w:pPr>
    <w:rPr>
      <w:rFonts w:ascii="宋体" w:hAnsi="宋体"/>
      <w:kern w:val="0"/>
      <w:sz w:val="28"/>
      <w:szCs w:val="28"/>
    </w:rPr>
  </w:style>
  <w:style w:type="paragraph" w:customStyle="1" w:styleId="179">
    <w:name w:val="g3"/>
    <w:basedOn w:val="1"/>
    <w:qFormat/>
    <w:uiPriority w:val="0"/>
    <w:pPr>
      <w:widowControl/>
      <w:spacing w:before="100" w:beforeAutospacing="1" w:after="100" w:afterAutospacing="1" w:line="675" w:lineRule="atLeast"/>
      <w:jc w:val="left"/>
    </w:pPr>
    <w:rPr>
      <w:rFonts w:ascii="华文中宋" w:hAnsi="华文中宋" w:eastAsia="华文中宋"/>
      <w:kern w:val="0"/>
      <w:sz w:val="42"/>
      <w:szCs w:val="42"/>
    </w:rPr>
  </w:style>
  <w:style w:type="paragraph" w:customStyle="1" w:styleId="180">
    <w:name w:val="样式2"/>
    <w:basedOn w:val="3"/>
    <w:qFormat/>
    <w:uiPriority w:val="0"/>
    <w:pPr>
      <w:keepLines w:val="0"/>
      <w:adjustRightInd w:val="0"/>
      <w:spacing w:after="0" w:line="440" w:lineRule="exact"/>
      <w:textAlignment w:val="baseline"/>
    </w:pPr>
    <w:rPr>
      <w:rFonts w:ascii="宋体" w:hAnsi="宋体" w:eastAsia="黑体"/>
      <w:b w:val="0"/>
      <w:bCs w:val="0"/>
      <w:szCs w:val="20"/>
    </w:rPr>
  </w:style>
  <w:style w:type="character" w:customStyle="1" w:styleId="181">
    <w:name w:val="批注文字 Char1"/>
    <w:basedOn w:val="69"/>
    <w:qFormat/>
    <w:uiPriority w:val="99"/>
    <w:rPr>
      <w:kern w:val="2"/>
      <w:sz w:val="21"/>
      <w:szCs w:val="24"/>
    </w:rPr>
  </w:style>
  <w:style w:type="paragraph" w:customStyle="1" w:styleId="182">
    <w:name w:val="Char Char Char Char"/>
    <w:basedOn w:val="1"/>
    <w:qFormat/>
    <w:uiPriority w:val="0"/>
    <w:rPr>
      <w:rFonts w:ascii="Tahoma" w:hAnsi="Tahoma"/>
      <w:sz w:val="24"/>
      <w:szCs w:val="20"/>
    </w:rPr>
  </w:style>
  <w:style w:type="paragraph" w:customStyle="1" w:styleId="183">
    <w:name w:val="正文4"/>
    <w:basedOn w:val="1"/>
    <w:qFormat/>
    <w:uiPriority w:val="0"/>
    <w:pPr>
      <w:spacing w:line="360" w:lineRule="auto"/>
      <w:ind w:left="400" w:leftChars="400"/>
    </w:pPr>
    <w:rPr>
      <w:rFonts w:ascii="宋体"/>
      <w:sz w:val="24"/>
    </w:rPr>
  </w:style>
  <w:style w:type="paragraph" w:customStyle="1" w:styleId="184">
    <w:name w:val="编号"/>
    <w:basedOn w:val="1"/>
    <w:next w:val="1"/>
    <w:qFormat/>
    <w:uiPriority w:val="0"/>
    <w:pPr>
      <w:tabs>
        <w:tab w:val="left" w:pos="480"/>
      </w:tabs>
      <w:spacing w:line="360" w:lineRule="auto"/>
      <w:ind w:left="200" w:hanging="200" w:hangingChars="200"/>
    </w:pPr>
    <w:rPr>
      <w:rFonts w:ascii="宋体"/>
      <w:sz w:val="24"/>
    </w:rPr>
  </w:style>
  <w:style w:type="paragraph" w:customStyle="1" w:styleId="185">
    <w:name w:val="抬头"/>
    <w:basedOn w:val="1"/>
    <w:qFormat/>
    <w:uiPriority w:val="0"/>
    <w:pPr>
      <w:spacing w:beforeLines="50" w:line="360" w:lineRule="auto"/>
    </w:pPr>
    <w:rPr>
      <w:rFonts w:ascii="宋体"/>
      <w:sz w:val="24"/>
    </w:rPr>
  </w:style>
  <w:style w:type="character" w:customStyle="1" w:styleId="186">
    <w:name w:val="正文文本 3 Char"/>
    <w:basedOn w:val="69"/>
    <w:link w:val="26"/>
    <w:qFormat/>
    <w:uiPriority w:val="0"/>
    <w:rPr>
      <w:kern w:val="2"/>
      <w:sz w:val="24"/>
      <w:szCs w:val="24"/>
    </w:rPr>
  </w:style>
  <w:style w:type="paragraph" w:customStyle="1" w:styleId="187">
    <w:name w:val="默认段落字体 Para Char"/>
    <w:basedOn w:val="1"/>
    <w:qFormat/>
    <w:uiPriority w:val="0"/>
    <w:pPr>
      <w:spacing w:line="360" w:lineRule="auto"/>
      <w:ind w:firstLine="200" w:firstLineChars="200"/>
    </w:pPr>
    <w:rPr>
      <w:rFonts w:ascii="宋体" w:hAnsi="宋体" w:cs="宋体"/>
      <w:sz w:val="24"/>
    </w:rPr>
  </w:style>
  <w:style w:type="paragraph" w:customStyle="1" w:styleId="188">
    <w:name w:val="默认段落字体 Para Char Char Char Char"/>
    <w:basedOn w:val="1"/>
    <w:qFormat/>
    <w:uiPriority w:val="0"/>
  </w:style>
  <w:style w:type="paragraph" w:customStyle="1" w:styleId="189">
    <w:name w:val="附件"/>
    <w:basedOn w:val="1"/>
    <w:qFormat/>
    <w:uiPriority w:val="0"/>
    <w:pPr>
      <w:numPr>
        <w:ilvl w:val="0"/>
        <w:numId w:val="2"/>
      </w:numPr>
      <w:spacing w:beforeLines="50" w:line="360" w:lineRule="auto"/>
    </w:pPr>
    <w:rPr>
      <w:rFonts w:ascii="宋体"/>
      <w:b/>
      <w:sz w:val="28"/>
    </w:rPr>
  </w:style>
  <w:style w:type="paragraph" w:customStyle="1" w:styleId="190">
    <w:name w:val="样式1"/>
    <w:basedOn w:val="3"/>
    <w:qFormat/>
    <w:uiPriority w:val="0"/>
    <w:pPr>
      <w:keepLines w:val="0"/>
      <w:adjustRightInd w:val="0"/>
      <w:spacing w:after="0"/>
      <w:jc w:val="both"/>
      <w:textAlignment w:val="baseline"/>
    </w:pPr>
    <w:rPr>
      <w:rFonts w:ascii="Times New Roman" w:hAnsi="Times New Roman" w:eastAsia="黑体"/>
      <w:bCs w:val="0"/>
      <w:sz w:val="28"/>
      <w:szCs w:val="20"/>
    </w:rPr>
  </w:style>
  <w:style w:type="paragraph" w:customStyle="1" w:styleId="191">
    <w:name w:val="横表格"/>
    <w:basedOn w:val="1"/>
    <w:qFormat/>
    <w:uiPriority w:val="0"/>
    <w:pPr>
      <w:tabs>
        <w:tab w:val="left" w:pos="1200"/>
      </w:tabs>
      <w:spacing w:line="360" w:lineRule="exact"/>
      <w:ind w:right="-41" w:rightChars="-41"/>
      <w:jc w:val="center"/>
    </w:pPr>
    <w:rPr>
      <w:rFonts w:ascii="宋体"/>
      <w:sz w:val="24"/>
    </w:rPr>
  </w:style>
  <w:style w:type="paragraph" w:customStyle="1" w:styleId="192">
    <w:name w:val="标题2"/>
    <w:semiHidden/>
    <w:qFormat/>
    <w:uiPriority w:val="0"/>
    <w:pPr>
      <w:spacing w:before="240" w:after="240" w:line="360" w:lineRule="auto"/>
      <w:jc w:val="center"/>
    </w:pPr>
    <w:rPr>
      <w:rFonts w:ascii="Times New Roman" w:hAnsi="Times New Roman" w:eastAsia="仿宋_GB2312" w:cs="宋体"/>
      <w:kern w:val="2"/>
      <w:sz w:val="24"/>
      <w:szCs w:val="24"/>
      <w:lang w:val="en-US" w:eastAsia="zh-CN" w:bidi="ar-SA"/>
    </w:rPr>
  </w:style>
  <w:style w:type="paragraph" w:customStyle="1" w:styleId="193">
    <w:name w:val="正文1"/>
    <w:basedOn w:val="1"/>
    <w:next w:val="1"/>
    <w:qFormat/>
    <w:uiPriority w:val="0"/>
    <w:pPr>
      <w:spacing w:line="360" w:lineRule="auto"/>
      <w:ind w:firstLine="200" w:firstLineChars="200"/>
    </w:pPr>
    <w:rPr>
      <w:rFonts w:ascii="宋体"/>
      <w:sz w:val="24"/>
    </w:rPr>
  </w:style>
  <w:style w:type="paragraph" w:customStyle="1" w:styleId="194">
    <w:name w:val="注1"/>
    <w:basedOn w:val="1"/>
    <w:qFormat/>
    <w:uiPriority w:val="0"/>
    <w:pPr>
      <w:spacing w:line="360" w:lineRule="auto"/>
      <w:ind w:left="400" w:leftChars="200" w:hanging="200" w:hangingChars="200"/>
    </w:pPr>
    <w:rPr>
      <w:rFonts w:ascii="宋体"/>
      <w:b/>
    </w:rPr>
  </w:style>
  <w:style w:type="paragraph" w:customStyle="1" w:styleId="195">
    <w:name w:val="Char2"/>
    <w:basedOn w:val="1"/>
    <w:qFormat/>
    <w:uiPriority w:val="0"/>
    <w:pPr>
      <w:ind w:firstLine="200" w:firstLineChars="200"/>
    </w:pPr>
    <w:rPr>
      <w:sz w:val="24"/>
    </w:rPr>
  </w:style>
  <w:style w:type="paragraph" w:customStyle="1" w:styleId="196">
    <w:name w:val="Char Char Char Char Char Char Char Char Char"/>
    <w:basedOn w:val="1"/>
    <w:qFormat/>
    <w:uiPriority w:val="0"/>
    <w:rPr>
      <w:rFonts w:ascii="Tahoma" w:hAnsi="Tahoma"/>
      <w:sz w:val="24"/>
      <w:szCs w:val="20"/>
    </w:rPr>
  </w:style>
  <w:style w:type="paragraph" w:customStyle="1" w:styleId="197">
    <w:name w:val="para"/>
    <w:basedOn w:val="1"/>
    <w:qFormat/>
    <w:uiPriority w:val="0"/>
    <w:pPr>
      <w:widowControl/>
      <w:adjustRightInd w:val="0"/>
      <w:spacing w:before="160" w:line="360" w:lineRule="auto"/>
      <w:ind w:firstLine="425"/>
      <w:textAlignment w:val="baseline"/>
    </w:pPr>
    <w:rPr>
      <w:kern w:val="0"/>
      <w:sz w:val="24"/>
      <w:szCs w:val="20"/>
      <w:lang w:eastAsia="en-US"/>
    </w:rPr>
  </w:style>
  <w:style w:type="paragraph" w:customStyle="1" w:styleId="198">
    <w:name w:val="第四行"/>
    <w:basedOn w:val="1"/>
    <w:qFormat/>
    <w:uiPriority w:val="0"/>
    <w:pPr>
      <w:tabs>
        <w:tab w:val="left" w:pos="1200"/>
      </w:tabs>
      <w:spacing w:line="360" w:lineRule="auto"/>
      <w:jc w:val="center"/>
    </w:pPr>
    <w:rPr>
      <w:rFonts w:ascii="宋体"/>
      <w:b/>
      <w:bCs/>
      <w:spacing w:val="40"/>
      <w:sz w:val="28"/>
      <w:szCs w:val="28"/>
    </w:rPr>
  </w:style>
  <w:style w:type="paragraph" w:customStyle="1" w:styleId="199">
    <w:name w:val="Char1"/>
    <w:basedOn w:val="1"/>
    <w:qFormat/>
    <w:uiPriority w:val="0"/>
  </w:style>
  <w:style w:type="paragraph" w:customStyle="1" w:styleId="200">
    <w:name w:val="注"/>
    <w:basedOn w:val="1"/>
    <w:qFormat/>
    <w:uiPriority w:val="0"/>
    <w:pPr>
      <w:spacing w:line="360" w:lineRule="auto"/>
      <w:ind w:left="200" w:hanging="200" w:hangingChars="200"/>
    </w:pPr>
    <w:rPr>
      <w:rFonts w:ascii="宋体"/>
      <w:b/>
    </w:rPr>
  </w:style>
  <w:style w:type="table" w:customStyle="1" w:styleId="201">
    <w:name w:val="网格型1"/>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2">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character" w:customStyle="1" w:styleId="203">
    <w:name w:val="Char Char12"/>
    <w:qFormat/>
    <w:uiPriority w:val="0"/>
    <w:rPr>
      <w:rFonts w:ascii="宋体" w:hAnsi="Arial" w:eastAsia="宋体"/>
      <w:kern w:val="2"/>
      <w:sz w:val="21"/>
      <w:lang w:val="en-US" w:eastAsia="zh-CN" w:bidi="ar-SA"/>
    </w:rPr>
  </w:style>
  <w:style w:type="character" w:customStyle="1" w:styleId="204">
    <w:name w:val="Char Char8"/>
    <w:semiHidden/>
    <w:qFormat/>
    <w:uiPriority w:val="0"/>
    <w:rPr>
      <w:rFonts w:ascii="宋体" w:eastAsia="宋体"/>
      <w:b/>
      <w:bCs/>
      <w:sz w:val="21"/>
      <w:lang w:val="en-US" w:eastAsia="zh-CN" w:bidi="ar-SA"/>
    </w:rPr>
  </w:style>
  <w:style w:type="character" w:customStyle="1" w:styleId="205">
    <w:name w:val="页眉 Char1"/>
    <w:qFormat/>
    <w:uiPriority w:val="99"/>
    <w:rPr>
      <w:kern w:val="2"/>
      <w:sz w:val="18"/>
      <w:szCs w:val="18"/>
    </w:rPr>
  </w:style>
  <w:style w:type="character" w:customStyle="1" w:styleId="206">
    <w:name w:val="HTML 预设格式 Char"/>
    <w:link w:val="61"/>
    <w:qFormat/>
    <w:uiPriority w:val="0"/>
    <w:rPr>
      <w:rFonts w:ascii="Arial" w:hAnsi="Arial" w:cs="Arial"/>
      <w:szCs w:val="21"/>
    </w:rPr>
  </w:style>
  <w:style w:type="character" w:customStyle="1" w:styleId="207">
    <w:name w:val="XW封面－日期 Char Char"/>
    <w:qFormat/>
    <w:uiPriority w:val="0"/>
    <w:rPr>
      <w:rFonts w:ascii="Arial" w:hAnsi="Arial" w:eastAsia="幼圆"/>
      <w:b/>
      <w:sz w:val="32"/>
      <w:lang w:val="en-US" w:eastAsia="zh-CN" w:bidi="ar-SA"/>
    </w:rPr>
  </w:style>
  <w:style w:type="character" w:customStyle="1" w:styleId="208">
    <w:name w:val="批注主题 Char1"/>
    <w:qFormat/>
    <w:uiPriority w:val="99"/>
    <w:rPr>
      <w:b/>
      <w:kern w:val="2"/>
      <w:sz w:val="21"/>
      <w:szCs w:val="24"/>
    </w:rPr>
  </w:style>
  <w:style w:type="character" w:customStyle="1" w:styleId="209">
    <w:name w:val="Char Char14"/>
    <w:qFormat/>
    <w:uiPriority w:val="0"/>
    <w:rPr>
      <w:rFonts w:ascii="Arial" w:hAnsi="Arial" w:eastAsia="黑体"/>
      <w:b/>
      <w:bCs/>
      <w:kern w:val="2"/>
      <w:sz w:val="32"/>
      <w:szCs w:val="32"/>
      <w:lang w:val="en-US" w:eastAsia="zh-CN" w:bidi="ar-SA"/>
    </w:rPr>
  </w:style>
  <w:style w:type="character" w:customStyle="1" w:styleId="210">
    <w:name w:val="PIM 6 Char"/>
    <w:qFormat/>
    <w:uiPriority w:val="0"/>
    <w:rPr>
      <w:rFonts w:ascii="Arial" w:hAnsi="Arial" w:eastAsia="黑体" w:cs="Times New Roman"/>
      <w:b/>
      <w:bCs/>
      <w:sz w:val="24"/>
      <w:szCs w:val="24"/>
    </w:rPr>
  </w:style>
  <w:style w:type="character" w:customStyle="1" w:styleId="211">
    <w:name w:val="公式 Char Char Char"/>
    <w:qFormat/>
    <w:uiPriority w:val="0"/>
    <w:rPr>
      <w:rFonts w:ascii="华文细黑" w:hAnsi="华文细黑" w:eastAsia="华文细黑" w:cs="Arial"/>
      <w:color w:val="000000"/>
      <w:sz w:val="30"/>
      <w:szCs w:val="28"/>
      <w:lang w:val="en-US" w:eastAsia="zh-CN" w:bidi="ar-SA"/>
    </w:rPr>
  </w:style>
  <w:style w:type="character" w:customStyle="1" w:styleId="212">
    <w:name w:val="g Char Char1"/>
    <w:qFormat/>
    <w:uiPriority w:val="0"/>
    <w:rPr>
      <w:rFonts w:eastAsia="宋体"/>
      <w:kern w:val="2"/>
      <w:sz w:val="18"/>
      <w:lang w:val="en-US" w:eastAsia="zh-CN" w:bidi="ar-SA"/>
    </w:rPr>
  </w:style>
  <w:style w:type="character" w:customStyle="1" w:styleId="213">
    <w:name w:val="Char Char11"/>
    <w:qFormat/>
    <w:uiPriority w:val="0"/>
    <w:rPr>
      <w:rFonts w:eastAsia="宋体"/>
      <w:position w:val="-6"/>
      <w:sz w:val="24"/>
      <w:lang w:val="en-GB" w:eastAsia="zh-CN" w:bidi="ar-SA"/>
    </w:rPr>
  </w:style>
  <w:style w:type="character" w:customStyle="1" w:styleId="214">
    <w:name w:val="Char Char Char Char Char Char Char Char Char Char Char Char Char Char Char Char Char"/>
    <w:link w:val="215"/>
    <w:qFormat/>
    <w:uiPriority w:val="0"/>
    <w:rPr>
      <w:rFonts w:ascii="Verdana" w:hAnsi="Verdana" w:eastAsia="仿宋_GB2312"/>
      <w:sz w:val="24"/>
      <w:lang w:eastAsia="en-US"/>
    </w:rPr>
  </w:style>
  <w:style w:type="paragraph" w:customStyle="1" w:styleId="215">
    <w:name w:val="Char Char Char Char Char Char Char Char Char Char Char Char Char Char Char Char"/>
    <w:basedOn w:val="1"/>
    <w:link w:val="214"/>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16">
    <w:name w:val="p121"/>
    <w:qFormat/>
    <w:uiPriority w:val="0"/>
    <w:rPr>
      <w:rFonts w:hint="default"/>
      <w:sz w:val="24"/>
      <w:szCs w:val="24"/>
      <w:u w:val="none"/>
    </w:rPr>
  </w:style>
  <w:style w:type="character" w:customStyle="1" w:styleId="217">
    <w:name w:val="Char Char2"/>
    <w:qFormat/>
    <w:locked/>
    <w:uiPriority w:val="0"/>
    <w:rPr>
      <w:rFonts w:ascii="宋体" w:hAnsi="宋体" w:eastAsia="宋体"/>
      <w:kern w:val="2"/>
      <w:sz w:val="28"/>
      <w:lang w:val="en-US" w:eastAsia="zh-CN" w:bidi="ar-SA"/>
    </w:rPr>
  </w:style>
  <w:style w:type="character" w:customStyle="1" w:styleId="218">
    <w:name w:val="Char Char13"/>
    <w:qFormat/>
    <w:uiPriority w:val="0"/>
    <w:rPr>
      <w:rFonts w:eastAsia="宋体"/>
      <w:b/>
      <w:bCs/>
      <w:sz w:val="32"/>
      <w:szCs w:val="32"/>
      <w:lang w:val="en-US" w:eastAsia="zh-CN" w:bidi="ar-SA"/>
    </w:rPr>
  </w:style>
  <w:style w:type="character" w:customStyle="1" w:styleId="219">
    <w:name w:val="编号  ww Char"/>
    <w:qFormat/>
    <w:uiPriority w:val="0"/>
    <w:rPr>
      <w:rFonts w:ascii="Arial" w:hAnsi="Arial" w:eastAsia="黑体" w:cs="Times New Roman"/>
      <w:b/>
      <w:bCs/>
      <w:sz w:val="28"/>
      <w:szCs w:val="28"/>
    </w:rPr>
  </w:style>
  <w:style w:type="character" w:customStyle="1" w:styleId="220">
    <w:name w:val="px141"/>
    <w:qFormat/>
    <w:uiPriority w:val="0"/>
    <w:rPr>
      <w:rFonts w:hint="default" w:ascii="ˎ̥" w:hAnsi="ˎ̥"/>
      <w:sz w:val="21"/>
      <w:szCs w:val="21"/>
    </w:rPr>
  </w:style>
  <w:style w:type="character" w:customStyle="1" w:styleId="221">
    <w:name w:val="图表名 Char"/>
    <w:link w:val="222"/>
    <w:qFormat/>
    <w:locked/>
    <w:uiPriority w:val="0"/>
    <w:rPr>
      <w:rFonts w:ascii="宋体" w:hAnsi="宋体"/>
      <w:sz w:val="28"/>
      <w:szCs w:val="28"/>
    </w:rPr>
  </w:style>
  <w:style w:type="paragraph" w:customStyle="1" w:styleId="222">
    <w:name w:val="图表名"/>
    <w:basedOn w:val="1"/>
    <w:next w:val="1"/>
    <w:link w:val="221"/>
    <w:qFormat/>
    <w:uiPriority w:val="0"/>
    <w:pPr>
      <w:tabs>
        <w:tab w:val="left" w:pos="770"/>
        <w:tab w:val="left" w:pos="4660"/>
      </w:tabs>
      <w:adjustRightInd w:val="0"/>
      <w:snapToGrid w:val="0"/>
      <w:spacing w:line="360" w:lineRule="auto"/>
      <w:jc w:val="center"/>
    </w:pPr>
    <w:rPr>
      <w:rFonts w:ascii="宋体" w:hAnsi="宋体"/>
      <w:kern w:val="0"/>
      <w:sz w:val="28"/>
      <w:szCs w:val="28"/>
    </w:rPr>
  </w:style>
  <w:style w:type="character" w:customStyle="1" w:styleId="223">
    <w:name w:val="批注框文本 Char1"/>
    <w:qFormat/>
    <w:uiPriority w:val="99"/>
    <w:rPr>
      <w:kern w:val="2"/>
      <w:sz w:val="18"/>
      <w:szCs w:val="18"/>
    </w:rPr>
  </w:style>
  <w:style w:type="character" w:customStyle="1" w:styleId="224">
    <w:name w:val="Char Char15"/>
    <w:qFormat/>
    <w:uiPriority w:val="0"/>
    <w:rPr>
      <w:rFonts w:ascii="Arial Narrow" w:hAnsi="Arial Narrow" w:eastAsia="宋体"/>
      <w:b/>
      <w:bCs/>
      <w:snapToGrid w:val="0"/>
      <w:sz w:val="28"/>
      <w:szCs w:val="44"/>
      <w:lang w:val="en-US" w:eastAsia="zh-CN" w:bidi="ar-SA"/>
    </w:rPr>
  </w:style>
  <w:style w:type="character" w:customStyle="1" w:styleId="225">
    <w:name w:val="Char Char10"/>
    <w:qFormat/>
    <w:uiPriority w:val="0"/>
    <w:rPr>
      <w:rFonts w:ascii="Helvetica" w:hAnsi="Helvetica" w:eastAsia="宋体"/>
      <w:b/>
      <w:i/>
      <w:position w:val="-6"/>
      <w:sz w:val="22"/>
      <w:lang w:val="en-GB" w:eastAsia="zh-CN" w:bidi="ar-SA"/>
    </w:rPr>
  </w:style>
  <w:style w:type="character" w:customStyle="1" w:styleId="226">
    <w:name w:val="Char Char9"/>
    <w:semiHidden/>
    <w:qFormat/>
    <w:uiPriority w:val="0"/>
    <w:rPr>
      <w:rFonts w:ascii="宋体" w:hAnsi="宋体" w:eastAsia="宋体"/>
      <w:bCs/>
      <w:spacing w:val="20"/>
      <w:kern w:val="21"/>
      <w:sz w:val="24"/>
      <w:lang w:val="en-US" w:eastAsia="zh-CN" w:bidi="ar-SA"/>
    </w:rPr>
  </w:style>
  <w:style w:type="character" w:customStyle="1" w:styleId="227">
    <w:name w:val="Char Char3"/>
    <w:qFormat/>
    <w:locked/>
    <w:uiPriority w:val="0"/>
    <w:rPr>
      <w:rFonts w:ascii="宋体" w:hAnsi="Courier New" w:eastAsia="宋体" w:cs="Courier New"/>
      <w:kern w:val="2"/>
      <w:sz w:val="21"/>
      <w:szCs w:val="21"/>
      <w:lang w:val="en-US" w:eastAsia="zh-CN" w:bidi="ar-SA"/>
    </w:rPr>
  </w:style>
  <w:style w:type="character" w:customStyle="1" w:styleId="228">
    <w:name w:val="H5 Char"/>
    <w:qFormat/>
    <w:uiPriority w:val="0"/>
    <w:rPr>
      <w:rFonts w:ascii="Times New Roman" w:hAnsi="Times New Roman" w:eastAsia="宋体" w:cs="Times New Roman"/>
      <w:b/>
      <w:bCs/>
      <w:sz w:val="28"/>
      <w:szCs w:val="28"/>
    </w:rPr>
  </w:style>
  <w:style w:type="character" w:customStyle="1" w:styleId="229">
    <w:name w:val="H3 Char"/>
    <w:qFormat/>
    <w:uiPriority w:val="0"/>
    <w:rPr>
      <w:rFonts w:ascii="黑体" w:hAnsi="宋体" w:eastAsia="黑体" w:cs="Arial"/>
      <w:color w:val="000000"/>
      <w:kern w:val="24"/>
      <w:sz w:val="28"/>
      <w:szCs w:val="28"/>
      <w:lang w:val="sv-SE"/>
    </w:rPr>
  </w:style>
  <w:style w:type="character" w:customStyle="1" w:styleId="230">
    <w:name w:val="Default Char"/>
    <w:link w:val="231"/>
    <w:qFormat/>
    <w:uiPriority w:val="0"/>
    <w:rPr>
      <w:rFonts w:ascii="宋体" w:cs="宋体"/>
      <w:color w:val="000000"/>
      <w:sz w:val="24"/>
      <w:szCs w:val="24"/>
    </w:rPr>
  </w:style>
  <w:style w:type="paragraph" w:customStyle="1" w:styleId="231">
    <w:name w:val="Default"/>
    <w:link w:val="23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2">
    <w:name w:val="样式 标题 1TITRE1章节合同标题H1h1Section Head1st levell1H11H12H... Char"/>
    <w:link w:val="233"/>
    <w:qFormat/>
    <w:uiPriority w:val="0"/>
    <w:rPr>
      <w:rFonts w:ascii="Arial" w:hAnsi="Arial"/>
      <w:b/>
      <w:bCs/>
      <w:kern w:val="44"/>
      <w:sz w:val="30"/>
      <w:szCs w:val="44"/>
    </w:rPr>
  </w:style>
  <w:style w:type="paragraph" w:customStyle="1" w:styleId="233">
    <w:name w:val="样式 标题 1TITRE1章节合同标题H1h1Section Head1st levell1H11H12H..."/>
    <w:basedOn w:val="2"/>
    <w:link w:val="232"/>
    <w:qFormat/>
    <w:uiPriority w:val="0"/>
    <w:pPr>
      <w:keepLines/>
      <w:autoSpaceDE/>
      <w:autoSpaceDN/>
      <w:adjustRightInd/>
      <w:spacing w:before="340" w:after="330" w:line="578" w:lineRule="auto"/>
      <w:jc w:val="both"/>
    </w:pPr>
    <w:rPr>
      <w:rFonts w:ascii="Arial" w:hAnsi="Arial" w:eastAsia="宋体"/>
      <w:color w:val="auto"/>
      <w:kern w:val="44"/>
      <w:sz w:val="30"/>
      <w:szCs w:val="44"/>
    </w:rPr>
  </w:style>
  <w:style w:type="character" w:customStyle="1" w:styleId="234">
    <w:name w:val="标题 1.1 Char"/>
    <w:qFormat/>
    <w:uiPriority w:val="0"/>
    <w:rPr>
      <w:rFonts w:ascii="Arial" w:hAnsi="Arial" w:eastAsia="黑体"/>
      <w:b/>
      <w:bCs/>
      <w:kern w:val="2"/>
      <w:sz w:val="28"/>
      <w:szCs w:val="32"/>
      <w:lang w:val="en-US" w:eastAsia="zh-CN" w:bidi="ar-SA"/>
    </w:rPr>
  </w:style>
  <w:style w:type="character" w:customStyle="1" w:styleId="235">
    <w:name w:val="标题 1.1 Char Char"/>
    <w:qFormat/>
    <w:uiPriority w:val="0"/>
    <w:rPr>
      <w:rFonts w:ascii="Arial" w:hAnsi="Arial" w:eastAsia="黑体"/>
      <w:b/>
      <w:bCs/>
      <w:kern w:val="2"/>
      <w:sz w:val="28"/>
      <w:szCs w:val="32"/>
      <w:lang w:val="en-US" w:eastAsia="zh-CN" w:bidi="ar-SA"/>
    </w:rPr>
  </w:style>
  <w:style w:type="paragraph" w:customStyle="1" w:styleId="236">
    <w:name w:val="CM81"/>
    <w:basedOn w:val="231"/>
    <w:next w:val="231"/>
    <w:qFormat/>
    <w:uiPriority w:val="0"/>
    <w:pPr>
      <w:spacing w:line="440" w:lineRule="atLeast"/>
    </w:pPr>
    <w:rPr>
      <w:rFonts w:cs="Times New Roman"/>
      <w:color w:val="auto"/>
    </w:rPr>
  </w:style>
  <w:style w:type="paragraph" w:customStyle="1" w:styleId="237">
    <w:name w:val="CM36"/>
    <w:basedOn w:val="231"/>
    <w:next w:val="231"/>
    <w:qFormat/>
    <w:uiPriority w:val="0"/>
    <w:pPr>
      <w:spacing w:line="400" w:lineRule="atLeast"/>
    </w:pPr>
    <w:rPr>
      <w:rFonts w:cs="Times New Roman"/>
      <w:color w:val="auto"/>
    </w:rPr>
  </w:style>
  <w:style w:type="paragraph" w:customStyle="1" w:styleId="238">
    <w:name w:val="列表编号 2A"/>
    <w:basedOn w:val="1"/>
    <w:qFormat/>
    <w:uiPriority w:val="0"/>
    <w:pPr>
      <w:tabs>
        <w:tab w:val="left" w:pos="845"/>
        <w:tab w:val="left" w:pos="928"/>
      </w:tabs>
      <w:ind w:left="928" w:firstLine="630" w:firstLineChars="300"/>
      <w:jc w:val="left"/>
    </w:pPr>
    <w:rPr>
      <w:rFonts w:cs="Arial"/>
      <w:sz w:val="28"/>
      <w:szCs w:val="20"/>
    </w:rPr>
  </w:style>
  <w:style w:type="paragraph" w:customStyle="1" w:styleId="239">
    <w:name w:val="CM24"/>
    <w:basedOn w:val="231"/>
    <w:next w:val="231"/>
    <w:qFormat/>
    <w:uiPriority w:val="0"/>
    <w:pPr>
      <w:spacing w:line="440" w:lineRule="atLeast"/>
    </w:pPr>
    <w:rPr>
      <w:rFonts w:cs="Times New Roman"/>
      <w:color w:val="auto"/>
    </w:rPr>
  </w:style>
  <w:style w:type="paragraph" w:customStyle="1" w:styleId="240">
    <w:name w:val="xl73"/>
    <w:basedOn w:val="1"/>
    <w:qFormat/>
    <w:uiPriority w:val="0"/>
    <w:pPr>
      <w:widowControl/>
      <w:pBdr>
        <w:top w:val="single" w:color="auto" w:sz="8" w:space="0"/>
        <w:left w:val="single" w:color="auto" w:sz="4" w:space="0"/>
        <w:bottom w:val="single" w:color="auto" w:sz="4" w:space="0"/>
        <w:right w:val="single" w:color="auto" w:sz="8" w:space="0"/>
      </w:pBdr>
      <w:shd w:val="clear" w:color="auto" w:fill="FFFFFF"/>
      <w:spacing w:before="100" w:beforeAutospacing="1" w:after="100" w:afterAutospacing="1"/>
      <w:jc w:val="center"/>
    </w:pPr>
    <w:rPr>
      <w:rFonts w:ascii="宋体" w:hAnsi="宋体"/>
      <w:b/>
      <w:bCs/>
      <w:kern w:val="0"/>
      <w:sz w:val="22"/>
      <w:szCs w:val="22"/>
    </w:rPr>
  </w:style>
  <w:style w:type="paragraph" w:customStyle="1" w:styleId="241">
    <w:name w:val="xl78"/>
    <w:basedOn w:val="1"/>
    <w:qFormat/>
    <w:uiPriority w:val="0"/>
    <w:pPr>
      <w:widowControl/>
      <w:spacing w:before="100" w:beforeAutospacing="1" w:after="100" w:afterAutospacing="1"/>
      <w:jc w:val="left"/>
    </w:pPr>
    <w:rPr>
      <w:b/>
      <w:bCs/>
      <w:kern w:val="0"/>
      <w:sz w:val="22"/>
      <w:szCs w:val="22"/>
    </w:rPr>
  </w:style>
  <w:style w:type="character" w:customStyle="1" w:styleId="242">
    <w:name w:val="标题 Char1"/>
    <w:basedOn w:val="69"/>
    <w:qFormat/>
    <w:uiPriority w:val="10"/>
    <w:rPr>
      <w:rFonts w:ascii="Arial" w:hAnsi="Arial"/>
      <w:b/>
      <w:bCs/>
      <w:sz w:val="32"/>
      <w:szCs w:val="32"/>
    </w:rPr>
  </w:style>
  <w:style w:type="paragraph" w:customStyle="1" w:styleId="243">
    <w:name w:val="CM47"/>
    <w:basedOn w:val="231"/>
    <w:next w:val="231"/>
    <w:qFormat/>
    <w:uiPriority w:val="0"/>
    <w:pPr>
      <w:spacing w:line="440" w:lineRule="atLeast"/>
    </w:pPr>
    <w:rPr>
      <w:rFonts w:cs="Times New Roman"/>
      <w:color w:val="auto"/>
    </w:rPr>
  </w:style>
  <w:style w:type="character" w:customStyle="1" w:styleId="244">
    <w:name w:val="正文首行缩进 2 Char"/>
    <w:basedOn w:val="98"/>
    <w:link w:val="66"/>
    <w:qFormat/>
    <w:uiPriority w:val="0"/>
    <w:rPr>
      <w:rFonts w:ascii="宋体" w:eastAsia="仿宋_GB2312"/>
      <w:spacing w:val="-4"/>
      <w:kern w:val="2"/>
      <w:sz w:val="21"/>
      <w:szCs w:val="24"/>
    </w:rPr>
  </w:style>
  <w:style w:type="paragraph" w:customStyle="1" w:styleId="245">
    <w:name w:val="xl7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2"/>
      <w:szCs w:val="22"/>
    </w:rPr>
  </w:style>
  <w:style w:type="character" w:customStyle="1" w:styleId="246">
    <w:name w:val="称呼 Char"/>
    <w:basedOn w:val="69"/>
    <w:link w:val="25"/>
    <w:qFormat/>
    <w:uiPriority w:val="0"/>
    <w:rPr>
      <w:kern w:val="2"/>
      <w:sz w:val="28"/>
    </w:rPr>
  </w:style>
  <w:style w:type="paragraph" w:customStyle="1" w:styleId="247">
    <w:name w:val="CM105"/>
    <w:basedOn w:val="231"/>
    <w:next w:val="231"/>
    <w:qFormat/>
    <w:uiPriority w:val="0"/>
    <w:pPr>
      <w:spacing w:after="1040"/>
    </w:pPr>
    <w:rPr>
      <w:rFonts w:cs="Times New Roman"/>
      <w:color w:val="auto"/>
    </w:rPr>
  </w:style>
  <w:style w:type="paragraph" w:customStyle="1" w:styleId="248">
    <w:name w:val="项标题"/>
    <w:basedOn w:val="2"/>
    <w:qFormat/>
    <w:uiPriority w:val="0"/>
    <w:pPr>
      <w:tabs>
        <w:tab w:val="left" w:pos="432"/>
      </w:tabs>
      <w:autoSpaceDE/>
      <w:autoSpaceDN/>
      <w:snapToGrid w:val="0"/>
      <w:spacing w:before="240" w:after="240" w:line="360" w:lineRule="auto"/>
      <w:ind w:left="432" w:hanging="432"/>
      <w:jc w:val="center"/>
    </w:pPr>
    <w:rPr>
      <w:rFonts w:ascii="Times New Roman" w:eastAsia="宋体"/>
      <w:snapToGrid w:val="0"/>
      <w:color w:val="auto"/>
      <w:sz w:val="44"/>
      <w:szCs w:val="36"/>
    </w:rPr>
  </w:style>
  <w:style w:type="paragraph" w:customStyle="1" w:styleId="249">
    <w:name w:val="Jazzy"/>
    <w:qFormat/>
    <w:uiPriority w:val="0"/>
    <w:pPr>
      <w:overflowPunct w:val="0"/>
      <w:autoSpaceDE w:val="0"/>
      <w:autoSpaceDN w:val="0"/>
      <w:adjustRightInd w:val="0"/>
      <w:jc w:val="center"/>
      <w:textAlignment w:val="baseline"/>
    </w:pPr>
    <w:rPr>
      <w:rFonts w:ascii="Times New Roman" w:hAnsi="Times New Roman" w:eastAsia="宋体" w:cs="Times New Roman"/>
      <w:b/>
      <w:sz w:val="24"/>
      <w:lang w:val="en-US" w:eastAsia="zh-CN" w:bidi="ar-SA"/>
    </w:rPr>
  </w:style>
  <w:style w:type="paragraph" w:customStyle="1" w:styleId="250">
    <w:name w:val="CM6"/>
    <w:basedOn w:val="231"/>
    <w:next w:val="231"/>
    <w:qFormat/>
    <w:uiPriority w:val="0"/>
    <w:pPr>
      <w:spacing w:line="318" w:lineRule="atLeast"/>
    </w:pPr>
    <w:rPr>
      <w:rFonts w:cs="Times New Roman"/>
      <w:color w:val="auto"/>
    </w:rPr>
  </w:style>
  <w:style w:type="paragraph" w:customStyle="1" w:styleId="251">
    <w:name w:val="xl95"/>
    <w:basedOn w:val="1"/>
    <w:qFormat/>
    <w:uiPriority w:val="0"/>
    <w:pPr>
      <w:widowControl/>
      <w:pBdr>
        <w:top w:val="single" w:color="auto" w:sz="4" w:space="0"/>
        <w:left w:val="single" w:color="auto" w:sz="8" w:space="0"/>
        <w:bottom w:val="single" w:color="auto" w:sz="4" w:space="0"/>
      </w:pBdr>
      <w:shd w:val="clear" w:color="auto" w:fill="FFFFFF"/>
      <w:spacing w:before="100" w:beforeAutospacing="1" w:after="100" w:afterAutospacing="1"/>
      <w:jc w:val="center"/>
    </w:pPr>
    <w:rPr>
      <w:rFonts w:ascii="宋体" w:hAnsi="宋体"/>
      <w:b/>
      <w:bCs/>
      <w:kern w:val="0"/>
      <w:sz w:val="24"/>
    </w:rPr>
  </w:style>
  <w:style w:type="paragraph" w:customStyle="1" w:styleId="252">
    <w:name w:val="Report Level 1"/>
    <w:basedOn w:val="1"/>
    <w:next w:val="253"/>
    <w:qFormat/>
    <w:uiPriority w:val="0"/>
    <w:pPr>
      <w:keepNext/>
      <w:widowControl/>
      <w:tabs>
        <w:tab w:val="left" w:pos="360"/>
      </w:tabs>
      <w:autoSpaceDE w:val="0"/>
      <w:autoSpaceDN w:val="0"/>
      <w:adjustRightInd w:val="0"/>
      <w:spacing w:before="240" w:after="120"/>
      <w:ind w:left="480" w:hanging="480"/>
      <w:jc w:val="left"/>
      <w:outlineLvl w:val="0"/>
    </w:pPr>
    <w:rPr>
      <w:rFonts w:ascii="Arial" w:hAnsi="Arial" w:eastAsia="PMingLiU"/>
      <w:b/>
      <w:caps/>
      <w:kern w:val="0"/>
      <w:szCs w:val="20"/>
      <w:lang w:val="en-GB" w:eastAsia="en-US"/>
    </w:rPr>
  </w:style>
  <w:style w:type="paragraph" w:customStyle="1" w:styleId="253">
    <w:name w:val="Report Text"/>
    <w:basedOn w:val="1"/>
    <w:qFormat/>
    <w:uiPriority w:val="0"/>
    <w:pPr>
      <w:widowControl/>
      <w:autoSpaceDE w:val="0"/>
      <w:autoSpaceDN w:val="0"/>
      <w:adjustRightInd w:val="0"/>
      <w:spacing w:after="138"/>
      <w:ind w:left="1080"/>
      <w:jc w:val="left"/>
    </w:pPr>
    <w:rPr>
      <w:kern w:val="0"/>
      <w:sz w:val="22"/>
      <w:szCs w:val="20"/>
      <w:lang w:val="en-GB" w:eastAsia="en-US"/>
    </w:rPr>
  </w:style>
  <w:style w:type="paragraph" w:customStyle="1" w:styleId="254">
    <w:name w:val="Char Char Char Char Char Char1 Char Char"/>
    <w:basedOn w:val="1"/>
    <w:qFormat/>
    <w:uiPriority w:val="0"/>
  </w:style>
  <w:style w:type="character" w:customStyle="1" w:styleId="255">
    <w:name w:val="尾注文本 Char"/>
    <w:basedOn w:val="69"/>
    <w:link w:val="43"/>
    <w:qFormat/>
    <w:uiPriority w:val="0"/>
    <w:rPr>
      <w:sz w:val="24"/>
    </w:rPr>
  </w:style>
  <w:style w:type="paragraph" w:customStyle="1" w:styleId="256">
    <w:name w:val="explanatory_notes"/>
    <w:basedOn w:val="1"/>
    <w:qFormat/>
    <w:uiPriority w:val="0"/>
    <w:pPr>
      <w:widowControl/>
      <w:suppressAutoHyphens/>
      <w:spacing w:after="240" w:line="360" w:lineRule="exact"/>
    </w:pPr>
    <w:rPr>
      <w:rFonts w:ascii="Arial" w:hAnsi="Arial"/>
      <w:kern w:val="0"/>
      <w:sz w:val="24"/>
      <w:szCs w:val="20"/>
    </w:rPr>
  </w:style>
  <w:style w:type="character" w:customStyle="1" w:styleId="257">
    <w:name w:val="脚注文本 Char"/>
    <w:basedOn w:val="69"/>
    <w:link w:val="52"/>
    <w:qFormat/>
    <w:uiPriority w:val="0"/>
    <w:rPr>
      <w:rFonts w:ascii="宋体"/>
      <w:sz w:val="24"/>
    </w:rPr>
  </w:style>
  <w:style w:type="paragraph" w:customStyle="1" w:styleId="258">
    <w:name w:val="xl8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2"/>
      <w:szCs w:val="22"/>
    </w:rPr>
  </w:style>
  <w:style w:type="paragraph" w:customStyle="1" w:styleId="259">
    <w:name w:val="设备规范标题2"/>
    <w:next w:val="1"/>
    <w:qFormat/>
    <w:uiPriority w:val="0"/>
    <w:pPr>
      <w:tabs>
        <w:tab w:val="left" w:pos="720"/>
      </w:tabs>
      <w:spacing w:beforeLines="100" w:afterLines="50"/>
      <w:ind w:hanging="420"/>
    </w:pPr>
    <w:rPr>
      <w:rFonts w:ascii="Times New Roman" w:hAnsi="Times New Roman" w:eastAsia="楷体_GB2312" w:cs="Times New Roman"/>
      <w:b/>
      <w:bCs/>
      <w:sz w:val="24"/>
      <w:lang w:val="en-US" w:eastAsia="zh-CN" w:bidi="ar-SA"/>
    </w:rPr>
  </w:style>
  <w:style w:type="paragraph" w:customStyle="1" w:styleId="260">
    <w:name w:val="Style"/>
    <w:basedOn w:val="1"/>
    <w:next w:val="54"/>
    <w:qFormat/>
    <w:uiPriority w:val="0"/>
    <w:pPr>
      <w:tabs>
        <w:tab w:val="left" w:pos="1050"/>
      </w:tabs>
      <w:spacing w:line="400" w:lineRule="exact"/>
      <w:ind w:left="1050"/>
    </w:pPr>
    <w:rPr>
      <w:rFonts w:ascii="宋体"/>
      <w:sz w:val="28"/>
      <w:szCs w:val="28"/>
    </w:rPr>
  </w:style>
  <w:style w:type="character" w:customStyle="1" w:styleId="261">
    <w:name w:val="HTML 预设格式 Char1"/>
    <w:basedOn w:val="69"/>
    <w:qFormat/>
    <w:uiPriority w:val="99"/>
    <w:rPr>
      <w:rFonts w:ascii="Courier New" w:hAnsi="Courier New" w:cs="Courier New"/>
      <w:kern w:val="2"/>
    </w:rPr>
  </w:style>
  <w:style w:type="paragraph" w:customStyle="1" w:styleId="262">
    <w:name w:val="CM94"/>
    <w:basedOn w:val="231"/>
    <w:next w:val="231"/>
    <w:qFormat/>
    <w:uiPriority w:val="0"/>
    <w:pPr>
      <w:spacing w:after="63"/>
    </w:pPr>
    <w:rPr>
      <w:rFonts w:cs="Times New Roman"/>
      <w:color w:val="auto"/>
    </w:rPr>
  </w:style>
  <w:style w:type="paragraph" w:customStyle="1" w:styleId="263">
    <w:name w:val="Legal 3"/>
    <w:basedOn w:val="1"/>
    <w:qFormat/>
    <w:uiPriority w:val="0"/>
    <w:pPr>
      <w:tabs>
        <w:tab w:val="left" w:pos="1620"/>
      </w:tabs>
      <w:spacing w:after="120"/>
      <w:outlineLvl w:val="2"/>
    </w:pPr>
    <w:rPr>
      <w:snapToGrid w:val="0"/>
      <w:kern w:val="0"/>
      <w:sz w:val="22"/>
      <w:szCs w:val="20"/>
      <w:lang w:eastAsia="en-US"/>
    </w:rPr>
  </w:style>
  <w:style w:type="paragraph" w:customStyle="1" w:styleId="264">
    <w:name w:val="ÑùÊ½2"/>
    <w:basedOn w:val="1"/>
    <w:qFormat/>
    <w:uiPriority w:val="0"/>
    <w:pPr>
      <w:overflowPunct w:val="0"/>
      <w:autoSpaceDE w:val="0"/>
      <w:autoSpaceDN w:val="0"/>
      <w:adjustRightInd w:val="0"/>
      <w:spacing w:line="410" w:lineRule="atLeast"/>
      <w:ind w:left="480" w:leftChars="200"/>
    </w:pPr>
    <w:rPr>
      <w:rFonts w:ascii="宋体" w:hAnsi="宋体" w:eastAsia="楷体_GB2312"/>
      <w:kern w:val="0"/>
      <w:sz w:val="24"/>
      <w:szCs w:val="20"/>
    </w:rPr>
  </w:style>
  <w:style w:type="paragraph" w:customStyle="1" w:styleId="265">
    <w:name w:val="CM29"/>
    <w:basedOn w:val="231"/>
    <w:next w:val="231"/>
    <w:qFormat/>
    <w:uiPriority w:val="0"/>
    <w:pPr>
      <w:spacing w:line="400" w:lineRule="atLeast"/>
    </w:pPr>
    <w:rPr>
      <w:rFonts w:cs="Times New Roman"/>
      <w:color w:val="auto"/>
    </w:rPr>
  </w:style>
  <w:style w:type="paragraph" w:customStyle="1" w:styleId="266">
    <w:name w:val="Char1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67">
    <w:name w:val="opening2"/>
    <w:basedOn w:val="1"/>
    <w:qFormat/>
    <w:uiPriority w:val="0"/>
    <w:pPr>
      <w:widowControl/>
      <w:spacing w:before="100" w:beforeAutospacing="1" w:after="100" w:afterAutospacing="1" w:line="360" w:lineRule="auto"/>
      <w:jc w:val="left"/>
    </w:pPr>
    <w:rPr>
      <w:rFonts w:ascii="宋体" w:hAnsi="宋体"/>
      <w:color w:val="000000"/>
      <w:kern w:val="0"/>
      <w:sz w:val="23"/>
      <w:szCs w:val="23"/>
    </w:rPr>
  </w:style>
  <w:style w:type="paragraph" w:customStyle="1" w:styleId="268">
    <w:name w:val="CM89"/>
    <w:basedOn w:val="231"/>
    <w:next w:val="231"/>
    <w:qFormat/>
    <w:uiPriority w:val="0"/>
    <w:pPr>
      <w:spacing w:line="440" w:lineRule="atLeast"/>
    </w:pPr>
    <w:rPr>
      <w:rFonts w:cs="Times New Roman"/>
      <w:color w:val="auto"/>
    </w:rPr>
  </w:style>
  <w:style w:type="paragraph" w:customStyle="1" w:styleId="269">
    <w:name w:val="xl77"/>
    <w:basedOn w:val="1"/>
    <w:qFormat/>
    <w:uiPriority w:val="0"/>
    <w:pPr>
      <w:widowControl/>
      <w:spacing w:before="100" w:beforeAutospacing="1" w:after="100" w:afterAutospacing="1"/>
      <w:jc w:val="left"/>
    </w:pPr>
    <w:rPr>
      <w:b/>
      <w:bCs/>
      <w:kern w:val="0"/>
      <w:sz w:val="18"/>
      <w:szCs w:val="18"/>
    </w:rPr>
  </w:style>
  <w:style w:type="paragraph" w:customStyle="1" w:styleId="270">
    <w:name w:val="字元 字元1"/>
    <w:basedOn w:val="1"/>
    <w:qFormat/>
    <w:uiPriority w:val="0"/>
  </w:style>
  <w:style w:type="paragraph" w:customStyle="1" w:styleId="271">
    <w:name w:val="font14"/>
    <w:basedOn w:val="1"/>
    <w:qFormat/>
    <w:uiPriority w:val="0"/>
    <w:pPr>
      <w:widowControl/>
      <w:spacing w:before="100" w:beforeAutospacing="1" w:after="100" w:afterAutospacing="1"/>
      <w:jc w:val="left"/>
    </w:pPr>
    <w:rPr>
      <w:rFonts w:eastAsia="Arial Unicode MS"/>
      <w:b/>
      <w:bCs/>
      <w:kern w:val="0"/>
      <w:sz w:val="22"/>
      <w:szCs w:val="22"/>
    </w:rPr>
  </w:style>
  <w:style w:type="paragraph" w:customStyle="1" w:styleId="272">
    <w:name w:val="CM46"/>
    <w:basedOn w:val="231"/>
    <w:next w:val="231"/>
    <w:qFormat/>
    <w:uiPriority w:val="0"/>
    <w:rPr>
      <w:rFonts w:cs="Times New Roman"/>
      <w:color w:val="auto"/>
    </w:rPr>
  </w:style>
  <w:style w:type="paragraph" w:customStyle="1" w:styleId="273">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kern w:val="0"/>
      <w:sz w:val="22"/>
      <w:szCs w:val="22"/>
    </w:rPr>
  </w:style>
  <w:style w:type="paragraph" w:customStyle="1" w:styleId="274">
    <w:name w:val="0C - PS Ceda"/>
    <w:basedOn w:val="1"/>
    <w:qFormat/>
    <w:uiPriority w:val="0"/>
    <w:pPr>
      <w:widowControl/>
      <w:tabs>
        <w:tab w:val="left" w:pos="1418"/>
        <w:tab w:val="left" w:pos="6521"/>
      </w:tabs>
    </w:pPr>
    <w:rPr>
      <w:rFonts w:ascii="Arial" w:hAnsi="Arial"/>
      <w:kern w:val="0"/>
      <w:sz w:val="22"/>
      <w:szCs w:val="20"/>
      <w:lang w:val="en-GB"/>
    </w:rPr>
  </w:style>
  <w:style w:type="paragraph" w:customStyle="1" w:styleId="275">
    <w:name w:val="Char11"/>
    <w:basedOn w:val="1"/>
    <w:qFormat/>
    <w:uiPriority w:val="0"/>
    <w:pPr>
      <w:spacing w:line="360" w:lineRule="auto"/>
    </w:pPr>
    <w:rPr>
      <w:sz w:val="24"/>
    </w:rPr>
  </w:style>
  <w:style w:type="paragraph" w:customStyle="1" w:styleId="276">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277">
    <w:name w:val="Char4"/>
    <w:basedOn w:val="1"/>
    <w:qFormat/>
    <w:uiPriority w:val="0"/>
    <w:rPr>
      <w:rFonts w:ascii="Tahoma" w:hAnsi="Tahoma"/>
      <w:sz w:val="24"/>
      <w:szCs w:val="20"/>
    </w:rPr>
  </w:style>
  <w:style w:type="paragraph" w:customStyle="1" w:styleId="27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color w:val="FF0000"/>
      <w:kern w:val="0"/>
      <w:sz w:val="22"/>
      <w:szCs w:val="22"/>
    </w:rPr>
  </w:style>
  <w:style w:type="paragraph" w:customStyle="1" w:styleId="279">
    <w:name w:val="Char Char Char Char1"/>
    <w:basedOn w:val="1"/>
    <w:qFormat/>
    <w:uiPriority w:val="0"/>
    <w:rPr>
      <w:rFonts w:ascii="Tahoma" w:hAnsi="Tahoma"/>
      <w:sz w:val="24"/>
      <w:szCs w:val="20"/>
    </w:rPr>
  </w:style>
  <w:style w:type="paragraph" w:customStyle="1" w:styleId="280">
    <w:name w:val="CM96"/>
    <w:basedOn w:val="231"/>
    <w:next w:val="231"/>
    <w:qFormat/>
    <w:uiPriority w:val="0"/>
    <w:pPr>
      <w:spacing w:after="298"/>
    </w:pPr>
    <w:rPr>
      <w:rFonts w:cs="Times New Roman"/>
      <w:color w:val="auto"/>
    </w:rPr>
  </w:style>
  <w:style w:type="paragraph" w:customStyle="1" w:styleId="281">
    <w:name w:val="封面样式1"/>
    <w:basedOn w:val="1"/>
    <w:qFormat/>
    <w:uiPriority w:val="0"/>
    <w:pPr>
      <w:spacing w:line="440" w:lineRule="exact"/>
      <w:ind w:firstLine="630" w:firstLineChars="300"/>
      <w:jc w:val="left"/>
    </w:pPr>
    <w:rPr>
      <w:rFonts w:ascii="华文细黑" w:hAnsi="华文细黑" w:cs="Arial"/>
      <w:kern w:val="0"/>
      <w:szCs w:val="21"/>
    </w:rPr>
  </w:style>
  <w:style w:type="paragraph" w:customStyle="1" w:styleId="282">
    <w:name w:val="CM103"/>
    <w:basedOn w:val="231"/>
    <w:next w:val="231"/>
    <w:qFormat/>
    <w:uiPriority w:val="0"/>
    <w:pPr>
      <w:spacing w:after="1508"/>
    </w:pPr>
    <w:rPr>
      <w:rFonts w:cs="Times New Roman"/>
      <w:color w:val="auto"/>
    </w:rPr>
  </w:style>
  <w:style w:type="paragraph" w:customStyle="1" w:styleId="283">
    <w:name w:val="样式 标题 1 + 段前: 5 磅 段后: 3.6 磅"/>
    <w:basedOn w:val="2"/>
    <w:qFormat/>
    <w:uiPriority w:val="0"/>
    <w:pPr>
      <w:keepLines/>
      <w:widowControl/>
      <w:tabs>
        <w:tab w:val="left" w:pos="3780"/>
      </w:tabs>
      <w:autoSpaceDE/>
      <w:autoSpaceDN/>
      <w:adjustRightInd/>
      <w:spacing w:line="360" w:lineRule="auto"/>
      <w:ind w:left="719" w:hanging="719" w:hangingChars="341"/>
      <w:outlineLvl w:val="1"/>
    </w:pPr>
    <w:rPr>
      <w:rFonts w:ascii="Arial" w:hAnsi="Arial" w:eastAsia="新宋体" w:cs="宋体"/>
      <w:kern w:val="44"/>
      <w:sz w:val="21"/>
      <w:szCs w:val="24"/>
    </w:rPr>
  </w:style>
  <w:style w:type="paragraph" w:customStyle="1" w:styleId="284">
    <w:name w:val="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285">
    <w:name w:val="CM15"/>
    <w:basedOn w:val="231"/>
    <w:next w:val="231"/>
    <w:qFormat/>
    <w:uiPriority w:val="0"/>
    <w:pPr>
      <w:spacing w:line="313" w:lineRule="atLeast"/>
    </w:pPr>
    <w:rPr>
      <w:rFonts w:cs="Times New Roman"/>
      <w:color w:val="auto"/>
    </w:rPr>
  </w:style>
  <w:style w:type="paragraph" w:customStyle="1" w:styleId="286">
    <w:name w:val="样式 首行缩进:  2 字符"/>
    <w:basedOn w:val="1"/>
    <w:qFormat/>
    <w:uiPriority w:val="0"/>
    <w:pPr>
      <w:tabs>
        <w:tab w:val="left" w:pos="770"/>
        <w:tab w:val="left" w:pos="4660"/>
      </w:tabs>
      <w:adjustRightInd w:val="0"/>
      <w:snapToGrid w:val="0"/>
      <w:spacing w:line="360" w:lineRule="auto"/>
      <w:ind w:firstLine="560" w:firstLineChars="200"/>
      <w:jc w:val="left"/>
    </w:pPr>
    <w:rPr>
      <w:rFonts w:ascii="宋体" w:hAnsi="宋体" w:cs="宋体"/>
      <w:sz w:val="28"/>
      <w:szCs w:val="20"/>
    </w:rPr>
  </w:style>
  <w:style w:type="paragraph" w:customStyle="1" w:styleId="287">
    <w:name w:val="xl88"/>
    <w:basedOn w:val="1"/>
    <w:qFormat/>
    <w:uiPriority w:val="0"/>
    <w:pPr>
      <w:widowControl/>
      <w:pBdr>
        <w:top w:val="single" w:color="auto" w:sz="4" w:space="0"/>
        <w:left w:val="single" w:color="auto" w:sz="8" w:space="0"/>
        <w:right w:val="single" w:color="auto" w:sz="4" w:space="0"/>
      </w:pBdr>
      <w:shd w:val="clear" w:color="auto" w:fill="FFFFFF"/>
      <w:spacing w:before="100" w:beforeAutospacing="1" w:after="100" w:afterAutospacing="1"/>
      <w:jc w:val="center"/>
    </w:pPr>
    <w:rPr>
      <w:rFonts w:ascii="宋体" w:hAnsi="宋体"/>
      <w:b/>
      <w:bCs/>
      <w:kern w:val="0"/>
      <w:sz w:val="22"/>
      <w:szCs w:val="22"/>
    </w:rPr>
  </w:style>
  <w:style w:type="paragraph" w:customStyle="1" w:styleId="288">
    <w:name w:val="样式 正文"/>
    <w:basedOn w:val="1"/>
    <w:semiHidden/>
    <w:qFormat/>
    <w:uiPriority w:val="0"/>
    <w:pPr>
      <w:adjustRightInd w:val="0"/>
      <w:spacing w:line="360" w:lineRule="auto"/>
      <w:textAlignment w:val="baseline"/>
    </w:pPr>
    <w:rPr>
      <w:rFonts w:ascii="Arial" w:hAnsi="宋体" w:cs="Arial"/>
      <w:kern w:val="0"/>
      <w:sz w:val="24"/>
    </w:rPr>
  </w:style>
  <w:style w:type="paragraph" w:customStyle="1" w:styleId="289">
    <w:name w:val="CM104"/>
    <w:basedOn w:val="231"/>
    <w:next w:val="231"/>
    <w:qFormat/>
    <w:uiPriority w:val="0"/>
    <w:pPr>
      <w:spacing w:after="1318"/>
    </w:pPr>
    <w:rPr>
      <w:rFonts w:cs="Times New Roman"/>
      <w:color w:val="auto"/>
    </w:rPr>
  </w:style>
  <w:style w:type="paragraph" w:customStyle="1" w:styleId="290">
    <w:name w:val="Subtitle 2"/>
    <w:basedOn w:val="45"/>
    <w:qFormat/>
    <w:uiPriority w:val="0"/>
    <w:pPr>
      <w:widowControl/>
      <w:tabs>
        <w:tab w:val="center" w:pos="4752"/>
        <w:tab w:val="right" w:pos="9864"/>
        <w:tab w:val="clear" w:pos="4153"/>
        <w:tab w:val="clear" w:pos="8306"/>
      </w:tabs>
      <w:snapToGrid/>
      <w:spacing w:before="240" w:after="240"/>
      <w:ind w:firstLine="200" w:firstLineChars="200"/>
      <w:jc w:val="center"/>
      <w:outlineLvl w:val="1"/>
    </w:pPr>
    <w:rPr>
      <w:rFonts w:ascii="Arial" w:hAnsi="Arial"/>
      <w:b/>
      <w:kern w:val="0"/>
      <w:sz w:val="32"/>
      <w:szCs w:val="20"/>
    </w:rPr>
  </w:style>
  <w:style w:type="paragraph" w:customStyle="1" w:styleId="29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2"/>
      <w:szCs w:val="22"/>
    </w:rPr>
  </w:style>
  <w:style w:type="paragraph" w:customStyle="1" w:styleId="292">
    <w:name w:val="legal 2"/>
    <w:basedOn w:val="231"/>
    <w:next w:val="231"/>
    <w:qFormat/>
    <w:uiPriority w:val="0"/>
    <w:pPr>
      <w:spacing w:after="120"/>
    </w:pPr>
    <w:rPr>
      <w:rFonts w:cs="Times New Roman"/>
      <w:color w:val="auto"/>
    </w:rPr>
  </w:style>
  <w:style w:type="paragraph" w:customStyle="1" w:styleId="293">
    <w:name w:val="CB&amp;I 1.1"/>
    <w:basedOn w:val="1"/>
    <w:qFormat/>
    <w:uiPriority w:val="0"/>
    <w:pPr>
      <w:tabs>
        <w:tab w:val="left" w:pos="0"/>
        <w:tab w:val="left" w:pos="840"/>
      </w:tabs>
      <w:adjustRightInd w:val="0"/>
      <w:spacing w:after="180" w:line="320" w:lineRule="exact"/>
      <w:ind w:left="840" w:hanging="420"/>
      <w:textAlignment w:val="baseline"/>
    </w:pPr>
    <w:rPr>
      <w:rFonts w:ascii="Arial" w:hAnsi="Arial"/>
      <w:kern w:val="0"/>
      <w:sz w:val="24"/>
      <w:szCs w:val="20"/>
    </w:rPr>
  </w:style>
  <w:style w:type="paragraph" w:customStyle="1" w:styleId="294">
    <w:name w:val="xl9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b/>
      <w:bCs/>
      <w:kern w:val="0"/>
      <w:sz w:val="22"/>
      <w:szCs w:val="22"/>
    </w:rPr>
  </w:style>
  <w:style w:type="paragraph" w:customStyle="1" w:styleId="295">
    <w:name w:val="Document 1"/>
    <w:qFormat/>
    <w:uiPriority w:val="0"/>
    <w:pPr>
      <w:keepNext/>
      <w:keepLines/>
      <w:tabs>
        <w:tab w:val="left" w:pos="-720"/>
      </w:tabs>
      <w:suppressAutoHyphens/>
    </w:pPr>
    <w:rPr>
      <w:rFonts w:ascii="Courier New" w:hAnsi="Courier New" w:eastAsia="宋体" w:cs="Times New Roman"/>
      <w:lang w:val="en-US" w:eastAsia="en-US" w:bidi="ar-SA"/>
    </w:rPr>
  </w:style>
  <w:style w:type="paragraph" w:customStyle="1" w:styleId="296">
    <w:name w:val="封面字体3"/>
    <w:basedOn w:val="297"/>
    <w:qFormat/>
    <w:uiPriority w:val="0"/>
    <w:rPr>
      <w:rFonts w:eastAsia="黑体"/>
      <w:b w:val="0"/>
    </w:rPr>
  </w:style>
  <w:style w:type="paragraph" w:customStyle="1" w:styleId="297">
    <w:name w:val="封面字体2"/>
    <w:basedOn w:val="298"/>
    <w:qFormat/>
    <w:uiPriority w:val="0"/>
  </w:style>
  <w:style w:type="paragraph" w:customStyle="1" w:styleId="298">
    <w:name w:val="封面字体1"/>
    <w:basedOn w:val="281"/>
    <w:qFormat/>
    <w:uiPriority w:val="0"/>
    <w:pPr>
      <w:spacing w:line="240" w:lineRule="atLeast"/>
      <w:ind w:firstLine="0" w:firstLineChars="0"/>
    </w:pPr>
    <w:rPr>
      <w:b/>
      <w:bCs/>
      <w:spacing w:val="100"/>
      <w:sz w:val="44"/>
    </w:rPr>
  </w:style>
  <w:style w:type="paragraph" w:customStyle="1" w:styleId="299">
    <w:name w:val="BankNormal"/>
    <w:qFormat/>
    <w:uiPriority w:val="0"/>
    <w:pPr>
      <w:tabs>
        <w:tab w:val="left" w:pos="-720"/>
      </w:tabs>
      <w:suppressAutoHyphens/>
    </w:pPr>
    <w:rPr>
      <w:rFonts w:ascii="CG Times" w:hAnsi="CG Times" w:eastAsia="宋体" w:cs="Times New Roman"/>
      <w:sz w:val="22"/>
      <w:lang w:val="en-US" w:eastAsia="zh-CN" w:bidi="ar-SA"/>
    </w:rPr>
  </w:style>
  <w:style w:type="paragraph" w:customStyle="1" w:styleId="300">
    <w:name w:val="CM34"/>
    <w:basedOn w:val="231"/>
    <w:next w:val="231"/>
    <w:qFormat/>
    <w:uiPriority w:val="0"/>
    <w:pPr>
      <w:spacing w:line="398" w:lineRule="atLeast"/>
    </w:pPr>
    <w:rPr>
      <w:rFonts w:cs="Times New Roman"/>
      <w:color w:val="auto"/>
    </w:rPr>
  </w:style>
  <w:style w:type="paragraph" w:customStyle="1" w:styleId="301">
    <w:name w:val="正文部分"/>
    <w:basedOn w:val="1"/>
    <w:qFormat/>
    <w:uiPriority w:val="0"/>
    <w:pPr>
      <w:spacing w:line="500" w:lineRule="exact"/>
      <w:ind w:firstLine="480" w:firstLineChars="200"/>
      <w:jc w:val="left"/>
      <w:textAlignment w:val="center"/>
    </w:pPr>
    <w:rPr>
      <w:rFonts w:ascii="华文细黑" w:hAnsi="华文细黑"/>
      <w:sz w:val="24"/>
      <w:szCs w:val="20"/>
    </w:rPr>
  </w:style>
  <w:style w:type="paragraph" w:customStyle="1" w:styleId="302">
    <w:name w:val="Char Char Char Char Char Char Char"/>
    <w:basedOn w:val="1"/>
    <w:qFormat/>
    <w:uiPriority w:val="0"/>
    <w:rPr>
      <w:szCs w:val="30"/>
    </w:rPr>
  </w:style>
  <w:style w:type="paragraph" w:customStyle="1" w:styleId="303">
    <w:name w:val="CM102"/>
    <w:basedOn w:val="231"/>
    <w:next w:val="231"/>
    <w:qFormat/>
    <w:uiPriority w:val="0"/>
    <w:pPr>
      <w:spacing w:after="878"/>
    </w:pPr>
    <w:rPr>
      <w:rFonts w:cs="Times New Roman"/>
      <w:color w:val="auto"/>
    </w:rPr>
  </w:style>
  <w:style w:type="paragraph" w:customStyle="1" w:styleId="304">
    <w:name w:val="公式 Char Char"/>
    <w:basedOn w:val="1"/>
    <w:next w:val="1"/>
    <w:qFormat/>
    <w:uiPriority w:val="0"/>
    <w:pPr>
      <w:spacing w:line="440" w:lineRule="exact"/>
      <w:ind w:firstLine="630" w:firstLineChars="300"/>
      <w:jc w:val="left"/>
    </w:pPr>
    <w:rPr>
      <w:rFonts w:ascii="华文细黑" w:hAnsi="华文细黑" w:eastAsia="华文细黑" w:cs="Arial"/>
      <w:kern w:val="0"/>
      <w:sz w:val="30"/>
      <w:szCs w:val="21"/>
    </w:rPr>
  </w:style>
  <w:style w:type="paragraph" w:customStyle="1" w:styleId="305">
    <w:name w:val="落款"/>
    <w:basedOn w:val="1"/>
    <w:qFormat/>
    <w:uiPriority w:val="0"/>
    <w:pPr>
      <w:spacing w:line="440" w:lineRule="exact"/>
      <w:ind w:firstLine="630" w:firstLineChars="300"/>
      <w:jc w:val="left"/>
    </w:pPr>
    <w:rPr>
      <w:rFonts w:ascii="华文细黑" w:hAnsi="华文细黑" w:cs="Arial"/>
      <w:kern w:val="0"/>
      <w:szCs w:val="21"/>
    </w:rPr>
  </w:style>
  <w:style w:type="paragraph" w:customStyle="1" w:styleId="306">
    <w:name w:val="强调文字(用于标题)"/>
    <w:basedOn w:val="2"/>
    <w:qFormat/>
    <w:uiPriority w:val="0"/>
    <w:pPr>
      <w:keepLines/>
      <w:tabs>
        <w:tab w:val="left" w:pos="432"/>
      </w:tabs>
      <w:autoSpaceDE/>
      <w:autoSpaceDN/>
      <w:adjustRightInd/>
      <w:spacing w:beforeLines="100" w:afterLines="100" w:line="440" w:lineRule="exact"/>
      <w:ind w:left="432" w:hanging="432"/>
      <w:jc w:val="center"/>
      <w:outlineLvl w:val="9"/>
    </w:pPr>
    <w:rPr>
      <w:rFonts w:ascii="黑体" w:hAnsi="华文细黑" w:eastAsia="黑体" w:cs="Arial"/>
      <w:b w:val="0"/>
      <w:color w:val="auto"/>
      <w:sz w:val="24"/>
      <w:szCs w:val="36"/>
    </w:rPr>
  </w:style>
  <w:style w:type="paragraph" w:customStyle="1" w:styleId="307">
    <w:name w:val="Normal1"/>
    <w:next w:val="1"/>
    <w:qFormat/>
    <w:uiPriority w:val="0"/>
    <w:pPr>
      <w:overflowPunct w:val="0"/>
      <w:autoSpaceDE w:val="0"/>
      <w:autoSpaceDN w:val="0"/>
      <w:adjustRightInd w:val="0"/>
      <w:textAlignment w:val="baseline"/>
    </w:pPr>
    <w:rPr>
      <w:rFonts w:ascii="Times" w:hAnsi="Times" w:eastAsia="宋体" w:cs="Times New Roman"/>
      <w:sz w:val="24"/>
      <w:lang w:val="fr-FR" w:eastAsia="zh-CN" w:bidi="ar-SA"/>
    </w:rPr>
  </w:style>
  <w:style w:type="paragraph" w:customStyle="1" w:styleId="308">
    <w:name w:val="设备规范标题1"/>
    <w:next w:val="259"/>
    <w:qFormat/>
    <w:uiPriority w:val="0"/>
    <w:pPr>
      <w:keepNext/>
      <w:tabs>
        <w:tab w:val="left" w:pos="284"/>
        <w:tab w:val="left" w:pos="600"/>
      </w:tabs>
      <w:spacing w:beforeLines="100" w:afterLines="50"/>
      <w:ind w:left="600" w:hanging="360"/>
    </w:pPr>
    <w:rPr>
      <w:rFonts w:ascii="Times New Roman" w:hAnsi="Times New Roman" w:eastAsia="楷体_GB2312" w:cs="Times New Roman"/>
      <w:b/>
      <w:sz w:val="24"/>
      <w:lang w:val="en-US" w:eastAsia="zh-CN" w:bidi="ar-SA"/>
    </w:rPr>
  </w:style>
  <w:style w:type="paragraph" w:customStyle="1" w:styleId="309">
    <w:name w:val="Head 2"/>
    <w:basedOn w:val="10"/>
    <w:qFormat/>
    <w:uiPriority w:val="0"/>
    <w:pPr>
      <w:keepNext/>
      <w:widowControl w:val="0"/>
      <w:tabs>
        <w:tab w:val="clear" w:pos="3780"/>
      </w:tabs>
      <w:suppressAutoHyphens/>
      <w:overflowPunct/>
      <w:autoSpaceDE/>
      <w:autoSpaceDN/>
      <w:adjustRightInd/>
      <w:spacing w:line="360" w:lineRule="auto"/>
      <w:ind w:left="0" w:firstLine="0"/>
      <w:textAlignment w:val="auto"/>
      <w:outlineLvl w:val="9"/>
    </w:pPr>
    <w:rPr>
      <w:rFonts w:ascii="Times New Roman Bold" w:hAnsi="Times New Roman Bold"/>
      <w:i w:val="0"/>
      <w:spacing w:val="-4"/>
      <w:position w:val="0"/>
      <w:sz w:val="32"/>
      <w:lang w:val="en-US" w:eastAsia="en-US"/>
    </w:rPr>
  </w:style>
  <w:style w:type="paragraph" w:customStyle="1" w:styleId="310">
    <w:name w:val="xl79"/>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311">
    <w:name w:val="Char Char Char 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2">
    <w:name w:val="正文首行缩进3"/>
    <w:basedOn w:val="1"/>
    <w:qFormat/>
    <w:uiPriority w:val="0"/>
    <w:pPr>
      <w:tabs>
        <w:tab w:val="left" w:pos="0"/>
        <w:tab w:val="left" w:pos="1004"/>
      </w:tabs>
      <w:spacing w:line="360" w:lineRule="auto"/>
      <w:ind w:left="1004" w:hanging="720"/>
      <w:textAlignment w:val="bottom"/>
    </w:pPr>
    <w:rPr>
      <w:rFonts w:ascii="宋体" w:hAnsi="宋体"/>
      <w:color w:val="000000"/>
      <w:kern w:val="0"/>
      <w:sz w:val="24"/>
    </w:rPr>
  </w:style>
  <w:style w:type="paragraph" w:customStyle="1" w:styleId="313">
    <w:name w:val="Legal 5"/>
    <w:basedOn w:val="231"/>
    <w:next w:val="231"/>
    <w:qFormat/>
    <w:uiPriority w:val="0"/>
    <w:pPr>
      <w:spacing w:after="120"/>
    </w:pPr>
    <w:rPr>
      <w:rFonts w:cs="Times New Roman"/>
      <w:color w:val="auto"/>
    </w:rPr>
  </w:style>
  <w:style w:type="paragraph" w:customStyle="1" w:styleId="314">
    <w:name w:val="CM90"/>
    <w:basedOn w:val="231"/>
    <w:next w:val="231"/>
    <w:qFormat/>
    <w:uiPriority w:val="0"/>
    <w:rPr>
      <w:rFonts w:cs="Times New Roman"/>
      <w:color w:val="auto"/>
    </w:rPr>
  </w:style>
  <w:style w:type="paragraph" w:customStyle="1" w:styleId="315">
    <w:name w:val="CM91"/>
    <w:basedOn w:val="231"/>
    <w:next w:val="231"/>
    <w:qFormat/>
    <w:uiPriority w:val="0"/>
    <w:pPr>
      <w:spacing w:after="160"/>
    </w:pPr>
    <w:rPr>
      <w:rFonts w:cs="Times New Roman"/>
      <w:color w:val="auto"/>
    </w:rPr>
  </w:style>
  <w:style w:type="paragraph" w:customStyle="1" w:styleId="316">
    <w:name w:val="招标号"/>
    <w:qFormat/>
    <w:uiPriority w:val="0"/>
    <w:pPr>
      <w:jc w:val="center"/>
    </w:pPr>
    <w:rPr>
      <w:rFonts w:ascii="Times New Roman" w:hAnsi="Times New Roman" w:eastAsia="隶书" w:cs="Times New Roman"/>
      <w:b/>
      <w:bCs/>
      <w:sz w:val="28"/>
      <w:lang w:val="en-US" w:eastAsia="zh-CN" w:bidi="ar-SA"/>
    </w:rPr>
  </w:style>
  <w:style w:type="paragraph" w:customStyle="1" w:styleId="317">
    <w:name w:val="CM31"/>
    <w:basedOn w:val="231"/>
    <w:next w:val="231"/>
    <w:qFormat/>
    <w:uiPriority w:val="0"/>
    <w:pPr>
      <w:spacing w:line="400" w:lineRule="atLeast"/>
    </w:pPr>
    <w:rPr>
      <w:rFonts w:cs="Times New Roman"/>
      <w:color w:val="auto"/>
    </w:rPr>
  </w:style>
  <w:style w:type="paragraph" w:customStyle="1" w:styleId="318">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pPr>
    <w:rPr>
      <w:rFonts w:ascii="宋体" w:hAnsi="宋体"/>
      <w:b/>
      <w:bCs/>
      <w:kern w:val="0"/>
      <w:sz w:val="22"/>
      <w:szCs w:val="22"/>
    </w:rPr>
  </w:style>
  <w:style w:type="paragraph" w:customStyle="1" w:styleId="319">
    <w:name w:val="CM3"/>
    <w:basedOn w:val="231"/>
    <w:next w:val="231"/>
    <w:qFormat/>
    <w:uiPriority w:val="0"/>
    <w:pPr>
      <w:spacing w:line="500" w:lineRule="atLeast"/>
    </w:pPr>
    <w:rPr>
      <w:rFonts w:cs="Times New Roman"/>
      <w:color w:val="auto"/>
    </w:rPr>
  </w:style>
  <w:style w:type="paragraph" w:customStyle="1" w:styleId="320">
    <w:name w:val="CM57"/>
    <w:basedOn w:val="231"/>
    <w:next w:val="231"/>
    <w:qFormat/>
    <w:uiPriority w:val="0"/>
    <w:pPr>
      <w:spacing w:line="400" w:lineRule="atLeast"/>
    </w:pPr>
    <w:rPr>
      <w:rFonts w:cs="Times New Roman"/>
      <w:color w:val="auto"/>
    </w:rPr>
  </w:style>
  <w:style w:type="paragraph" w:customStyle="1" w:styleId="321">
    <w:name w:val="列表延续"/>
    <w:basedOn w:val="1"/>
    <w:qFormat/>
    <w:uiPriority w:val="0"/>
    <w:pPr>
      <w:tabs>
        <w:tab w:val="left" w:pos="4140"/>
      </w:tabs>
      <w:adjustRightInd w:val="0"/>
      <w:spacing w:line="360" w:lineRule="auto"/>
      <w:ind w:left="3780" w:hanging="420"/>
      <w:textAlignment w:val="baseline"/>
    </w:pPr>
    <w:rPr>
      <w:rFonts w:hAnsi="Tms Rmn" w:eastAsia="楷体_GB2312"/>
      <w:kern w:val="28"/>
      <w:sz w:val="28"/>
      <w:szCs w:val="20"/>
    </w:rPr>
  </w:style>
  <w:style w:type="paragraph" w:customStyle="1" w:styleId="322">
    <w:name w:val="bg1"/>
    <w:basedOn w:val="252"/>
    <w:qFormat/>
    <w:uiPriority w:val="0"/>
    <w:pPr>
      <w:tabs>
        <w:tab w:val="left" w:pos="525"/>
      </w:tabs>
      <w:ind w:left="1080" w:hanging="1080"/>
      <w:jc w:val="both"/>
    </w:pPr>
    <w:rPr>
      <w:rFonts w:ascii="Arial Bold" w:hAnsi="Arial Bold" w:eastAsia="宋体"/>
      <w:lang w:eastAsia="zh-CN"/>
    </w:rPr>
  </w:style>
  <w:style w:type="paragraph" w:customStyle="1" w:styleId="323">
    <w:name w:val="Identation 2"/>
    <w:qFormat/>
    <w:uiPriority w:val="0"/>
    <w:pPr>
      <w:overflowPunct w:val="0"/>
      <w:autoSpaceDE w:val="0"/>
      <w:autoSpaceDN w:val="0"/>
      <w:adjustRightInd w:val="0"/>
      <w:spacing w:before="120" w:after="60" w:line="288" w:lineRule="auto"/>
      <w:ind w:left="432"/>
      <w:jc w:val="both"/>
      <w:textAlignment w:val="baseline"/>
    </w:pPr>
    <w:rPr>
      <w:rFonts w:ascii="Times New Roman" w:hAnsi="Times New Roman" w:eastAsia="楷体_GB2312" w:cs="Times New Roman"/>
      <w:color w:val="000000"/>
      <w:sz w:val="24"/>
      <w:lang w:val="en-US" w:eastAsia="zh-CN" w:bidi="ar-SA"/>
    </w:rPr>
  </w:style>
  <w:style w:type="paragraph" w:customStyle="1" w:styleId="324">
    <w:name w:val="CM4"/>
    <w:basedOn w:val="231"/>
    <w:next w:val="231"/>
    <w:qFormat/>
    <w:uiPriority w:val="0"/>
    <w:rPr>
      <w:rFonts w:cs="Times New Roman"/>
      <w:color w:val="auto"/>
    </w:rPr>
  </w:style>
  <w:style w:type="paragraph" w:customStyle="1" w:styleId="325">
    <w:name w:val="AutoCorrect"/>
    <w:qFormat/>
    <w:uiPriority w:val="0"/>
    <w:pPr>
      <w:widowControl w:val="0"/>
    </w:pPr>
    <w:rPr>
      <w:rFonts w:ascii="Times New Roman" w:hAnsi="Times New Roman" w:eastAsia="PMingLiU" w:cs="Times New Roman"/>
      <w:kern w:val="2"/>
      <w:sz w:val="24"/>
      <w:lang w:val="en-US" w:eastAsia="zh-TW" w:bidi="ar-SA"/>
    </w:rPr>
  </w:style>
  <w:style w:type="paragraph" w:customStyle="1" w:styleId="326">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2"/>
      <w:szCs w:val="22"/>
    </w:rPr>
  </w:style>
  <w:style w:type="paragraph" w:customStyle="1" w:styleId="327">
    <w:name w:val="CM35"/>
    <w:basedOn w:val="231"/>
    <w:next w:val="231"/>
    <w:qFormat/>
    <w:uiPriority w:val="0"/>
    <w:pPr>
      <w:spacing w:line="400" w:lineRule="atLeast"/>
    </w:pPr>
    <w:rPr>
      <w:rFonts w:cs="Times New Roman"/>
      <w:color w:val="auto"/>
    </w:rPr>
  </w:style>
  <w:style w:type="paragraph" w:customStyle="1" w:styleId="328">
    <w:name w:val="CM48"/>
    <w:basedOn w:val="231"/>
    <w:next w:val="231"/>
    <w:qFormat/>
    <w:uiPriority w:val="0"/>
    <w:pPr>
      <w:spacing w:line="540" w:lineRule="atLeast"/>
    </w:pPr>
    <w:rPr>
      <w:rFonts w:cs="Times New Roman"/>
      <w:color w:val="auto"/>
    </w:rPr>
  </w:style>
  <w:style w:type="paragraph" w:customStyle="1" w:styleId="329">
    <w:name w:val="CM62"/>
    <w:basedOn w:val="231"/>
    <w:next w:val="231"/>
    <w:qFormat/>
    <w:uiPriority w:val="0"/>
    <w:pPr>
      <w:spacing w:line="400" w:lineRule="atLeast"/>
    </w:pPr>
    <w:rPr>
      <w:rFonts w:cs="Times New Roman"/>
      <w:color w:val="auto"/>
    </w:rPr>
  </w:style>
  <w:style w:type="paragraph" w:customStyle="1" w:styleId="330">
    <w:name w:val="CM97"/>
    <w:basedOn w:val="231"/>
    <w:next w:val="231"/>
    <w:qFormat/>
    <w:uiPriority w:val="0"/>
    <w:pPr>
      <w:spacing w:after="373"/>
    </w:pPr>
    <w:rPr>
      <w:rFonts w:cs="Times New Roman"/>
      <w:color w:val="auto"/>
    </w:rPr>
  </w:style>
  <w:style w:type="paragraph" w:customStyle="1" w:styleId="331">
    <w:name w:val="节标题"/>
    <w:basedOn w:val="1"/>
    <w:qFormat/>
    <w:uiPriority w:val="0"/>
    <w:pPr>
      <w:widowControl/>
      <w:spacing w:line="289" w:lineRule="atLeast"/>
      <w:jc w:val="center"/>
      <w:textAlignment w:val="baseline"/>
    </w:pPr>
    <w:rPr>
      <w:color w:val="000000"/>
      <w:kern w:val="0"/>
      <w:sz w:val="28"/>
      <w:szCs w:val="20"/>
      <w:u w:color="000000"/>
    </w:rPr>
  </w:style>
  <w:style w:type="paragraph" w:customStyle="1" w:styleId="332">
    <w:name w:val="CM50"/>
    <w:basedOn w:val="231"/>
    <w:next w:val="231"/>
    <w:qFormat/>
    <w:uiPriority w:val="0"/>
    <w:pPr>
      <w:spacing w:line="1020" w:lineRule="atLeast"/>
    </w:pPr>
    <w:rPr>
      <w:rFonts w:cs="Times New Roman"/>
      <w:color w:val="auto"/>
    </w:rPr>
  </w:style>
  <w:style w:type="paragraph" w:customStyle="1" w:styleId="333">
    <w:name w:val="CM1"/>
    <w:basedOn w:val="231"/>
    <w:next w:val="231"/>
    <w:qFormat/>
    <w:uiPriority w:val="0"/>
    <w:rPr>
      <w:rFonts w:cs="Times New Roman"/>
      <w:color w:val="auto"/>
    </w:rPr>
  </w:style>
  <w:style w:type="paragraph" w:customStyle="1" w:styleId="334">
    <w:name w:val="Legal 2"/>
    <w:basedOn w:val="1"/>
    <w:qFormat/>
    <w:uiPriority w:val="0"/>
    <w:pPr>
      <w:keepNext/>
      <w:tabs>
        <w:tab w:val="left" w:pos="810"/>
      </w:tabs>
      <w:spacing w:after="120"/>
      <w:ind w:left="810" w:hanging="810"/>
      <w:outlineLvl w:val="1"/>
    </w:pPr>
    <w:rPr>
      <w:snapToGrid w:val="0"/>
      <w:kern w:val="0"/>
      <w:sz w:val="24"/>
      <w:szCs w:val="20"/>
      <w:lang w:eastAsia="en-US"/>
    </w:rPr>
  </w:style>
  <w:style w:type="paragraph" w:customStyle="1" w:styleId="335">
    <w:name w:val="CM65"/>
    <w:basedOn w:val="231"/>
    <w:next w:val="231"/>
    <w:qFormat/>
    <w:uiPriority w:val="0"/>
    <w:rPr>
      <w:rFonts w:cs="Times New Roman"/>
      <w:color w:val="auto"/>
    </w:rPr>
  </w:style>
  <w:style w:type="paragraph" w:customStyle="1" w:styleId="336">
    <w:name w:val="Char Char1 Char"/>
    <w:basedOn w:val="21"/>
    <w:qFormat/>
    <w:uiPriority w:val="0"/>
    <w:pPr>
      <w:spacing w:line="360" w:lineRule="auto"/>
    </w:pPr>
    <w:rPr>
      <w:rFonts w:ascii="Tahoma" w:hAnsi="Tahoma"/>
      <w:sz w:val="24"/>
    </w:rPr>
  </w:style>
  <w:style w:type="paragraph" w:customStyle="1" w:styleId="337">
    <w:name w:val="CM54"/>
    <w:basedOn w:val="231"/>
    <w:next w:val="231"/>
    <w:qFormat/>
    <w:uiPriority w:val="0"/>
    <w:pPr>
      <w:spacing w:line="398" w:lineRule="atLeast"/>
    </w:pPr>
    <w:rPr>
      <w:rFonts w:cs="Times New Roman"/>
      <w:color w:val="auto"/>
    </w:rPr>
  </w:style>
  <w:style w:type="paragraph" w:customStyle="1" w:styleId="338">
    <w:name w:val="Outline"/>
    <w:basedOn w:val="1"/>
    <w:qFormat/>
    <w:uiPriority w:val="0"/>
    <w:pPr>
      <w:widowControl/>
      <w:spacing w:before="240" w:line="360" w:lineRule="auto"/>
      <w:ind w:firstLine="200" w:firstLineChars="200"/>
      <w:jc w:val="left"/>
    </w:pPr>
    <w:rPr>
      <w:rFonts w:ascii="Arial" w:hAnsi="Arial"/>
      <w:kern w:val="28"/>
      <w:sz w:val="20"/>
      <w:szCs w:val="20"/>
    </w:rPr>
  </w:style>
  <w:style w:type="paragraph" w:customStyle="1" w:styleId="339">
    <w:name w:val="xl8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2"/>
      <w:szCs w:val="22"/>
    </w:rPr>
  </w:style>
  <w:style w:type="paragraph" w:customStyle="1" w:styleId="340">
    <w:name w:val="标题11"/>
    <w:basedOn w:val="1"/>
    <w:qFormat/>
    <w:uiPriority w:val="0"/>
    <w:pPr>
      <w:tabs>
        <w:tab w:val="left" w:pos="284"/>
      </w:tabs>
      <w:spacing w:line="360" w:lineRule="auto"/>
      <w:ind w:left="722" w:firstLine="116" w:firstLineChars="48"/>
      <w:textAlignment w:val="bottom"/>
    </w:pPr>
    <w:rPr>
      <w:rFonts w:ascii="宋体" w:hAnsi="宋体"/>
      <w:b/>
      <w:kern w:val="0"/>
      <w:sz w:val="24"/>
    </w:rPr>
  </w:style>
  <w:style w:type="paragraph" w:customStyle="1" w:styleId="341">
    <w:name w:val="CM49"/>
    <w:basedOn w:val="231"/>
    <w:next w:val="231"/>
    <w:qFormat/>
    <w:uiPriority w:val="0"/>
    <w:pPr>
      <w:spacing w:line="440" w:lineRule="atLeast"/>
    </w:pPr>
    <w:rPr>
      <w:rFonts w:cs="Times New Roman"/>
      <w:color w:val="auto"/>
    </w:rPr>
  </w:style>
  <w:style w:type="paragraph" w:customStyle="1" w:styleId="342">
    <w:name w:val="Char Char Char"/>
    <w:basedOn w:val="1"/>
    <w:qFormat/>
    <w:uiPriority w:val="0"/>
    <w:pPr>
      <w:spacing w:line="360" w:lineRule="auto"/>
    </w:pPr>
    <w:rPr>
      <w:rFonts w:ascii="Tahoma" w:hAnsi="Tahoma"/>
      <w:sz w:val="24"/>
      <w:szCs w:val="20"/>
    </w:rPr>
  </w:style>
  <w:style w:type="paragraph" w:customStyle="1" w:styleId="343">
    <w:name w:val="图形"/>
    <w:basedOn w:val="1"/>
    <w:qFormat/>
    <w:uiPriority w:val="0"/>
    <w:pPr>
      <w:spacing w:line="240" w:lineRule="atLeast"/>
      <w:jc w:val="left"/>
    </w:pPr>
    <w:rPr>
      <w:rFonts w:ascii="华文细黑" w:hAnsi="华文细黑" w:cs="Arial"/>
      <w:kern w:val="0"/>
      <w:szCs w:val="21"/>
    </w:rPr>
  </w:style>
  <w:style w:type="paragraph" w:customStyle="1" w:styleId="344">
    <w:name w:val="CM69"/>
    <w:basedOn w:val="231"/>
    <w:next w:val="231"/>
    <w:qFormat/>
    <w:uiPriority w:val="0"/>
    <w:pPr>
      <w:spacing w:line="400" w:lineRule="atLeast"/>
    </w:pPr>
    <w:rPr>
      <w:rFonts w:cs="Times New Roman"/>
      <w:color w:val="auto"/>
    </w:rPr>
  </w:style>
  <w:style w:type="paragraph" w:customStyle="1" w:styleId="345">
    <w:name w:val="xl8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b/>
      <w:bCs/>
      <w:color w:val="FF0000"/>
      <w:kern w:val="0"/>
      <w:sz w:val="22"/>
      <w:szCs w:val="22"/>
    </w:rPr>
  </w:style>
  <w:style w:type="paragraph" w:customStyle="1" w:styleId="346">
    <w:name w:val="CM18"/>
    <w:basedOn w:val="231"/>
    <w:next w:val="231"/>
    <w:qFormat/>
    <w:uiPriority w:val="0"/>
    <w:pPr>
      <w:spacing w:line="313" w:lineRule="atLeast"/>
    </w:pPr>
    <w:rPr>
      <w:rFonts w:cs="Times New Roman"/>
      <w:color w:val="auto"/>
    </w:rPr>
  </w:style>
  <w:style w:type="paragraph" w:customStyle="1" w:styleId="347">
    <w:name w:val="Char Char Char Char Char Char"/>
    <w:basedOn w:val="1"/>
    <w:qFormat/>
    <w:uiPriority w:val="0"/>
  </w:style>
  <w:style w:type="paragraph" w:customStyle="1" w:styleId="348">
    <w:name w:val="CM95"/>
    <w:basedOn w:val="231"/>
    <w:next w:val="231"/>
    <w:qFormat/>
    <w:uiPriority w:val="0"/>
    <w:pPr>
      <w:spacing w:after="115"/>
    </w:pPr>
    <w:rPr>
      <w:rFonts w:cs="Times New Roman"/>
      <w:color w:val="auto"/>
    </w:rPr>
  </w:style>
  <w:style w:type="paragraph" w:customStyle="1" w:styleId="349">
    <w:name w:val="设备规范样式2"/>
    <w:basedOn w:val="1"/>
    <w:qFormat/>
    <w:uiPriority w:val="0"/>
    <w:pPr>
      <w:tabs>
        <w:tab w:val="left" w:pos="1260"/>
      </w:tabs>
      <w:spacing w:line="360" w:lineRule="auto"/>
      <w:ind w:left="992" w:hanging="567"/>
      <w:textAlignment w:val="bottom"/>
    </w:pPr>
    <w:rPr>
      <w:rFonts w:eastAsia="楷体_GB2312"/>
      <w:kern w:val="0"/>
      <w:sz w:val="24"/>
    </w:rPr>
  </w:style>
  <w:style w:type="paragraph" w:customStyle="1" w:styleId="350">
    <w:name w:val="大标题"/>
    <w:qFormat/>
    <w:uiPriority w:val="0"/>
    <w:pPr>
      <w:jc w:val="center"/>
    </w:pPr>
    <w:rPr>
      <w:rFonts w:ascii="Times New Roman" w:hAnsi="Times New Roman" w:eastAsia="楷体_GB2312" w:cs="Times New Roman"/>
      <w:b/>
      <w:sz w:val="48"/>
      <w:lang w:val="en-US" w:eastAsia="zh-CN" w:bidi="ar-SA"/>
    </w:rPr>
  </w:style>
  <w:style w:type="paragraph" w:customStyle="1" w:styleId="351">
    <w:name w:val="CM83"/>
    <w:basedOn w:val="231"/>
    <w:next w:val="231"/>
    <w:qFormat/>
    <w:uiPriority w:val="0"/>
    <w:pPr>
      <w:spacing w:line="440" w:lineRule="atLeast"/>
    </w:pPr>
    <w:rPr>
      <w:rFonts w:cs="Times New Roman"/>
      <w:color w:val="auto"/>
    </w:rPr>
  </w:style>
  <w:style w:type="paragraph" w:customStyle="1" w:styleId="352">
    <w:name w:val="样式 标题 2"/>
    <w:basedOn w:val="1"/>
    <w:next w:val="4"/>
    <w:qFormat/>
    <w:uiPriority w:val="0"/>
    <w:pPr>
      <w:snapToGrid w:val="0"/>
      <w:spacing w:line="360" w:lineRule="auto"/>
      <w:ind w:firstLine="200" w:firstLineChars="200"/>
    </w:pPr>
    <w:rPr>
      <w:rFonts w:eastAsia="仿宋_GB2312"/>
      <w:sz w:val="32"/>
      <w:szCs w:val="32"/>
    </w:rPr>
  </w:style>
  <w:style w:type="paragraph" w:customStyle="1" w:styleId="353">
    <w:name w:val="CM101"/>
    <w:basedOn w:val="231"/>
    <w:next w:val="231"/>
    <w:qFormat/>
    <w:uiPriority w:val="0"/>
    <w:pPr>
      <w:spacing w:after="800"/>
    </w:pPr>
    <w:rPr>
      <w:rFonts w:cs="Times New Roman"/>
      <w:color w:val="auto"/>
    </w:rPr>
  </w:style>
  <w:style w:type="paragraph" w:customStyle="1" w:styleId="354">
    <w:name w:val="CM85"/>
    <w:basedOn w:val="231"/>
    <w:next w:val="231"/>
    <w:qFormat/>
    <w:uiPriority w:val="0"/>
    <w:pPr>
      <w:spacing w:line="443" w:lineRule="atLeast"/>
    </w:pPr>
    <w:rPr>
      <w:rFonts w:cs="Times New Roman"/>
      <w:color w:val="auto"/>
    </w:rPr>
  </w:style>
  <w:style w:type="paragraph" w:customStyle="1" w:styleId="355">
    <w:name w:val="表格1"/>
    <w:basedOn w:val="1"/>
    <w:qFormat/>
    <w:uiPriority w:val="0"/>
    <w:pPr>
      <w:tabs>
        <w:tab w:val="left" w:pos="203"/>
      </w:tabs>
      <w:spacing w:before="40" w:after="40"/>
      <w:jc w:val="center"/>
    </w:pPr>
    <w:rPr>
      <w:b/>
      <w:bCs/>
      <w:sz w:val="28"/>
      <w:szCs w:val="20"/>
    </w:rPr>
  </w:style>
  <w:style w:type="paragraph" w:customStyle="1" w:styleId="356">
    <w:name w:val="xl8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2"/>
      <w:szCs w:val="22"/>
    </w:rPr>
  </w:style>
  <w:style w:type="paragraph" w:customStyle="1" w:styleId="357">
    <w:name w:val="xl9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right"/>
    </w:pPr>
    <w:rPr>
      <w:rFonts w:ascii="宋体" w:hAnsi="宋体"/>
      <w:b/>
      <w:bCs/>
      <w:kern w:val="0"/>
      <w:sz w:val="22"/>
      <w:szCs w:val="22"/>
    </w:rPr>
  </w:style>
  <w:style w:type="paragraph" w:customStyle="1" w:styleId="358">
    <w:name w:val="Char Char Char Char Char Char1 Char Char1"/>
    <w:basedOn w:val="1"/>
    <w:qFormat/>
    <w:uiPriority w:val="0"/>
  </w:style>
  <w:style w:type="paragraph" w:customStyle="1" w:styleId="359">
    <w:name w:val="xl8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2"/>
      <w:szCs w:val="22"/>
    </w:rPr>
  </w:style>
  <w:style w:type="paragraph" w:customStyle="1" w:styleId="360">
    <w:name w:val="正文2"/>
    <w:qFormat/>
    <w:uiPriority w:val="0"/>
    <w:pPr>
      <w:widowControl w:val="0"/>
      <w:adjustRightInd w:val="0"/>
      <w:spacing w:line="240" w:lineRule="atLeast"/>
      <w:jc w:val="both"/>
      <w:textAlignment w:val="baseline"/>
    </w:pPr>
    <w:rPr>
      <w:rFonts w:ascii="宋体" w:hAnsi="Times New Roman" w:eastAsia="宋体" w:cs="Times New Roman"/>
      <w:sz w:val="34"/>
      <w:lang w:val="en-US" w:eastAsia="zh-CN" w:bidi="ar-SA"/>
    </w:rPr>
  </w:style>
  <w:style w:type="paragraph" w:customStyle="1" w:styleId="361">
    <w:name w:val="CM72"/>
    <w:basedOn w:val="231"/>
    <w:next w:val="231"/>
    <w:qFormat/>
    <w:uiPriority w:val="0"/>
    <w:rPr>
      <w:rFonts w:cs="Times New Roman"/>
      <w:color w:val="auto"/>
    </w:rPr>
  </w:style>
  <w:style w:type="paragraph" w:customStyle="1" w:styleId="362">
    <w:name w:val="封面字体4"/>
    <w:basedOn w:val="297"/>
    <w:qFormat/>
    <w:uiPriority w:val="0"/>
  </w:style>
  <w:style w:type="paragraph" w:customStyle="1" w:styleId="363">
    <w:name w:val="标题10"/>
    <w:basedOn w:val="8"/>
    <w:qFormat/>
    <w:uiPriority w:val="0"/>
    <w:pPr>
      <w:keepNext/>
      <w:keepLines/>
      <w:widowControl w:val="0"/>
      <w:tabs>
        <w:tab w:val="left" w:pos="720"/>
        <w:tab w:val="clear" w:pos="2940"/>
      </w:tabs>
      <w:overflowPunct/>
      <w:autoSpaceDE/>
      <w:autoSpaceDN/>
      <w:spacing w:before="240" w:after="64" w:line="320" w:lineRule="atLeast"/>
      <w:ind w:left="901" w:leftChars="300" w:hanging="181"/>
    </w:pPr>
    <w:rPr>
      <w:rFonts w:eastAsia="楷体_GB2312"/>
      <w:b/>
      <w:i w:val="0"/>
      <w:position w:val="0"/>
      <w:sz w:val="24"/>
      <w:szCs w:val="24"/>
      <w:lang w:val="en-US"/>
    </w:rPr>
  </w:style>
  <w:style w:type="paragraph" w:customStyle="1" w:styleId="364">
    <w:name w:val="小标题"/>
    <w:basedOn w:val="4"/>
    <w:qFormat/>
    <w:uiPriority w:val="0"/>
    <w:pPr>
      <w:keepLines w:val="0"/>
      <w:tabs>
        <w:tab w:val="left" w:pos="1080"/>
      </w:tabs>
      <w:spacing w:before="0" w:after="0" w:line="240" w:lineRule="auto"/>
      <w:ind w:left="1080" w:hanging="1080" w:firstLineChars="0"/>
      <w:jc w:val="both"/>
    </w:pPr>
    <w:rPr>
      <w:rFonts w:hAnsi="宋体"/>
      <w:kern w:val="2"/>
      <w:sz w:val="44"/>
      <w:szCs w:val="20"/>
    </w:rPr>
  </w:style>
  <w:style w:type="paragraph" w:customStyle="1" w:styleId="365">
    <w:name w:val="样式6"/>
    <w:basedOn w:val="1"/>
    <w:qFormat/>
    <w:uiPriority w:val="0"/>
    <w:pPr>
      <w:jc w:val="center"/>
    </w:pPr>
    <w:rPr>
      <w:rFonts w:ascii="宋体" w:hAnsi="宋体" w:cs="Arial"/>
      <w:kern w:val="0"/>
      <w:szCs w:val="21"/>
    </w:rPr>
  </w:style>
  <w:style w:type="paragraph" w:customStyle="1" w:styleId="366">
    <w:name w:val="CB&amp;I 1.1.1"/>
    <w:basedOn w:val="1"/>
    <w:qFormat/>
    <w:uiPriority w:val="0"/>
    <w:pPr>
      <w:tabs>
        <w:tab w:val="left" w:pos="220"/>
        <w:tab w:val="left" w:pos="1260"/>
      </w:tabs>
      <w:adjustRightInd w:val="0"/>
      <w:spacing w:after="180" w:line="320" w:lineRule="exact"/>
      <w:ind w:left="1260" w:hanging="420"/>
      <w:textAlignment w:val="baseline"/>
    </w:pPr>
    <w:rPr>
      <w:rFonts w:ascii="Arial" w:hAnsi="Arial"/>
      <w:kern w:val="0"/>
      <w:sz w:val="24"/>
      <w:szCs w:val="20"/>
    </w:rPr>
  </w:style>
  <w:style w:type="paragraph" w:customStyle="1" w:styleId="367">
    <w:name w:val="p12"/>
    <w:basedOn w:val="1"/>
    <w:qFormat/>
    <w:uiPriority w:val="0"/>
    <w:pPr>
      <w:widowControl/>
      <w:spacing w:before="100" w:beforeAutospacing="1" w:after="100" w:afterAutospacing="1"/>
      <w:jc w:val="left"/>
    </w:pPr>
    <w:rPr>
      <w:rFonts w:asciiTheme="minorHAnsi" w:hAnsiTheme="minorHAnsi"/>
      <w:color w:val="000000"/>
      <w:kern w:val="0"/>
      <w:sz w:val="24"/>
    </w:rPr>
  </w:style>
  <w:style w:type="paragraph" w:customStyle="1" w:styleId="368">
    <w:name w:val="合同落款"/>
    <w:basedOn w:val="1"/>
    <w:qFormat/>
    <w:uiPriority w:val="0"/>
    <w:pPr>
      <w:spacing w:line="240" w:lineRule="atLeast"/>
    </w:pPr>
    <w:rPr>
      <w:rFonts w:ascii="华文细黑" w:hAnsi="华文细黑" w:eastAsia="楷体_GB2312" w:cs="Arial"/>
      <w:spacing w:val="-18"/>
      <w:kern w:val="0"/>
      <w:sz w:val="32"/>
      <w:szCs w:val="32"/>
    </w:rPr>
  </w:style>
  <w:style w:type="paragraph" w:customStyle="1" w:styleId="36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70">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b/>
      <w:bCs/>
      <w:kern w:val="0"/>
      <w:sz w:val="22"/>
      <w:szCs w:val="22"/>
    </w:rPr>
  </w:style>
  <w:style w:type="paragraph" w:customStyle="1" w:styleId="371">
    <w:name w:val="自定义标题3"/>
    <w:basedOn w:val="1"/>
    <w:next w:val="1"/>
    <w:qFormat/>
    <w:uiPriority w:val="0"/>
    <w:pPr>
      <w:adjustRightInd w:val="0"/>
      <w:spacing w:before="100" w:after="120" w:line="320" w:lineRule="exact"/>
      <w:textAlignment w:val="baseline"/>
    </w:pPr>
    <w:rPr>
      <w:rFonts w:ascii="Arial" w:hAnsi="Arial"/>
      <w:color w:val="0000FF"/>
      <w:kern w:val="0"/>
      <w:sz w:val="24"/>
      <w:szCs w:val="20"/>
    </w:rPr>
  </w:style>
  <w:style w:type="paragraph" w:customStyle="1" w:styleId="372">
    <w:name w:val="强调文字"/>
    <w:basedOn w:val="1"/>
    <w:qFormat/>
    <w:uiPriority w:val="0"/>
    <w:pPr>
      <w:spacing w:line="440" w:lineRule="exact"/>
      <w:ind w:firstLine="480" w:firstLineChars="200"/>
    </w:pPr>
    <w:rPr>
      <w:rFonts w:ascii="华文细黑" w:hAnsi="华文细黑" w:eastAsia="黑体" w:cs="Arial"/>
      <w:kern w:val="0"/>
      <w:sz w:val="24"/>
      <w:szCs w:val="28"/>
    </w:rPr>
  </w:style>
  <w:style w:type="paragraph" w:customStyle="1" w:styleId="373">
    <w:name w:val="CM99"/>
    <w:basedOn w:val="231"/>
    <w:next w:val="231"/>
    <w:qFormat/>
    <w:uiPriority w:val="0"/>
    <w:pPr>
      <w:spacing w:after="443"/>
    </w:pPr>
    <w:rPr>
      <w:rFonts w:cs="Times New Roman"/>
      <w:color w:val="auto"/>
    </w:rPr>
  </w:style>
  <w:style w:type="paragraph" w:customStyle="1" w:styleId="374">
    <w:name w:val="封面标题"/>
    <w:qFormat/>
    <w:uiPriority w:val="0"/>
    <w:pPr>
      <w:jc w:val="center"/>
    </w:pPr>
    <w:rPr>
      <w:rFonts w:ascii="Times New Roman" w:hAnsi="Times New Roman" w:eastAsia="隶书" w:cs="Times New Roman"/>
      <w:b/>
      <w:sz w:val="52"/>
      <w:lang w:val="en-US" w:eastAsia="zh-CN" w:bidi="ar-SA"/>
    </w:rPr>
  </w:style>
  <w:style w:type="paragraph" w:customStyle="1" w:styleId="375">
    <w:name w:val="CM23"/>
    <w:basedOn w:val="231"/>
    <w:next w:val="231"/>
    <w:qFormat/>
    <w:uiPriority w:val="0"/>
    <w:pPr>
      <w:spacing w:line="398" w:lineRule="atLeast"/>
    </w:pPr>
    <w:rPr>
      <w:rFonts w:cs="Times New Roman"/>
      <w:color w:val="auto"/>
    </w:rPr>
  </w:style>
  <w:style w:type="paragraph" w:customStyle="1" w:styleId="376">
    <w:name w:val="xl9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right"/>
    </w:pPr>
    <w:rPr>
      <w:rFonts w:ascii="宋体" w:hAnsi="宋体"/>
      <w:b/>
      <w:bCs/>
      <w:color w:val="FF0000"/>
      <w:kern w:val="0"/>
      <w:sz w:val="22"/>
      <w:szCs w:val="22"/>
    </w:rPr>
  </w:style>
  <w:style w:type="paragraph" w:customStyle="1" w:styleId="377">
    <w:name w:val="font10"/>
    <w:basedOn w:val="1"/>
    <w:qFormat/>
    <w:uiPriority w:val="0"/>
    <w:pPr>
      <w:widowControl/>
      <w:spacing w:before="100" w:beforeAutospacing="1" w:after="100" w:afterAutospacing="1"/>
      <w:jc w:val="left"/>
    </w:pPr>
    <w:rPr>
      <w:b/>
      <w:bCs/>
      <w:kern w:val="0"/>
      <w:sz w:val="20"/>
      <w:szCs w:val="20"/>
    </w:rPr>
  </w:style>
  <w:style w:type="paragraph" w:customStyle="1" w:styleId="378">
    <w:name w:val="CM56"/>
    <w:basedOn w:val="231"/>
    <w:next w:val="231"/>
    <w:qFormat/>
    <w:uiPriority w:val="0"/>
    <w:rPr>
      <w:rFonts w:cs="Times New Roman"/>
      <w:color w:val="auto"/>
    </w:rPr>
  </w:style>
  <w:style w:type="paragraph" w:customStyle="1" w:styleId="379">
    <w:name w:val="CM76"/>
    <w:basedOn w:val="231"/>
    <w:next w:val="231"/>
    <w:qFormat/>
    <w:uiPriority w:val="0"/>
    <w:pPr>
      <w:spacing w:line="400" w:lineRule="atLeast"/>
    </w:pPr>
    <w:rPr>
      <w:rFonts w:cs="Times New Roman"/>
      <w:color w:val="auto"/>
    </w:rPr>
  </w:style>
  <w:style w:type="paragraph" w:customStyle="1" w:styleId="380">
    <w:name w:val="CM77"/>
    <w:basedOn w:val="231"/>
    <w:next w:val="231"/>
    <w:qFormat/>
    <w:uiPriority w:val="0"/>
    <w:pPr>
      <w:spacing w:line="400" w:lineRule="atLeast"/>
    </w:pPr>
    <w:rPr>
      <w:rFonts w:cs="Times New Roman"/>
      <w:color w:val="auto"/>
    </w:rPr>
  </w:style>
  <w:style w:type="paragraph" w:customStyle="1" w:styleId="381">
    <w:name w:val="font1"/>
    <w:basedOn w:val="1"/>
    <w:qFormat/>
    <w:uiPriority w:val="0"/>
    <w:pPr>
      <w:widowControl/>
      <w:spacing w:before="100" w:beforeAutospacing="1" w:after="100" w:afterAutospacing="1"/>
      <w:jc w:val="left"/>
    </w:pPr>
    <w:rPr>
      <w:rFonts w:hint="eastAsia" w:ascii="宋体" w:hAnsi="宋体"/>
      <w:b/>
      <w:bCs/>
      <w:kern w:val="0"/>
      <w:sz w:val="24"/>
    </w:rPr>
  </w:style>
  <w:style w:type="paragraph" w:customStyle="1" w:styleId="38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83">
    <w:name w:val="CM53"/>
    <w:basedOn w:val="231"/>
    <w:next w:val="231"/>
    <w:qFormat/>
    <w:uiPriority w:val="0"/>
    <w:pPr>
      <w:spacing w:line="400" w:lineRule="atLeast"/>
    </w:pPr>
    <w:rPr>
      <w:rFonts w:cs="Times New Roman"/>
      <w:color w:val="auto"/>
    </w:rPr>
  </w:style>
  <w:style w:type="paragraph" w:customStyle="1" w:styleId="384">
    <w:name w:val="CM39"/>
    <w:basedOn w:val="231"/>
    <w:next w:val="231"/>
    <w:qFormat/>
    <w:uiPriority w:val="0"/>
    <w:pPr>
      <w:spacing w:line="400" w:lineRule="atLeast"/>
    </w:pPr>
    <w:rPr>
      <w:rFonts w:cs="Times New Roman"/>
      <w:color w:val="auto"/>
    </w:rPr>
  </w:style>
  <w:style w:type="paragraph" w:customStyle="1" w:styleId="385">
    <w:name w:val="CM92"/>
    <w:basedOn w:val="231"/>
    <w:next w:val="231"/>
    <w:qFormat/>
    <w:uiPriority w:val="0"/>
    <w:pPr>
      <w:spacing w:after="530"/>
    </w:pPr>
    <w:rPr>
      <w:rFonts w:cs="Times New Roman"/>
      <w:color w:val="auto"/>
    </w:rPr>
  </w:style>
  <w:style w:type="paragraph" w:customStyle="1" w:styleId="386">
    <w:name w:val="CM63"/>
    <w:basedOn w:val="1"/>
    <w:next w:val="1"/>
    <w:qFormat/>
    <w:uiPriority w:val="0"/>
    <w:pPr>
      <w:autoSpaceDE w:val="0"/>
      <w:autoSpaceDN w:val="0"/>
      <w:adjustRightInd w:val="0"/>
      <w:spacing w:after="143"/>
      <w:jc w:val="left"/>
    </w:pPr>
    <w:rPr>
      <w:rFonts w:ascii="宋体" w:hAnsi="Calibri"/>
      <w:kern w:val="0"/>
      <w:sz w:val="24"/>
    </w:rPr>
  </w:style>
  <w:style w:type="paragraph" w:customStyle="1" w:styleId="387">
    <w:name w:val="CM25"/>
    <w:basedOn w:val="231"/>
    <w:next w:val="231"/>
    <w:qFormat/>
    <w:uiPriority w:val="0"/>
    <w:pPr>
      <w:spacing w:line="440" w:lineRule="atLeast"/>
    </w:pPr>
    <w:rPr>
      <w:rFonts w:cs="Times New Roman"/>
      <w:color w:val="auto"/>
    </w:rPr>
  </w:style>
  <w:style w:type="paragraph" w:customStyle="1" w:styleId="388">
    <w:name w:val="CM98"/>
    <w:basedOn w:val="231"/>
    <w:next w:val="231"/>
    <w:qFormat/>
    <w:uiPriority w:val="0"/>
    <w:pPr>
      <w:spacing w:after="570"/>
    </w:pPr>
    <w:rPr>
      <w:rFonts w:cs="Times New Roman"/>
      <w:color w:val="auto"/>
    </w:rPr>
  </w:style>
  <w:style w:type="paragraph" w:customStyle="1" w:styleId="389">
    <w:name w:val="CM19"/>
    <w:basedOn w:val="231"/>
    <w:next w:val="231"/>
    <w:qFormat/>
    <w:uiPriority w:val="0"/>
    <w:pPr>
      <w:spacing w:line="398" w:lineRule="atLeast"/>
    </w:pPr>
    <w:rPr>
      <w:rFonts w:cs="Times New Roman"/>
      <w:color w:val="auto"/>
    </w:rPr>
  </w:style>
  <w:style w:type="paragraph" w:customStyle="1" w:styleId="390">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olor w:val="800000"/>
      <w:kern w:val="0"/>
      <w:sz w:val="22"/>
      <w:szCs w:val="22"/>
    </w:rPr>
  </w:style>
  <w:style w:type="paragraph" w:customStyle="1" w:styleId="391">
    <w:name w:val="font11"/>
    <w:basedOn w:val="1"/>
    <w:qFormat/>
    <w:uiPriority w:val="0"/>
    <w:pPr>
      <w:widowControl/>
      <w:spacing w:before="100" w:beforeAutospacing="1" w:after="100" w:afterAutospacing="1"/>
      <w:jc w:val="left"/>
    </w:pPr>
    <w:rPr>
      <w:b/>
      <w:bCs/>
      <w:kern w:val="0"/>
      <w:sz w:val="24"/>
    </w:rPr>
  </w:style>
  <w:style w:type="paragraph" w:customStyle="1" w:styleId="392">
    <w:name w:val="CB&amp;I 1.1.1.1"/>
    <w:basedOn w:val="1"/>
    <w:qFormat/>
    <w:uiPriority w:val="0"/>
    <w:pPr>
      <w:tabs>
        <w:tab w:val="left" w:pos="0"/>
        <w:tab w:val="left" w:pos="1680"/>
      </w:tabs>
      <w:adjustRightInd w:val="0"/>
      <w:spacing w:after="180" w:line="320" w:lineRule="exact"/>
      <w:ind w:left="1680" w:hanging="420"/>
      <w:textAlignment w:val="baseline"/>
    </w:pPr>
    <w:rPr>
      <w:rFonts w:ascii="Arial" w:hAnsi="Arial"/>
      <w:kern w:val="0"/>
      <w:sz w:val="24"/>
      <w:szCs w:val="20"/>
    </w:rPr>
  </w:style>
  <w:style w:type="paragraph" w:customStyle="1" w:styleId="393">
    <w:name w:val="Legal 4"/>
    <w:basedOn w:val="231"/>
    <w:next w:val="231"/>
    <w:qFormat/>
    <w:uiPriority w:val="0"/>
    <w:pPr>
      <w:spacing w:after="120"/>
    </w:pPr>
    <w:rPr>
      <w:rFonts w:cs="Times New Roman"/>
      <w:color w:val="auto"/>
    </w:rPr>
  </w:style>
  <w:style w:type="paragraph" w:customStyle="1" w:styleId="394">
    <w:name w:val="封面样式3"/>
    <w:basedOn w:val="1"/>
    <w:qFormat/>
    <w:uiPriority w:val="0"/>
    <w:pPr>
      <w:spacing w:line="440" w:lineRule="exact"/>
      <w:ind w:firstLine="630" w:firstLineChars="300"/>
      <w:jc w:val="left"/>
    </w:pPr>
    <w:rPr>
      <w:rFonts w:ascii="华文细黑" w:hAnsi="华文细黑" w:cs="Arial"/>
      <w:kern w:val="0"/>
      <w:szCs w:val="21"/>
    </w:rPr>
  </w:style>
  <w:style w:type="paragraph" w:customStyle="1" w:styleId="39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FF0000"/>
      <w:kern w:val="0"/>
      <w:sz w:val="22"/>
      <w:szCs w:val="22"/>
    </w:rPr>
  </w:style>
  <w:style w:type="paragraph" w:customStyle="1" w:styleId="396">
    <w:name w:val="xl81"/>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宋体" w:hAnsi="宋体"/>
      <w:kern w:val="0"/>
      <w:sz w:val="22"/>
      <w:szCs w:val="22"/>
    </w:rPr>
  </w:style>
  <w:style w:type="paragraph" w:customStyle="1" w:styleId="397">
    <w:name w:val="CM33"/>
    <w:basedOn w:val="231"/>
    <w:next w:val="231"/>
    <w:qFormat/>
    <w:uiPriority w:val="0"/>
    <w:rPr>
      <w:rFonts w:cs="Times New Roman"/>
      <w:color w:val="auto"/>
    </w:rPr>
  </w:style>
  <w:style w:type="paragraph" w:customStyle="1" w:styleId="398">
    <w:name w:val="CM80"/>
    <w:basedOn w:val="231"/>
    <w:next w:val="231"/>
    <w:qFormat/>
    <w:uiPriority w:val="0"/>
    <w:pPr>
      <w:spacing w:line="440" w:lineRule="atLeast"/>
    </w:pPr>
    <w:rPr>
      <w:rFonts w:cs="Times New Roman"/>
      <w:color w:val="auto"/>
    </w:rPr>
  </w:style>
  <w:style w:type="paragraph" w:customStyle="1" w:styleId="399">
    <w:name w:val="xl8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olor w:val="FF0000"/>
      <w:kern w:val="0"/>
      <w:sz w:val="22"/>
      <w:szCs w:val="22"/>
    </w:rPr>
  </w:style>
  <w:style w:type="paragraph" w:customStyle="1" w:styleId="400">
    <w:name w:val="xl94"/>
    <w:basedOn w:val="1"/>
    <w:qFormat/>
    <w:uiPriority w:val="0"/>
    <w:pPr>
      <w:widowControl/>
      <w:pBdr>
        <w:bottom w:val="single" w:color="auto" w:sz="8" w:space="0"/>
      </w:pBdr>
      <w:spacing w:before="100" w:beforeAutospacing="1" w:after="100" w:afterAutospacing="1"/>
      <w:jc w:val="left"/>
    </w:pPr>
    <w:rPr>
      <w:rFonts w:ascii="宋体" w:hAnsi="宋体"/>
      <w:kern w:val="0"/>
      <w:sz w:val="18"/>
      <w:szCs w:val="18"/>
    </w:rPr>
  </w:style>
  <w:style w:type="paragraph" w:customStyle="1" w:styleId="401">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402">
    <w:name w:val="正文(齐头)"/>
    <w:basedOn w:val="1"/>
    <w:qFormat/>
    <w:uiPriority w:val="0"/>
    <w:pPr>
      <w:adjustRightInd w:val="0"/>
      <w:spacing w:after="180" w:line="320" w:lineRule="exact"/>
      <w:ind w:left="1009" w:hanging="1009"/>
      <w:textAlignment w:val="bottom"/>
    </w:pPr>
    <w:rPr>
      <w:rFonts w:ascii="Arial" w:hAnsi="Arial"/>
      <w:kern w:val="0"/>
      <w:sz w:val="24"/>
      <w:szCs w:val="20"/>
    </w:rPr>
  </w:style>
  <w:style w:type="paragraph" w:customStyle="1" w:styleId="403">
    <w:name w:val="字元 字元11"/>
    <w:basedOn w:val="1"/>
    <w:qFormat/>
    <w:uiPriority w:val="0"/>
  </w:style>
  <w:style w:type="paragraph" w:customStyle="1" w:styleId="404">
    <w:name w:val="(i)"/>
    <w:basedOn w:val="1"/>
    <w:qFormat/>
    <w:uiPriority w:val="0"/>
    <w:pPr>
      <w:widowControl/>
      <w:suppressAutoHyphens/>
      <w:spacing w:line="360" w:lineRule="auto"/>
      <w:ind w:firstLine="200" w:firstLineChars="200"/>
    </w:pPr>
    <w:rPr>
      <w:rFonts w:ascii="Tms Rmn" w:hAnsi="Tms Rmn"/>
      <w:kern w:val="0"/>
      <w:sz w:val="20"/>
      <w:szCs w:val="20"/>
      <w:lang w:eastAsia="en-US"/>
    </w:rPr>
  </w:style>
  <w:style w:type="paragraph" w:customStyle="1" w:styleId="405">
    <w:name w:val="日期1"/>
    <w:basedOn w:val="1"/>
    <w:next w:val="1"/>
    <w:qFormat/>
    <w:uiPriority w:val="0"/>
    <w:pPr>
      <w:adjustRightInd w:val="0"/>
      <w:spacing w:line="360" w:lineRule="atLeast"/>
      <w:textAlignment w:val="baseline"/>
    </w:pPr>
    <w:rPr>
      <w:rFonts w:ascii="宋体"/>
      <w:kern w:val="0"/>
      <w:sz w:val="28"/>
      <w:szCs w:val="20"/>
    </w:rPr>
  </w:style>
  <w:style w:type="paragraph" w:customStyle="1" w:styleId="406">
    <w:name w:val="CM44"/>
    <w:basedOn w:val="231"/>
    <w:next w:val="231"/>
    <w:qFormat/>
    <w:uiPriority w:val="0"/>
    <w:pPr>
      <w:spacing w:line="440" w:lineRule="atLeast"/>
    </w:pPr>
    <w:rPr>
      <w:rFonts w:cs="Times New Roman"/>
      <w:color w:val="auto"/>
    </w:rPr>
  </w:style>
  <w:style w:type="paragraph" w:customStyle="1" w:styleId="407">
    <w:name w:val="CM28"/>
    <w:basedOn w:val="231"/>
    <w:next w:val="231"/>
    <w:qFormat/>
    <w:uiPriority w:val="0"/>
    <w:rPr>
      <w:rFonts w:cs="Times New Roman"/>
      <w:color w:val="auto"/>
    </w:rPr>
  </w:style>
  <w:style w:type="paragraph" w:customStyle="1" w:styleId="408">
    <w:name w:val="不缩进"/>
    <w:basedOn w:val="1"/>
    <w:qFormat/>
    <w:uiPriority w:val="0"/>
    <w:pPr>
      <w:jc w:val="center"/>
    </w:pPr>
    <w:rPr>
      <w:rFonts w:ascii="楷体_GB2312" w:eastAsia="楷体_GB2312"/>
      <w:spacing w:val="-8"/>
      <w:sz w:val="24"/>
      <w:szCs w:val="20"/>
    </w:rPr>
  </w:style>
  <w:style w:type="paragraph" w:customStyle="1" w:styleId="409">
    <w:name w:val="plane"/>
    <w:basedOn w:val="1"/>
    <w:qFormat/>
    <w:uiPriority w:val="0"/>
    <w:pPr>
      <w:widowControl/>
      <w:suppressAutoHyphens/>
    </w:pPr>
    <w:rPr>
      <w:rFonts w:ascii="Tms Rmn" w:hAnsi="Tms Rmn"/>
      <w:kern w:val="0"/>
      <w:sz w:val="24"/>
      <w:szCs w:val="20"/>
    </w:rPr>
  </w:style>
  <w:style w:type="paragraph" w:customStyle="1" w:styleId="410">
    <w:name w:val="带编号的正文"/>
    <w:basedOn w:val="1"/>
    <w:qFormat/>
    <w:uiPriority w:val="0"/>
    <w:pPr>
      <w:tabs>
        <w:tab w:val="left" w:pos="180"/>
      </w:tabs>
      <w:spacing w:line="360" w:lineRule="auto"/>
      <w:ind w:left="200" w:leftChars="200" w:hanging="567"/>
      <w:textAlignment w:val="bottom"/>
    </w:pPr>
    <w:rPr>
      <w:rFonts w:ascii="宋体" w:hAnsi="宋体" w:eastAsia="楷体_GB2312"/>
      <w:kern w:val="0"/>
      <w:sz w:val="24"/>
      <w:szCs w:val="20"/>
    </w:rPr>
  </w:style>
  <w:style w:type="paragraph" w:customStyle="1" w:styleId="411">
    <w:name w:val="表格文字"/>
    <w:next w:val="28"/>
    <w:qFormat/>
    <w:uiPriority w:val="0"/>
    <w:pPr>
      <w:jc w:val="center"/>
    </w:pPr>
    <w:rPr>
      <w:rFonts w:ascii="Times New Roman" w:hAnsi="Times New Roman" w:eastAsia="楷体_GB2312" w:cs="Times New Roman"/>
      <w:sz w:val="24"/>
      <w:lang w:val="en-US" w:eastAsia="zh-CN" w:bidi="ar-SA"/>
    </w:rPr>
  </w:style>
  <w:style w:type="paragraph" w:customStyle="1" w:styleId="4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color w:val="FF0000"/>
      <w:kern w:val="0"/>
      <w:sz w:val="22"/>
      <w:szCs w:val="22"/>
    </w:rPr>
  </w:style>
  <w:style w:type="paragraph" w:customStyle="1" w:styleId="413">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14">
    <w:name w:val="封面样式4"/>
    <w:basedOn w:val="1"/>
    <w:qFormat/>
    <w:uiPriority w:val="0"/>
    <w:pPr>
      <w:spacing w:line="440" w:lineRule="exact"/>
      <w:ind w:firstLine="630" w:firstLineChars="300"/>
      <w:jc w:val="left"/>
    </w:pPr>
    <w:rPr>
      <w:rFonts w:ascii="华文细黑" w:hAnsi="华文细黑" w:cs="Arial"/>
      <w:kern w:val="0"/>
      <w:szCs w:val="21"/>
    </w:rPr>
  </w:style>
  <w:style w:type="paragraph" w:customStyle="1" w:styleId="415">
    <w:name w:val="font12"/>
    <w:basedOn w:val="1"/>
    <w:qFormat/>
    <w:uiPriority w:val="0"/>
    <w:pPr>
      <w:widowControl/>
      <w:spacing w:before="100" w:beforeAutospacing="1" w:after="100" w:afterAutospacing="1"/>
      <w:jc w:val="left"/>
    </w:pPr>
    <w:rPr>
      <w:kern w:val="0"/>
      <w:sz w:val="20"/>
      <w:szCs w:val="20"/>
    </w:rPr>
  </w:style>
  <w:style w:type="paragraph" w:customStyle="1" w:styleId="416">
    <w:name w:val="封面样式2"/>
    <w:basedOn w:val="1"/>
    <w:qFormat/>
    <w:uiPriority w:val="0"/>
    <w:pPr>
      <w:spacing w:line="440" w:lineRule="exact"/>
      <w:ind w:firstLine="630" w:firstLineChars="300"/>
      <w:jc w:val="left"/>
    </w:pPr>
    <w:rPr>
      <w:rFonts w:ascii="华文细黑" w:hAnsi="华文细黑" w:cs="Arial"/>
      <w:kern w:val="0"/>
      <w:szCs w:val="21"/>
    </w:rPr>
  </w:style>
  <w:style w:type="paragraph" w:customStyle="1" w:styleId="417">
    <w:name w:val="xl8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left"/>
    </w:pPr>
    <w:rPr>
      <w:rFonts w:ascii="宋体" w:hAnsi="宋体"/>
      <w:b/>
      <w:bCs/>
      <w:kern w:val="0"/>
      <w:sz w:val="22"/>
      <w:szCs w:val="22"/>
    </w:rPr>
  </w:style>
  <w:style w:type="paragraph" w:customStyle="1" w:styleId="418">
    <w:name w:val="CM2"/>
    <w:basedOn w:val="231"/>
    <w:next w:val="231"/>
    <w:qFormat/>
    <w:uiPriority w:val="0"/>
    <w:pPr>
      <w:spacing w:line="500" w:lineRule="atLeast"/>
    </w:pPr>
    <w:rPr>
      <w:rFonts w:cs="Times New Roman"/>
      <w:color w:val="auto"/>
    </w:rPr>
  </w:style>
  <w:style w:type="paragraph" w:customStyle="1" w:styleId="419">
    <w:name w:val="xl76"/>
    <w:basedOn w:val="1"/>
    <w:qFormat/>
    <w:uiPriority w:val="0"/>
    <w:pPr>
      <w:widowControl/>
      <w:spacing w:before="100" w:beforeAutospacing="1" w:after="100" w:afterAutospacing="1"/>
      <w:jc w:val="left"/>
    </w:pPr>
    <w:rPr>
      <w:kern w:val="0"/>
      <w:sz w:val="18"/>
      <w:szCs w:val="18"/>
    </w:rPr>
  </w:style>
  <w:style w:type="paragraph" w:customStyle="1" w:styleId="420">
    <w:name w:val="标题 1+ 黑体"/>
    <w:basedOn w:val="29"/>
    <w:qFormat/>
    <w:uiPriority w:val="0"/>
    <w:rPr>
      <w:rFonts w:ascii="黑体" w:hAnsi="Arial" w:eastAsia="黑体"/>
    </w:rPr>
  </w:style>
  <w:style w:type="paragraph" w:customStyle="1" w:styleId="421">
    <w:name w:val="正文再缩近"/>
    <w:basedOn w:val="1"/>
    <w:qFormat/>
    <w:uiPriority w:val="0"/>
    <w:pPr>
      <w:spacing w:line="440" w:lineRule="exact"/>
      <w:ind w:firstLine="400" w:firstLineChars="400"/>
    </w:pPr>
    <w:rPr>
      <w:rFonts w:ascii="华文细黑" w:hAnsi="华文细黑" w:cs="Arial"/>
      <w:color w:val="FF0000"/>
      <w:kern w:val="0"/>
      <w:szCs w:val="21"/>
    </w:rPr>
  </w:style>
  <w:style w:type="paragraph" w:customStyle="1" w:styleId="422">
    <w:name w:val="xl9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b/>
      <w:bCs/>
      <w:kern w:val="0"/>
      <w:sz w:val="24"/>
    </w:rPr>
  </w:style>
  <w:style w:type="paragraph" w:customStyle="1" w:styleId="423">
    <w:name w:val="CM26"/>
    <w:basedOn w:val="231"/>
    <w:next w:val="231"/>
    <w:qFormat/>
    <w:uiPriority w:val="0"/>
    <w:pPr>
      <w:spacing w:line="400" w:lineRule="atLeast"/>
    </w:pPr>
    <w:rPr>
      <w:rFonts w:cs="Times New Roman"/>
      <w:color w:val="auto"/>
    </w:rPr>
  </w:style>
  <w:style w:type="paragraph" w:customStyle="1" w:styleId="424">
    <w:name w:val="标题 0"/>
    <w:basedOn w:val="2"/>
    <w:qFormat/>
    <w:uiPriority w:val="0"/>
    <w:pPr>
      <w:keepNext w:val="0"/>
      <w:tabs>
        <w:tab w:val="left" w:pos="3780"/>
      </w:tabs>
      <w:autoSpaceDE/>
      <w:autoSpaceDN/>
      <w:adjustRightInd/>
      <w:spacing w:line="360" w:lineRule="auto"/>
    </w:pPr>
    <w:rPr>
      <w:rFonts w:ascii="Times New Roman" w:eastAsia="宋体"/>
      <w:bCs w:val="0"/>
      <w:color w:val="auto"/>
      <w:kern w:val="2"/>
      <w:sz w:val="30"/>
    </w:rPr>
  </w:style>
  <w:style w:type="paragraph" w:customStyle="1" w:styleId="425">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426">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427">
    <w:name w:val="font13"/>
    <w:basedOn w:val="1"/>
    <w:qFormat/>
    <w:uiPriority w:val="0"/>
    <w:pPr>
      <w:widowControl/>
      <w:spacing w:before="100" w:beforeAutospacing="1" w:after="100" w:afterAutospacing="1"/>
      <w:jc w:val="left"/>
    </w:pPr>
    <w:rPr>
      <w:rFonts w:eastAsia="Arial Unicode MS"/>
      <w:b/>
      <w:bCs/>
      <w:kern w:val="0"/>
      <w:sz w:val="20"/>
      <w:szCs w:val="20"/>
    </w:rPr>
  </w:style>
  <w:style w:type="paragraph" w:customStyle="1" w:styleId="428">
    <w:name w:val="Char1 Char Char Char"/>
    <w:basedOn w:val="1"/>
    <w:qFormat/>
    <w:uiPriority w:val="0"/>
  </w:style>
  <w:style w:type="paragraph" w:customStyle="1" w:styleId="429">
    <w:name w:val="CM93"/>
    <w:basedOn w:val="231"/>
    <w:next w:val="231"/>
    <w:qFormat/>
    <w:uiPriority w:val="0"/>
    <w:pPr>
      <w:spacing w:after="628"/>
    </w:pPr>
    <w:rPr>
      <w:rFonts w:cs="Times New Roman"/>
      <w:color w:val="auto"/>
    </w:rPr>
  </w:style>
  <w:style w:type="paragraph" w:customStyle="1" w:styleId="430">
    <w:name w:val="CM20"/>
    <w:basedOn w:val="231"/>
    <w:next w:val="231"/>
    <w:qFormat/>
    <w:uiPriority w:val="0"/>
    <w:pPr>
      <w:spacing w:line="400" w:lineRule="atLeast"/>
    </w:pPr>
    <w:rPr>
      <w:rFonts w:cs="Times New Roman"/>
      <w:color w:val="auto"/>
    </w:rPr>
  </w:style>
  <w:style w:type="table" w:customStyle="1" w:styleId="431">
    <w:name w:val="表格样式1"/>
    <w:basedOn w:val="6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StylePr w:type="firstCol">
      <w:rPr>
        <w:rFonts w:eastAsia="MS Mincho"/>
        <w:sz w:val="28"/>
      </w:rPr>
    </w:tblStylePr>
  </w:style>
  <w:style w:type="table" w:customStyle="1" w:styleId="432">
    <w:name w:val="网格型11"/>
    <w:basedOn w:val="6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3">
    <w:name w:val="样式 标题 1主标题H1章标题篇UCI Header 1标题 1 1编号标题1b1章标题 1章节标题-*+..."/>
    <w:basedOn w:val="2"/>
    <w:qFormat/>
    <w:uiPriority w:val="0"/>
    <w:pPr>
      <w:keepLines/>
      <w:autoSpaceDE/>
      <w:autoSpaceDN/>
      <w:adjustRightInd/>
    </w:pPr>
    <w:rPr>
      <w:rFonts w:ascii="Times New Roman" w:eastAsia="宋体" w:cs="宋体"/>
      <w:bCs w:val="0"/>
      <w:color w:val="auto"/>
      <w:kern w:val="28"/>
      <w:sz w:val="28"/>
    </w:rPr>
  </w:style>
  <w:style w:type="paragraph" w:customStyle="1" w:styleId="434">
    <w:name w:val="表头"/>
    <w:basedOn w:val="1"/>
    <w:link w:val="441"/>
    <w:qFormat/>
    <w:uiPriority w:val="0"/>
    <w:pPr>
      <w:topLinePunct/>
      <w:spacing w:before="160" w:after="60"/>
      <w:jc w:val="center"/>
    </w:pPr>
    <w:rPr>
      <w:rFonts w:hAnsi="Monotype Corsiva" w:eastAsia="黑体"/>
      <w:szCs w:val="20"/>
    </w:rPr>
  </w:style>
  <w:style w:type="paragraph" w:customStyle="1" w:styleId="435">
    <w:name w:val="style78"/>
    <w:basedOn w:val="1"/>
    <w:qFormat/>
    <w:uiPriority w:val="0"/>
    <w:pPr>
      <w:widowControl/>
      <w:spacing w:before="100" w:beforeAutospacing="1" w:after="100" w:afterAutospacing="1"/>
      <w:jc w:val="left"/>
    </w:pPr>
    <w:rPr>
      <w:rFonts w:ascii="宋体" w:hAnsi="宋体" w:cs="宋体"/>
      <w:kern w:val="0"/>
      <w:sz w:val="24"/>
    </w:rPr>
  </w:style>
  <w:style w:type="paragraph" w:customStyle="1" w:styleId="436">
    <w:name w:val="style80"/>
    <w:basedOn w:val="1"/>
    <w:qFormat/>
    <w:uiPriority w:val="0"/>
    <w:pPr>
      <w:widowControl/>
      <w:spacing w:before="100" w:beforeAutospacing="1" w:after="100" w:afterAutospacing="1"/>
      <w:jc w:val="left"/>
    </w:pPr>
    <w:rPr>
      <w:rFonts w:ascii="宋体" w:hAnsi="宋体" w:cs="宋体"/>
      <w:kern w:val="0"/>
      <w:sz w:val="24"/>
    </w:rPr>
  </w:style>
  <w:style w:type="character" w:customStyle="1" w:styleId="437">
    <w:name w:val="标题 1 Char Char"/>
    <w:qFormat/>
    <w:uiPriority w:val="0"/>
    <w:rPr>
      <w:b/>
      <w:bCs/>
      <w:kern w:val="44"/>
      <w:sz w:val="44"/>
      <w:szCs w:val="44"/>
    </w:rPr>
  </w:style>
  <w:style w:type="character" w:customStyle="1" w:styleId="438">
    <w:name w:val="正文文本 Char1"/>
    <w:semiHidden/>
    <w:qFormat/>
    <w:uiPriority w:val="99"/>
    <w:rPr>
      <w:kern w:val="2"/>
      <w:sz w:val="21"/>
      <w:szCs w:val="24"/>
    </w:rPr>
  </w:style>
  <w:style w:type="character" w:customStyle="1" w:styleId="439">
    <w:name w:val="正文首行缩进 Char1"/>
    <w:semiHidden/>
    <w:qFormat/>
    <w:uiPriority w:val="99"/>
  </w:style>
  <w:style w:type="character" w:customStyle="1" w:styleId="440">
    <w:name w:val="正文文本 3 Char1"/>
    <w:semiHidden/>
    <w:qFormat/>
    <w:uiPriority w:val="99"/>
    <w:rPr>
      <w:kern w:val="2"/>
      <w:sz w:val="16"/>
      <w:szCs w:val="16"/>
    </w:rPr>
  </w:style>
  <w:style w:type="character" w:customStyle="1" w:styleId="441">
    <w:name w:val="表头 Char Char"/>
    <w:link w:val="434"/>
    <w:qFormat/>
    <w:uiPriority w:val="0"/>
    <w:rPr>
      <w:rFonts w:hAnsi="Monotype Corsiva" w:eastAsia="黑体"/>
      <w:kern w:val="2"/>
      <w:sz w:val="21"/>
    </w:rPr>
  </w:style>
  <w:style w:type="character" w:customStyle="1" w:styleId="442">
    <w:name w:val="不明显强调1"/>
    <w:qFormat/>
    <w:uiPriority w:val="0"/>
    <w:rPr>
      <w:i/>
      <w:iCs/>
      <w:color w:val="808080"/>
    </w:rPr>
  </w:style>
  <w:style w:type="character" w:customStyle="1" w:styleId="443">
    <w:name w:val="文档结构图 Char1"/>
    <w:semiHidden/>
    <w:qFormat/>
    <w:uiPriority w:val="99"/>
    <w:rPr>
      <w:rFonts w:ascii="宋体"/>
      <w:kern w:val="2"/>
      <w:sz w:val="18"/>
      <w:szCs w:val="18"/>
    </w:rPr>
  </w:style>
  <w:style w:type="character" w:customStyle="1" w:styleId="444">
    <w:name w:val="4正文 Char"/>
    <w:link w:val="445"/>
    <w:qFormat/>
    <w:uiPriority w:val="0"/>
    <w:rPr>
      <w:rFonts w:ascii="宋体" w:hAnsi="宋体"/>
      <w:sz w:val="24"/>
      <w:szCs w:val="24"/>
    </w:rPr>
  </w:style>
  <w:style w:type="paragraph" w:customStyle="1" w:styleId="445">
    <w:name w:val="4正文"/>
    <w:basedOn w:val="1"/>
    <w:link w:val="444"/>
    <w:qFormat/>
    <w:uiPriority w:val="0"/>
    <w:pPr>
      <w:adjustRightInd w:val="0"/>
      <w:snapToGrid w:val="0"/>
      <w:ind w:firstLine="200" w:firstLineChars="200"/>
    </w:pPr>
    <w:rPr>
      <w:rFonts w:ascii="宋体" w:hAnsi="宋体"/>
      <w:kern w:val="0"/>
      <w:sz w:val="24"/>
    </w:rPr>
  </w:style>
  <w:style w:type="character" w:customStyle="1" w:styleId="446">
    <w:name w:val="1.1 Char"/>
    <w:link w:val="447"/>
    <w:qFormat/>
    <w:uiPriority w:val="0"/>
    <w:rPr>
      <w:rFonts w:ascii="宋体" w:hAnsi="宋体"/>
      <w:b/>
      <w:sz w:val="24"/>
      <w:szCs w:val="24"/>
    </w:rPr>
  </w:style>
  <w:style w:type="paragraph" w:customStyle="1" w:styleId="447">
    <w:name w:val="1.1"/>
    <w:basedOn w:val="1"/>
    <w:link w:val="446"/>
    <w:qFormat/>
    <w:uiPriority w:val="0"/>
    <w:pPr>
      <w:adjustRightInd w:val="0"/>
      <w:snapToGrid w:val="0"/>
      <w:spacing w:before="60" w:after="60"/>
    </w:pPr>
    <w:rPr>
      <w:rFonts w:ascii="宋体" w:hAnsi="宋体"/>
      <w:b/>
      <w:kern w:val="0"/>
      <w:sz w:val="24"/>
    </w:rPr>
  </w:style>
  <w:style w:type="paragraph" w:customStyle="1" w:styleId="448">
    <w:name w:val="样式 样式 标题 2 + 段前: 0.5 行 段后: 0.5 行 + 首行缩进:  2 字符 段前: 0.5 行 段后: 0..."/>
    <w:basedOn w:val="1"/>
    <w:qFormat/>
    <w:uiPriority w:val="0"/>
    <w:pPr>
      <w:keepNext/>
      <w:keepLines/>
      <w:adjustRightInd w:val="0"/>
      <w:spacing w:beforeLines="50" w:afterLines="50"/>
      <w:jc w:val="left"/>
      <w:textAlignment w:val="baseline"/>
      <w:outlineLvl w:val="1"/>
    </w:pPr>
    <w:rPr>
      <w:rFonts w:eastAsia="黑体" w:cs="宋体"/>
      <w:kern w:val="0"/>
      <w:szCs w:val="20"/>
    </w:rPr>
  </w:style>
  <w:style w:type="paragraph" w:customStyle="1" w:styleId="449">
    <w:name w:val="TOC 标题1"/>
    <w:basedOn w:val="2"/>
    <w:next w:val="1"/>
    <w:qFormat/>
    <w:uiPriority w:val="39"/>
    <w:pPr>
      <w:keepLines/>
      <w:widowControl/>
      <w:autoSpaceDE/>
      <w:autoSpaceDN/>
      <w:adjustRightInd/>
      <w:spacing w:before="480" w:line="276" w:lineRule="auto"/>
      <w:outlineLvl w:val="9"/>
    </w:pPr>
    <w:rPr>
      <w:rFonts w:ascii="Cambria" w:hAnsi="Cambria" w:eastAsia="宋体"/>
      <w:color w:val="365F91"/>
      <w:sz w:val="28"/>
      <w:szCs w:val="28"/>
    </w:rPr>
  </w:style>
  <w:style w:type="paragraph" w:customStyle="1" w:styleId="450">
    <w:name w:val="p0"/>
    <w:basedOn w:val="1"/>
    <w:qFormat/>
    <w:uiPriority w:val="0"/>
    <w:pPr>
      <w:widowControl/>
    </w:pPr>
    <w:rPr>
      <w:rFonts w:ascii="Calibri" w:hAnsi="Calibri" w:cs="Calibri"/>
      <w:kern w:val="0"/>
      <w:szCs w:val="21"/>
    </w:rPr>
  </w:style>
  <w:style w:type="paragraph" w:customStyle="1" w:styleId="451">
    <w:name w:val="bg形成单位和时间"/>
    <w:basedOn w:val="1"/>
    <w:next w:val="1"/>
    <w:link w:val="452"/>
    <w:qFormat/>
    <w:uiPriority w:val="0"/>
    <w:pPr>
      <w:jc w:val="center"/>
    </w:pPr>
    <w:rPr>
      <w:rFonts w:ascii="Arial" w:hAnsi="Arial" w:eastAsia="黑体"/>
      <w:sz w:val="30"/>
      <w:szCs w:val="20"/>
    </w:rPr>
  </w:style>
  <w:style w:type="character" w:customStyle="1" w:styleId="452">
    <w:name w:val="bg形成单位和时间 Char"/>
    <w:link w:val="451"/>
    <w:qFormat/>
    <w:uiPriority w:val="0"/>
    <w:rPr>
      <w:rFonts w:ascii="Arial" w:hAnsi="Arial" w:eastAsia="黑体"/>
      <w:kern w:val="2"/>
      <w:sz w:val="30"/>
    </w:rPr>
  </w:style>
  <w:style w:type="character" w:customStyle="1" w:styleId="453">
    <w:name w:val="正文文本缩进 3 Char1"/>
    <w:semiHidden/>
    <w:qFormat/>
    <w:uiPriority w:val="99"/>
    <w:rPr>
      <w:kern w:val="2"/>
      <w:sz w:val="16"/>
      <w:szCs w:val="16"/>
    </w:rPr>
  </w:style>
  <w:style w:type="character" w:customStyle="1" w:styleId="454">
    <w:name w:val="纯文本 Char2"/>
    <w:semiHidden/>
    <w:qFormat/>
    <w:uiPriority w:val="99"/>
    <w:rPr>
      <w:rFonts w:ascii="宋体" w:hAnsi="Courier New" w:cs="Courier New"/>
      <w:kern w:val="2"/>
      <w:sz w:val="21"/>
      <w:szCs w:val="21"/>
    </w:rPr>
  </w:style>
  <w:style w:type="paragraph" w:customStyle="1" w:styleId="455">
    <w:name w:val="正文缩进1"/>
    <w:basedOn w:val="1"/>
    <w:qFormat/>
    <w:uiPriority w:val="0"/>
    <w:pPr>
      <w:tabs>
        <w:tab w:val="left" w:pos="7980"/>
      </w:tabs>
      <w:spacing w:line="360" w:lineRule="exact"/>
      <w:ind w:firstLine="420"/>
    </w:pPr>
    <w:rPr>
      <w:rFonts w:hint="eastAsia"/>
      <w:lang w:eastAsia="en-US"/>
    </w:rPr>
  </w:style>
  <w:style w:type="paragraph" w:customStyle="1" w:styleId="456">
    <w:name w:val="列出段落2"/>
    <w:basedOn w:val="1"/>
    <w:qFormat/>
    <w:uiPriority w:val="0"/>
    <w:pPr>
      <w:widowControl/>
      <w:ind w:firstLine="420" w:firstLineChars="200"/>
      <w:jc w:val="left"/>
    </w:pPr>
    <w:rPr>
      <w:rFonts w:ascii="宋体" w:hAnsi="宋体" w:cs="宋体"/>
      <w:kern w:val="0"/>
      <w:sz w:val="24"/>
    </w:rPr>
  </w:style>
  <w:style w:type="character" w:customStyle="1" w:styleId="457">
    <w:name w:val="bg形成单位和时间 Char Char"/>
    <w:qFormat/>
    <w:uiPriority w:val="0"/>
    <w:rPr>
      <w:rFonts w:ascii="Arial" w:hAnsi="Arial" w:eastAsia="黑体"/>
      <w:kern w:val="2"/>
      <w:sz w:val="30"/>
    </w:rPr>
  </w:style>
  <w:style w:type="character" w:customStyle="1" w:styleId="458">
    <w:name w:val="1.1 Char Char"/>
    <w:qFormat/>
    <w:uiPriority w:val="0"/>
    <w:rPr>
      <w:rFonts w:ascii="宋体" w:hAnsi="宋体"/>
      <w:b/>
      <w:kern w:val="2"/>
      <w:sz w:val="24"/>
      <w:szCs w:val="24"/>
    </w:rPr>
  </w:style>
  <w:style w:type="character" w:customStyle="1" w:styleId="459">
    <w:name w:val="4正文 Char Char"/>
    <w:qFormat/>
    <w:uiPriority w:val="0"/>
    <w:rPr>
      <w:rFonts w:ascii="宋体" w:hAnsi="宋体"/>
      <w:kern w:val="2"/>
      <w:sz w:val="24"/>
      <w:szCs w:val="24"/>
    </w:rPr>
  </w:style>
  <w:style w:type="paragraph" w:customStyle="1" w:styleId="460">
    <w:name w:val="款"/>
    <w:basedOn w:val="5"/>
    <w:qFormat/>
    <w:uiPriority w:val="0"/>
    <w:pPr>
      <w:spacing w:before="0" w:after="0" w:line="360" w:lineRule="auto"/>
    </w:pPr>
    <w:rPr>
      <w:rFonts w:ascii="Times New Roman" w:hAnsi="Times New Roman" w:eastAsia="宋体"/>
      <w:b w:val="0"/>
      <w:kern w:val="44"/>
      <w:sz w:val="24"/>
      <w:szCs w:val="44"/>
    </w:rPr>
  </w:style>
  <w:style w:type="paragraph" w:customStyle="1" w:styleId="461">
    <w:name w:val="样式 正文缩进 + 首行缩进:  2 字符 段前: 1 行 段后: 1 行"/>
    <w:basedOn w:val="17"/>
    <w:qFormat/>
    <w:uiPriority w:val="0"/>
    <w:pPr>
      <w:tabs>
        <w:tab w:val="clear" w:pos="750"/>
      </w:tabs>
      <w:spacing w:beforeLines="100" w:afterLines="100" w:line="360" w:lineRule="auto"/>
      <w:ind w:firstLine="0" w:firstLineChars="0"/>
    </w:pPr>
    <w:rPr>
      <w:rFonts w:ascii="Times New Roman" w:cs="宋体"/>
    </w:rPr>
  </w:style>
  <w:style w:type="paragraph" w:customStyle="1" w:styleId="46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63">
    <w:name w:val="页脚 字符"/>
    <w:qFormat/>
    <w:uiPriority w:val="0"/>
    <w:rPr>
      <w:sz w:val="18"/>
      <w:szCs w:val="18"/>
    </w:rPr>
  </w:style>
  <w:style w:type="character" w:customStyle="1" w:styleId="464">
    <w:name w:val="页脚 字符1"/>
    <w:semiHidden/>
    <w:qFormat/>
    <w:uiPriority w:val="99"/>
    <w:rPr>
      <w:rFonts w:ascii="Times New Roman" w:hAnsi="Times New Roman" w:eastAsia="宋体" w:cs="Times New Roman"/>
      <w:sz w:val="18"/>
      <w:szCs w:val="18"/>
    </w:rPr>
  </w:style>
  <w:style w:type="character" w:customStyle="1" w:styleId="465">
    <w:name w:val="页眉 字符"/>
    <w:qFormat/>
    <w:uiPriority w:val="99"/>
    <w:rPr>
      <w:sz w:val="18"/>
      <w:szCs w:val="18"/>
    </w:rPr>
  </w:style>
  <w:style w:type="character" w:customStyle="1" w:styleId="466">
    <w:name w:val="页眉 字符1"/>
    <w:semiHidden/>
    <w:qFormat/>
    <w:uiPriority w:val="99"/>
    <w:rPr>
      <w:rFonts w:ascii="Times New Roman" w:hAnsi="Times New Roman" w:eastAsia="宋体" w:cs="Times New Roman"/>
      <w:sz w:val="18"/>
      <w:szCs w:val="18"/>
    </w:rPr>
  </w:style>
  <w:style w:type="paragraph" w:customStyle="1" w:styleId="46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468">
    <w:name w:val="普通(网站) Char"/>
    <w:link w:val="62"/>
    <w:qFormat/>
    <w:uiPriority w:val="0"/>
    <w:rPr>
      <w:sz w:val="24"/>
      <w:szCs w:val="24"/>
    </w:rPr>
  </w:style>
  <w:style w:type="character" w:customStyle="1" w:styleId="469">
    <w:name w:val="font01"/>
    <w:basedOn w:val="69"/>
    <w:qFormat/>
    <w:uiPriority w:val="0"/>
    <w:rPr>
      <w:rFonts w:hint="eastAsia" w:ascii="宋体" w:hAnsi="宋体" w:eastAsia="宋体" w:cs="宋体"/>
      <w:color w:val="000000"/>
      <w:sz w:val="22"/>
      <w:szCs w:val="22"/>
      <w:u w:val="none"/>
    </w:rPr>
  </w:style>
  <w:style w:type="character" w:customStyle="1" w:styleId="470">
    <w:name w:val="font31"/>
    <w:basedOn w:val="69"/>
    <w:qFormat/>
    <w:uiPriority w:val="0"/>
    <w:rPr>
      <w:rFonts w:hint="default" w:ascii="Times New Roman" w:hAnsi="Times New Roman" w:cs="Times New Roman"/>
      <w:color w:val="000000"/>
      <w:sz w:val="22"/>
      <w:szCs w:val="22"/>
      <w:u w:val="none"/>
    </w:rPr>
  </w:style>
  <w:style w:type="paragraph" w:customStyle="1" w:styleId="471">
    <w:name w:val="修订2"/>
    <w:hidden/>
    <w:semiHidden/>
    <w:qFormat/>
    <w:uiPriority w:val="99"/>
    <w:rPr>
      <w:rFonts w:ascii="Times New Roman" w:hAnsi="Times New Roman" w:eastAsia="宋体" w:cs="Times New Roman"/>
      <w:kern w:val="2"/>
      <w:sz w:val="21"/>
      <w:szCs w:val="24"/>
      <w:lang w:val="en-US" w:eastAsia="zh-CN" w:bidi="ar-SA"/>
    </w:rPr>
  </w:style>
  <w:style w:type="character" w:styleId="472">
    <w:name w:val="Placeholder Text"/>
    <w:basedOn w:val="69"/>
    <w:semiHidden/>
    <w:qFormat/>
    <w:uiPriority w:val="99"/>
    <w:rPr>
      <w:color w:val="808080"/>
    </w:rPr>
  </w:style>
  <w:style w:type="paragraph" w:customStyle="1" w:styleId="473">
    <w:name w:val="TOC 标题2"/>
    <w:basedOn w:val="2"/>
    <w:next w:val="1"/>
    <w:unhideWhenUsed/>
    <w:qFormat/>
    <w:uiPriority w:val="39"/>
    <w:pPr>
      <w:keepLines/>
      <w:widowControl/>
      <w:autoSpaceDE/>
      <w:autoSpaceDN/>
      <w:adjustRightInd/>
      <w:spacing w:before="24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474">
    <w:name w:val="zhfz"/>
    <w:basedOn w:val="1"/>
    <w:qFormat/>
    <w:uiPriority w:val="0"/>
    <w:pPr>
      <w:spacing w:line="360" w:lineRule="auto"/>
      <w:ind w:left="31" w:leftChars="15" w:firstLine="480" w:firstLineChars="200"/>
    </w:pPr>
    <w:rPr>
      <w:rFonts w:ascii="宋体" w:hAnsi="宋体"/>
      <w:sz w:val="24"/>
    </w:rPr>
  </w:style>
  <w:style w:type="paragraph" w:customStyle="1" w:styleId="475">
    <w:name w:val="Normal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76">
    <w:name w:val="样式8"/>
    <w:basedOn w:val="477"/>
    <w:qFormat/>
    <w:uiPriority w:val="0"/>
    <w:pPr>
      <w:widowControl w:val="0"/>
      <w:snapToGrid w:val="0"/>
      <w:jc w:val="both"/>
    </w:pPr>
  </w:style>
  <w:style w:type="paragraph" w:customStyle="1" w:styleId="477">
    <w:name w:val="正文段落"/>
    <w:basedOn w:val="1"/>
    <w:qFormat/>
    <w:uiPriority w:val="0"/>
    <w:pPr>
      <w:widowControl/>
      <w:adjustRightInd w:val="0"/>
      <w:spacing w:line="360" w:lineRule="auto"/>
      <w:ind w:firstLine="560" w:firstLineChars="200"/>
      <w:jc w:val="left"/>
    </w:pPr>
    <w:rPr>
      <w:rFonts w:hAnsi="宋体" w:cs="仿宋_GB2312"/>
      <w:kern w:val="2"/>
      <w:sz w:val="28"/>
      <w:szCs w:val="28"/>
    </w:rPr>
  </w:style>
  <w:style w:type="paragraph" w:customStyle="1" w:styleId="478">
    <w:name w:val="Table Paragraph"/>
    <w:basedOn w:val="1"/>
    <w:qFormat/>
    <w:uiPriority w:val="1"/>
    <w:pPr>
      <w:snapToGrid/>
      <w:spacing w:line="240" w:lineRule="auto"/>
      <w:ind w:firstLine="0" w:firstLineChars="0"/>
    </w:pPr>
    <w:rPr>
      <w:rFonts w:ascii="宋体" w:hAnsi="宋体" w:cs="宋体"/>
      <w:sz w:val="22"/>
    </w:rPr>
  </w:style>
  <w:style w:type="paragraph" w:styleId="479">
    <w:name w:val="No Spacing"/>
    <w:qFormat/>
    <w:uiPriority w:val="0"/>
    <w:rPr>
      <w:rFonts w:ascii="Calibri" w:hAnsi="Calibri" w:eastAsia="宋体" w:cs="Times New Roman"/>
      <w:sz w:val="22"/>
      <w:szCs w:val="22"/>
      <w:lang w:val="en-US" w:eastAsia="en-US" w:bidi="en-US"/>
    </w:rPr>
  </w:style>
  <w:style w:type="paragraph" w:customStyle="1" w:styleId="480">
    <w:name w:val="样式 标题 2 + Times New Roman 四号 非加粗 段前: 5 磅 段后: 0 磅 行距: 固定值 20..."/>
    <w:basedOn w:val="3"/>
    <w:qFormat/>
    <w:uiPriority w:val="0"/>
    <w:pPr>
      <w:keepNext/>
      <w:keepLines/>
      <w:spacing w:before="100" w:line="400" w:lineRule="exact"/>
    </w:pPr>
    <w:rPr>
      <w:rFonts w:ascii="Times New Roman" w:hAnsi="Times New Roman" w:cs="宋体"/>
    </w:rPr>
  </w:style>
  <w:style w:type="paragraph" w:customStyle="1" w:styleId="481">
    <w:name w:val="条标题3"/>
    <w:basedOn w:val="3"/>
    <w:qFormat/>
    <w:uiPriority w:val="0"/>
    <w:pPr>
      <w:keepNext/>
      <w:keepLines/>
      <w:snapToGrid w:val="0"/>
      <w:spacing w:before="25" w:beforeLines="25" w:after="25" w:afterLines="25"/>
      <w:jc w:val="left"/>
      <w:outlineLvl w:val="2"/>
    </w:pPr>
    <w:rPr>
      <w:rFonts w:ascii="Arial" w:hAnsi="Arial" w:cs="Arial"/>
      <w:szCs w:val="24"/>
    </w:rPr>
  </w:style>
  <w:style w:type="paragraph" w:customStyle="1" w:styleId="482">
    <w:name w:val="款标题4"/>
    <w:basedOn w:val="4"/>
    <w:qFormat/>
    <w:uiPriority w:val="0"/>
    <w:pPr>
      <w:keepNext/>
      <w:keepLines/>
      <w:snapToGrid w:val="0"/>
      <w:spacing w:before="0"/>
      <w:jc w:val="left"/>
      <w:outlineLvl w:val="3"/>
    </w:pPr>
    <w:rPr>
      <w:rFonts w:ascii="Arial" w:hAnsi="Arial" w:cs="宋体"/>
      <w:sz w:val="24"/>
      <w:szCs w:val="24"/>
    </w:rPr>
  </w:style>
  <w:style w:type="paragraph" w:customStyle="1" w:styleId="483">
    <w:name w:val="章节标题2"/>
    <w:basedOn w:val="2"/>
    <w:qFormat/>
    <w:uiPriority w:val="0"/>
    <w:pPr>
      <w:keepNext/>
      <w:keepLines/>
      <w:snapToGrid w:val="0"/>
      <w:spacing w:beforeLines="25" w:afterLines="25"/>
      <w:outlineLvl w:val="1"/>
    </w:pPr>
    <w:rPr>
      <w:rFonts w:ascii="Arial" w:hAnsi="Arial" w:cs="Arial"/>
      <w:sz w:val="30"/>
      <w:szCs w:val="21"/>
    </w:rPr>
  </w:style>
  <w:style w:type="paragraph" w:customStyle="1" w:styleId="484">
    <w:name w:val="正  文"/>
    <w:basedOn w:val="1"/>
    <w:qFormat/>
    <w:uiPriority w:val="0"/>
    <w:pPr>
      <w:spacing w:line="240" w:lineRule="auto"/>
      <w:ind w:firstLine="200" w:firstLineChars="200"/>
      <w:textAlignment w:val="baseline"/>
    </w:pPr>
    <w:rPr>
      <w:rFonts w:ascii="Calibri" w:hAnsi="Calibri" w:eastAsia="宋体" w:cs="Times New Roman"/>
      <w:sz w:val="24"/>
      <w:szCs w:val="28"/>
    </w:rPr>
  </w:style>
  <w:style w:type="paragraph" w:customStyle="1" w:styleId="485">
    <w:name w:val="正文格式"/>
    <w:basedOn w:val="486"/>
    <w:qFormat/>
    <w:uiPriority w:val="0"/>
    <w:pPr>
      <w:topLinePunct/>
      <w:spacing w:line="240" w:lineRule="auto"/>
      <w:ind w:firstLine="420" w:firstLineChars="200"/>
    </w:pPr>
    <w:rPr>
      <w:rFonts w:ascii="宋体" w:hAnsi="宋体"/>
      <w:bCs/>
      <w:szCs w:val="21"/>
    </w:rPr>
  </w:style>
  <w:style w:type="paragraph" w:customStyle="1" w:styleId="486">
    <w:name w:val="样式 (西文) Times New Roman (中文) 宋体 首行缩进:  2 字符"/>
    <w:basedOn w:val="1"/>
    <w:qFormat/>
    <w:uiPriority w:val="0"/>
    <w:pPr>
      <w:ind w:firstLine="560"/>
    </w:pPr>
    <w:rPr>
      <w:rFonts w:ascii="Times New Roman" w:hAnsi="Times New Roman" w:cs="宋体"/>
      <w:szCs w:val="21"/>
    </w:rPr>
  </w:style>
  <w:style w:type="paragraph" w:customStyle="1" w:styleId="487">
    <w:name w:val="标书6-正文"/>
    <w:basedOn w:val="488"/>
    <w:qFormat/>
    <w:uiPriority w:val="0"/>
    <w:pPr>
      <w:tabs>
        <w:tab w:val="left" w:pos="420"/>
      </w:tabs>
    </w:pPr>
    <w:rPr>
      <w:rFonts w:ascii="Calibri" w:hAnsi="Calibri" w:eastAsia="宋体" w:cs="Times New Roman"/>
      <w:kern w:val="2"/>
      <w:szCs w:val="22"/>
    </w:rPr>
  </w:style>
  <w:style w:type="paragraph" w:customStyle="1" w:styleId="488">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 w:type="paragraph" w:customStyle="1" w:styleId="489">
    <w:name w:val="条标题"/>
    <w:basedOn w:val="1"/>
    <w:qFormat/>
    <w:uiPriority w:val="0"/>
    <w:pPr>
      <w:adjustRightInd w:val="0"/>
      <w:snapToGrid w:val="0"/>
      <w:spacing w:beforeLines="25" w:afterLines="25"/>
      <w:jc w:val="left"/>
      <w:outlineLvl w:val="2"/>
    </w:pPr>
    <w:rPr>
      <w:rFonts w:ascii="Arial" w:hAnsi="Arial" w:eastAsia="黑体" w:cs="Arial"/>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emf"/><Relationship Id="rId21" Type="http://schemas.openxmlformats.org/officeDocument/2006/relationships/oleObject" Target="embeddings/oleObject2.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110</Pages>
  <Words>54461</Words>
  <Characters>58034</Characters>
  <Lines>137</Lines>
  <Paragraphs>38</Paragraphs>
  <TotalTime>13</TotalTime>
  <ScaleCrop>false</ScaleCrop>
  <LinksUpToDate>false</LinksUpToDate>
  <CharactersWithSpaces>58945</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2023-07-31T18:10:00Z</dcterms:created>
  <dcterms:modified xsi:type="dcterms:W3CDTF">2025-01-03T08:00:04Z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0A2D20AFEE2F436DA7AD7009FF7CE017_13</vt:lpwstr>
  </property>
  <property fmtid="{D5CDD505-2E9C-101B-9397-08002B2CF9AE}" pid="4" name="KSOTemplateDocerSaveRecord">
    <vt:lpwstr>eyJoZGlkIjoiMzA2MzBmNzQ0ZDU1N2RmZGVjNTIwZGJjZmRiMWIzN2QiLCJ1c2VySWQiOiI5NTQ2MzQ1MzUifQ==</vt:lpwstr>
  </property>
</Properties>
</file>