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outlineLvl w:val="0"/>
        <w:rPr>
          <w:rFonts w:hint="default" w:ascii="Times New Roman" w:hAnsi="Times New Roman" w:cs="Times New Roman" w:eastAsiaTheme="minorEastAsia"/>
          <w:b/>
          <w:bCs/>
          <w:kern w:val="0"/>
          <w:sz w:val="32"/>
          <w:szCs w:val="20"/>
          <w:highlight w:val="none"/>
        </w:rPr>
      </w:pPr>
      <w:bookmarkStart w:id="0" w:name="_Toc490599203"/>
      <w:bookmarkStart w:id="1" w:name="_Toc535415587"/>
      <w:bookmarkStart w:id="235" w:name="_GoBack"/>
      <w:bookmarkEnd w:id="235"/>
      <w:r>
        <w:rPr>
          <w:rFonts w:hint="default" w:ascii="Times New Roman" w:hAnsi="Times New Roman" w:cs="Times New Roman" w:eastAsiaTheme="minorEastAsia"/>
          <w:b/>
          <w:bCs/>
          <w:kern w:val="0"/>
          <w:sz w:val="32"/>
          <w:szCs w:val="20"/>
          <w:highlight w:val="none"/>
        </w:rPr>
        <w:t>第</w:t>
      </w:r>
      <w:r>
        <w:rPr>
          <w:rFonts w:hint="eastAsia" w:cs="Times New Roman" w:eastAsiaTheme="minorEastAsia"/>
          <w:b/>
          <w:bCs/>
          <w:kern w:val="0"/>
          <w:sz w:val="32"/>
          <w:szCs w:val="20"/>
          <w:highlight w:val="none"/>
          <w:lang w:val="en-US" w:eastAsia="zh-CN"/>
        </w:rPr>
        <w:t>一</w:t>
      </w:r>
      <w:r>
        <w:rPr>
          <w:rFonts w:hint="default" w:ascii="Times New Roman" w:hAnsi="Times New Roman" w:cs="Times New Roman" w:eastAsiaTheme="minorEastAsia"/>
          <w:b/>
          <w:bCs/>
          <w:kern w:val="0"/>
          <w:sz w:val="32"/>
          <w:szCs w:val="20"/>
          <w:highlight w:val="none"/>
        </w:rPr>
        <w:t>章 谈判申请人须知</w:t>
      </w:r>
      <w:bookmarkEnd w:id="0"/>
      <w:bookmarkEnd w:id="1"/>
    </w:p>
    <w:p>
      <w:pPr>
        <w:adjustRightInd w:val="0"/>
        <w:snapToGrid w:val="0"/>
        <w:spacing w:line="360" w:lineRule="auto"/>
        <w:jc w:val="center"/>
        <w:outlineLvl w:val="1"/>
        <w:rPr>
          <w:rFonts w:hint="default" w:ascii="Times New Roman" w:hAnsi="Times New Roman" w:cs="Times New Roman" w:eastAsiaTheme="minorEastAsia"/>
          <w:b/>
          <w:bCs/>
          <w:sz w:val="24"/>
          <w:szCs w:val="28"/>
          <w:highlight w:val="none"/>
        </w:rPr>
      </w:pPr>
      <w:bookmarkStart w:id="2" w:name="_Toc86124039"/>
      <w:bookmarkStart w:id="3" w:name="_Toc535415588"/>
      <w:bookmarkStart w:id="4" w:name="_Toc490599204"/>
      <w:r>
        <w:rPr>
          <w:rFonts w:hint="default" w:ascii="Times New Roman" w:hAnsi="Times New Roman" w:cs="Times New Roman" w:eastAsiaTheme="minorEastAsia"/>
          <w:b/>
          <w:bCs/>
          <w:sz w:val="24"/>
          <w:szCs w:val="28"/>
          <w:highlight w:val="none"/>
        </w:rPr>
        <w:t>一、谈判申请人须知前附表</w:t>
      </w:r>
      <w:bookmarkEnd w:id="2"/>
      <w:bookmarkEnd w:id="3"/>
      <w:bookmarkEnd w:id="4"/>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668"/>
        <w:gridCol w:w="72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b/>
                <w:kern w:val="0"/>
                <w:szCs w:val="21"/>
                <w:highlight w:val="none"/>
              </w:rPr>
            </w:pPr>
            <w:r>
              <w:rPr>
                <w:rFonts w:hint="default" w:ascii="Times New Roman" w:hAnsi="Times New Roman" w:cs="Times New Roman" w:eastAsiaTheme="minorEastAsia"/>
                <w:b/>
                <w:kern w:val="0"/>
                <w:szCs w:val="21"/>
                <w:highlight w:val="none"/>
              </w:rPr>
              <w:t>条款号</w:t>
            </w:r>
          </w:p>
        </w:tc>
        <w:tc>
          <w:tcPr>
            <w:tcW w:w="2396" w:type="dxa"/>
            <w:gridSpan w:val="2"/>
            <w:vAlign w:val="center"/>
          </w:tcPr>
          <w:p>
            <w:pPr>
              <w:autoSpaceDE w:val="0"/>
              <w:autoSpaceDN w:val="0"/>
              <w:adjustRightInd w:val="0"/>
              <w:snapToGrid w:val="0"/>
              <w:jc w:val="center"/>
              <w:rPr>
                <w:rFonts w:hint="default" w:ascii="Times New Roman" w:hAnsi="Times New Roman" w:cs="Times New Roman" w:eastAsiaTheme="minorEastAsia"/>
                <w:b/>
                <w:kern w:val="0"/>
                <w:szCs w:val="21"/>
                <w:highlight w:val="none"/>
              </w:rPr>
            </w:pPr>
            <w:r>
              <w:rPr>
                <w:rFonts w:hint="default" w:ascii="Times New Roman" w:hAnsi="Times New Roman" w:cs="Times New Roman" w:eastAsiaTheme="minorEastAsia"/>
                <w:b/>
                <w:kern w:val="0"/>
                <w:szCs w:val="21"/>
                <w:highlight w:val="none"/>
              </w:rPr>
              <w:t>条款名称</w:t>
            </w:r>
          </w:p>
        </w:tc>
        <w:tc>
          <w:tcPr>
            <w:tcW w:w="5659" w:type="dxa"/>
            <w:vAlign w:val="center"/>
          </w:tcPr>
          <w:p>
            <w:pPr>
              <w:autoSpaceDE w:val="0"/>
              <w:autoSpaceDN w:val="0"/>
              <w:adjustRightInd w:val="0"/>
              <w:snapToGrid w:val="0"/>
              <w:jc w:val="center"/>
              <w:rPr>
                <w:rFonts w:hint="default" w:ascii="Times New Roman" w:hAnsi="Times New Roman" w:cs="Times New Roman" w:eastAsiaTheme="minorEastAsia"/>
                <w:b/>
                <w:kern w:val="0"/>
                <w:szCs w:val="21"/>
                <w:highlight w:val="none"/>
              </w:rPr>
            </w:pPr>
            <w:r>
              <w:rPr>
                <w:rFonts w:hint="default" w:ascii="Times New Roman" w:hAnsi="Times New Roman" w:cs="Times New Roman" w:eastAsiaTheme="minorEastAsia"/>
                <w:b/>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restart"/>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1.2</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u w:val="single"/>
              </w:rPr>
            </w:pPr>
            <w:r>
              <w:rPr>
                <w:rFonts w:hint="default" w:ascii="Times New Roman" w:hAnsi="Times New Roman" w:cs="Times New Roman" w:eastAsiaTheme="minorEastAsia"/>
                <w:bCs/>
                <w:kern w:val="0"/>
                <w:szCs w:val="21"/>
                <w:highlight w:val="none"/>
              </w:rPr>
              <w:t>招标人</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云南省能源投资集团有限公司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continue"/>
            <w:vAlign w:val="center"/>
          </w:tcPr>
          <w:p>
            <w:pPr>
              <w:adjustRightInd w:val="0"/>
              <w:snapToGrid w:val="0"/>
              <w:rPr>
                <w:rFonts w:hint="default" w:ascii="Times New Roman" w:hAnsi="Times New Roman" w:cs="Times New Roman" w:eastAsiaTheme="minorEastAsia"/>
                <w:szCs w:val="21"/>
                <w:highlight w:val="none"/>
              </w:rPr>
            </w:pP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项目名称</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lang w:eastAsia="zh-CN"/>
              </w:rPr>
            </w:pPr>
            <w:r>
              <w:rPr>
                <w:rFonts w:hint="default" w:ascii="Times New Roman" w:hAnsi="Times New Roman" w:cs="Times New Roman" w:eastAsiaTheme="minorEastAsia"/>
                <w:kern w:val="0"/>
                <w:szCs w:val="21"/>
                <w:highlight w:val="none"/>
                <w:lang w:val="en-US" w:eastAsia="zh-CN"/>
              </w:rPr>
              <w:t>云南省能源投资集团有限公司</w:t>
            </w:r>
            <w:r>
              <w:rPr>
                <w:rFonts w:hint="eastAsia" w:cs="Times New Roman" w:eastAsiaTheme="minorEastAsia"/>
                <w:kern w:val="0"/>
                <w:szCs w:val="21"/>
                <w:highlight w:val="none"/>
                <w:lang w:val="en-US" w:eastAsia="zh-CN"/>
              </w:rPr>
              <w:t>全面风险管理体系建设</w:t>
            </w:r>
            <w:r>
              <w:rPr>
                <w:rFonts w:hint="default" w:ascii="Times New Roman" w:hAnsi="Times New Roman" w:cs="Times New Roman" w:eastAsiaTheme="minorEastAsia"/>
                <w:kern w:val="0"/>
                <w:szCs w:val="21"/>
                <w:highlight w:val="none"/>
                <w:lang w:val="en-US" w:eastAsia="zh-CN"/>
              </w:rPr>
              <w:t>项目竞争性谈判文件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3.1</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招标内容</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具体要求详见第五章“项目需求及要求”。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3.2</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服务时间</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szCs w:val="21"/>
                <w:highlight w:val="none"/>
              </w:rPr>
              <w:t>见第一章“竞争性谈判公告”。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4</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谈判申请人资格要求</w:t>
            </w:r>
          </w:p>
        </w:tc>
        <w:tc>
          <w:tcPr>
            <w:tcW w:w="5659" w:type="dxa"/>
            <w:vAlign w:val="center"/>
          </w:tcPr>
          <w:p>
            <w:pPr>
              <w:adjustRightInd w:val="0"/>
              <w:snapToGri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见第一章“竞争性谈判公告”。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7.1</w:t>
            </w:r>
          </w:p>
        </w:tc>
        <w:tc>
          <w:tcPr>
            <w:tcW w:w="2396" w:type="dxa"/>
            <w:gridSpan w:val="2"/>
            <w:vAlign w:val="center"/>
          </w:tcPr>
          <w:p>
            <w:pPr>
              <w:autoSpaceDE w:val="0"/>
              <w:autoSpaceDN w:val="0"/>
              <w:adjustRightInd w:val="0"/>
              <w:snapToGrid w:val="0"/>
              <w:textAlignment w:val="bottom"/>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谈判文件澄清</w:t>
            </w:r>
            <w:r>
              <w:rPr>
                <w:rFonts w:hint="default" w:ascii="Times New Roman" w:hAnsi="Times New Roman" w:cs="Times New Roman" w:eastAsiaTheme="minorEastAsia"/>
                <w:szCs w:val="21"/>
                <w:highlight w:val="none"/>
              </w:rPr>
              <w:t>截止时间</w:t>
            </w:r>
          </w:p>
        </w:tc>
        <w:tc>
          <w:tcPr>
            <w:tcW w:w="5659" w:type="dxa"/>
            <w:vAlign w:val="center"/>
          </w:tcPr>
          <w:p>
            <w:pPr>
              <w:autoSpaceDE w:val="0"/>
              <w:autoSpaceDN w:val="0"/>
              <w:adjustRightInd w:val="0"/>
              <w:snapToGrid w:val="0"/>
              <w:textAlignment w:val="bottom"/>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szCs w:val="21"/>
                <w:highlight w:val="none"/>
              </w:rPr>
              <w:t>提交响应文件截止时间</w:t>
            </w:r>
            <w:r>
              <w:rPr>
                <w:rFonts w:hint="default" w:ascii="Times New Roman" w:hAnsi="Times New Roman" w:cs="Times New Roman" w:eastAsiaTheme="minorEastAsia"/>
                <w:szCs w:val="21"/>
                <w:highlight w:val="none"/>
                <w:u w:val="single"/>
              </w:rPr>
              <w:t>1</w:t>
            </w:r>
            <w:r>
              <w:rPr>
                <w:rFonts w:hint="default" w:ascii="Times New Roman" w:hAnsi="Times New Roman" w:cs="Times New Roman" w:eastAsiaTheme="minorEastAsia"/>
                <w:szCs w:val="21"/>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9.1（8）</w:t>
            </w:r>
          </w:p>
        </w:tc>
        <w:tc>
          <w:tcPr>
            <w:tcW w:w="1668"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构成响应文件的其他资料</w:t>
            </w:r>
          </w:p>
        </w:tc>
        <w:tc>
          <w:tcPr>
            <w:tcW w:w="728" w:type="dxa"/>
            <w:vAlign w:val="center"/>
          </w:tcPr>
          <w:p>
            <w:pPr>
              <w:autoSpaceDE w:val="0"/>
              <w:autoSpaceDN w:val="0"/>
              <w:adjustRightInd w:val="0"/>
              <w:snapToGrid w:val="0"/>
              <w:jc w:val="center"/>
              <w:textAlignment w:val="bottom"/>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其他材料</w:t>
            </w:r>
          </w:p>
        </w:tc>
        <w:tc>
          <w:tcPr>
            <w:tcW w:w="5659" w:type="dxa"/>
            <w:vAlign w:val="center"/>
          </w:tcPr>
          <w:p>
            <w:pPr>
              <w:autoSpaceDE w:val="0"/>
              <w:autoSpaceDN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rPr>
              <w:t>1、第五章“项目需求及要求”中要求提供的其他资料；</w:t>
            </w:r>
          </w:p>
          <w:p>
            <w:pPr>
              <w:autoSpaceDE w:val="0"/>
              <w:autoSpaceDN w:val="0"/>
              <w:adjustRightInd w:val="0"/>
              <w:snapToGrid w:val="0"/>
              <w:jc w:val="left"/>
              <w:rPr>
                <w:rFonts w:hint="eastAsia" w:ascii="Times New Roman" w:hAnsi="Times New Roman" w:eastAsia="宋体" w:cs="Times New Roman"/>
                <w:highlight w:val="none"/>
                <w:lang w:eastAsia="zh-CN"/>
              </w:rPr>
            </w:pPr>
            <w:r>
              <w:rPr>
                <w:rFonts w:hint="default" w:ascii="Times New Roman" w:hAnsi="Times New Roman" w:cs="Times New Roman"/>
                <w:highlight w:val="none"/>
              </w:rPr>
              <w:t>2、谈判文件中所涉及到的相关资料及证明文件或谈判申请人认为必须提供的其他相关资料</w:t>
            </w:r>
            <w:r>
              <w:rPr>
                <w:rFonts w:hint="eastAsia" w:cs="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11.1</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响应文件有效期</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递交响应文件的截止日期后</w:t>
            </w:r>
            <w:r>
              <w:rPr>
                <w:rFonts w:hint="default" w:ascii="Times New Roman" w:hAnsi="Times New Roman" w:cs="Times New Roman" w:eastAsiaTheme="minorEastAsia"/>
                <w:kern w:val="0"/>
                <w:szCs w:val="21"/>
                <w:highlight w:val="none"/>
                <w:u w:val="single"/>
              </w:rPr>
              <w:t>90</w:t>
            </w:r>
            <w:r>
              <w:rPr>
                <w:rFonts w:hint="default" w:ascii="Times New Roman" w:hAnsi="Times New Roman" w:cs="Times New Roman" w:eastAsiaTheme="minorEastAsia"/>
                <w:kern w:val="0"/>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12.4</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响应文件份数</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b/>
                <w:kern w:val="0"/>
                <w:szCs w:val="21"/>
                <w:highlight w:val="none"/>
              </w:rPr>
              <w:t>正本壹份，副本</w:t>
            </w:r>
            <w:r>
              <w:rPr>
                <w:rFonts w:hint="eastAsia" w:cs="Times New Roman" w:eastAsiaTheme="minorEastAsia"/>
                <w:b/>
                <w:kern w:val="0"/>
                <w:szCs w:val="21"/>
                <w:highlight w:val="none"/>
                <w:lang w:val="en-US" w:eastAsia="zh-CN"/>
              </w:rPr>
              <w:t>贰</w:t>
            </w:r>
            <w:r>
              <w:rPr>
                <w:rFonts w:hint="default" w:ascii="Times New Roman" w:hAnsi="Times New Roman" w:cs="Times New Roman" w:eastAsiaTheme="minorEastAsia"/>
                <w:b/>
                <w:kern w:val="0"/>
                <w:szCs w:val="21"/>
                <w:highlight w:val="none"/>
              </w:rPr>
              <w:t>份</w:t>
            </w:r>
            <w:r>
              <w:rPr>
                <w:rFonts w:hint="default" w:ascii="Times New Roman" w:hAnsi="Times New Roman" w:cs="Times New Roman" w:eastAsiaTheme="minorEastAsia"/>
                <w:kern w:val="0"/>
                <w:szCs w:val="21"/>
                <w:highlight w:val="none"/>
              </w:rPr>
              <w:t>；</w:t>
            </w:r>
          </w:p>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电子版响应文件：一份（光盘刻录或U盘）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13.2</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谈判保证金</w:t>
            </w:r>
          </w:p>
        </w:tc>
        <w:tc>
          <w:tcPr>
            <w:tcW w:w="5659" w:type="dxa"/>
            <w:vAlign w:val="center"/>
          </w:tcPr>
          <w:p>
            <w:pPr>
              <w:spacing w:line="400" w:lineRule="exact"/>
              <w:rPr>
                <w:rFonts w:hint="default" w:ascii="Times New Roman" w:hAnsi="Times New Roman" w:cs="Times New Roman" w:eastAsiaTheme="minorEastAsia"/>
                <w:szCs w:val="21"/>
                <w:highlight w:val="none"/>
                <w:lang w:eastAsia="zh-CN"/>
              </w:rPr>
            </w:pPr>
            <w:r>
              <w:rPr>
                <w:rFonts w:hint="default" w:ascii="Times New Roman" w:hAnsi="Times New Roman" w:eastAsia="楷体" w:cs="Times New Roman"/>
                <w:sz w:val="24"/>
                <w:szCs w:val="24"/>
                <w:highlight w:val="none"/>
              </w:rPr>
              <w:t>■</w:t>
            </w:r>
            <w:r>
              <w:rPr>
                <w:rFonts w:hint="default" w:ascii="Times New Roman" w:hAnsi="Times New Roman" w:cs="Times New Roman" w:eastAsiaTheme="minorEastAsia"/>
                <w:szCs w:val="21"/>
                <w:highlight w:val="none"/>
              </w:rPr>
              <w:t>无</w:t>
            </w:r>
            <w:r>
              <w:rPr>
                <w:rFonts w:hint="default" w:ascii="Times New Roman" w:hAnsi="Times New Roman" w:cs="Times New Roman" w:eastAsiaTheme="minorEastAsia"/>
                <w:szCs w:val="21"/>
                <w:highlight w:val="none"/>
                <w:lang w:eastAsia="zh-CN"/>
              </w:rPr>
              <w:t>；</w:t>
            </w:r>
          </w:p>
          <w:p>
            <w:pPr>
              <w:pStyle w:val="6"/>
              <w:rPr>
                <w:rFonts w:hint="default" w:ascii="Times New Roman" w:hAnsi="Times New Roman" w:cs="Times New Roman"/>
                <w:highlight w:val="none"/>
                <w:lang w:eastAsia="zh-CN"/>
              </w:rPr>
            </w:pPr>
            <w:r>
              <w:rPr>
                <w:rFonts w:hint="default" w:ascii="Times New Roman" w:hAnsi="Times New Roman" w:cs="Times New Roman"/>
                <w:highlight w:val="none"/>
                <w:lang w:eastAsia="zh-CN"/>
              </w:rPr>
              <w:t>□有，要求递交竞争性谈判保证金。</w:t>
            </w:r>
          </w:p>
          <w:p>
            <w:pPr>
              <w:adjustRightInd w:val="0"/>
              <w:snapToGrid w:val="0"/>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rPr>
              <w:t>缴纳方式：通过网银、电汇等形式打款至项目专项账户</w:t>
            </w:r>
            <w:r>
              <w:rPr>
                <w:rFonts w:hint="default" w:ascii="Times New Roman" w:hAnsi="Times New Roman" w:cs="Times New Roman" w:eastAsia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Align w:val="center"/>
          </w:tcPr>
          <w:p>
            <w:pPr>
              <w:adjustRightInd w:val="0"/>
              <w:snapToGrid w:val="0"/>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15.1</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递交响应文件的截止时间</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时间：202</w:t>
            </w:r>
            <w:r>
              <w:rPr>
                <w:rFonts w:hint="eastAsia" w:cs="Times New Roman" w:eastAsiaTheme="minorEastAsia"/>
                <w:kern w:val="0"/>
                <w:szCs w:val="21"/>
                <w:highlight w:val="none"/>
                <w:lang w:val="en-US" w:eastAsia="zh-CN"/>
              </w:rPr>
              <w:t>4</w:t>
            </w:r>
            <w:r>
              <w:rPr>
                <w:rFonts w:hint="default" w:ascii="Times New Roman" w:hAnsi="Times New Roman" w:cs="Times New Roman" w:eastAsiaTheme="minorEastAsia"/>
                <w:kern w:val="0"/>
                <w:szCs w:val="21"/>
                <w:highlight w:val="none"/>
              </w:rPr>
              <w:t>年</w:t>
            </w:r>
            <w:r>
              <w:rPr>
                <w:rFonts w:hint="eastAsia" w:cs="Times New Roman" w:eastAsiaTheme="minorEastAsia"/>
                <w:kern w:val="0"/>
                <w:szCs w:val="21"/>
                <w:highlight w:val="none"/>
                <w:lang w:val="en-US" w:eastAsia="zh-CN"/>
              </w:rPr>
              <w:t>3</w:t>
            </w:r>
            <w:r>
              <w:rPr>
                <w:rFonts w:hint="default" w:ascii="Times New Roman" w:hAnsi="Times New Roman" w:cs="Times New Roman" w:eastAsiaTheme="minorEastAsia"/>
                <w:kern w:val="0"/>
                <w:szCs w:val="21"/>
                <w:highlight w:val="none"/>
              </w:rPr>
              <w:t>月</w:t>
            </w:r>
            <w:r>
              <w:rPr>
                <w:rFonts w:hint="eastAsia" w:cs="Times New Roman" w:eastAsiaTheme="minorEastAsia"/>
                <w:kern w:val="0"/>
                <w:szCs w:val="21"/>
                <w:highlight w:val="none"/>
                <w:lang w:val="en-US" w:eastAsia="zh-CN"/>
              </w:rPr>
              <w:t>25</w:t>
            </w:r>
            <w:r>
              <w:rPr>
                <w:rFonts w:hint="default" w:ascii="Times New Roman" w:hAnsi="Times New Roman" w:cs="Times New Roman" w:eastAsiaTheme="minorEastAsia"/>
                <w:kern w:val="0"/>
                <w:szCs w:val="21"/>
                <w:highlight w:val="none"/>
              </w:rPr>
              <w:t>日</w:t>
            </w:r>
            <w:r>
              <w:rPr>
                <w:rFonts w:hint="eastAsia" w:cs="Times New Roman" w:eastAsiaTheme="minorEastAsia"/>
                <w:kern w:val="0"/>
                <w:szCs w:val="21"/>
                <w:highlight w:val="none"/>
                <w:lang w:val="en-US" w:eastAsia="zh-CN"/>
              </w:rPr>
              <w:t>9</w:t>
            </w:r>
            <w:r>
              <w:rPr>
                <w:rFonts w:hint="default" w:ascii="Times New Roman" w:hAnsi="Times New Roman" w:cs="Times New Roman" w:eastAsiaTheme="minorEastAsia"/>
                <w:kern w:val="0"/>
                <w:szCs w:val="21"/>
                <w:highlight w:val="none"/>
              </w:rPr>
              <w:t>时</w:t>
            </w:r>
            <w:r>
              <w:rPr>
                <w:rFonts w:hint="eastAsia" w:cs="Times New Roman" w:eastAsiaTheme="minorEastAsia"/>
                <w:kern w:val="0"/>
                <w:szCs w:val="21"/>
                <w:highlight w:val="none"/>
                <w:lang w:val="en-US" w:eastAsia="zh-CN"/>
              </w:rPr>
              <w:t>30</w:t>
            </w:r>
            <w:r>
              <w:rPr>
                <w:rFonts w:hint="default" w:ascii="Times New Roman" w:hAnsi="Times New Roman" w:cs="Times New Roman" w:eastAsiaTheme="minorEastAsia"/>
                <w:kern w:val="0"/>
                <w:szCs w:val="21"/>
                <w:highlight w:val="none"/>
              </w:rPr>
              <w:t>分（北京时间</w:t>
            </w:r>
            <w:r>
              <w:rPr>
                <w:rFonts w:hint="default" w:ascii="Times New Roman" w:hAnsi="Times New Roman" w:cs="Times New Roman" w:eastAsiaTheme="minorEastAsia"/>
                <w:kern w:val="0"/>
                <w:szCs w:val="21"/>
                <w:highlight w:val="none"/>
                <w:lang w:eastAsia="zh-CN"/>
              </w:rPr>
              <w:t>，</w:t>
            </w:r>
            <w:r>
              <w:rPr>
                <w:rFonts w:hint="default" w:ascii="Times New Roman" w:hAnsi="Times New Roman" w:cs="Times New Roman" w:eastAsiaTheme="minorEastAsia"/>
                <w:kern w:val="0"/>
                <w:szCs w:val="21"/>
                <w:highlight w:val="none"/>
                <w:lang w:val="en-US" w:eastAsia="zh-CN"/>
              </w:rPr>
              <w:t>24时制</w:t>
            </w:r>
            <w:r>
              <w:rPr>
                <w:rFonts w:hint="default" w:ascii="Times New Roman" w:hAnsi="Times New Roman" w:cs="Times New Roman" w:eastAsiaTheme="minorEastAsia"/>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Align w:val="center"/>
          </w:tcPr>
          <w:p>
            <w:pPr>
              <w:adjustRightInd w:val="0"/>
              <w:snapToGrid w:val="0"/>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15.2</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递交响应文件地点</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lang w:val="en-US"/>
              </w:rPr>
            </w:pPr>
            <w:r>
              <w:rPr>
                <w:rFonts w:hint="default" w:ascii="Times New Roman" w:hAnsi="Times New Roman" w:cs="Times New Roman" w:eastAsiaTheme="minorEastAsia"/>
                <w:kern w:val="0"/>
                <w:szCs w:val="21"/>
                <w:highlight w:val="none"/>
                <w:lang w:val="en-US" w:eastAsia="zh-CN"/>
              </w:rPr>
              <w:t>云南省昆明市西山区日新中路616号云南能投集团集控综合楼</w:t>
            </w:r>
            <w:r>
              <w:rPr>
                <w:rFonts w:hint="eastAsia" w:cs="Times New Roman" w:eastAsiaTheme="minorEastAsia"/>
                <w:kern w:val="0"/>
                <w:szCs w:val="21"/>
                <w:highlight w:val="none"/>
                <w:lang w:val="en-US" w:eastAsia="zh-CN"/>
              </w:rPr>
              <w:t>6</w:t>
            </w:r>
            <w:r>
              <w:rPr>
                <w:rFonts w:hint="default" w:ascii="Times New Roman" w:hAnsi="Times New Roman" w:cs="Times New Roman" w:eastAsiaTheme="minorEastAsia"/>
                <w:kern w:val="0"/>
                <w:szCs w:val="21"/>
                <w:highlight w:val="none"/>
                <w:lang w:val="en-US" w:eastAsia="zh-CN"/>
              </w:rPr>
              <w:t>楼</w:t>
            </w:r>
            <w:r>
              <w:rPr>
                <w:rFonts w:hint="eastAsia" w:cs="Times New Roman" w:eastAsiaTheme="minorEastAsia"/>
                <w:kern w:val="0"/>
                <w:szCs w:val="21"/>
                <w:highlight w:val="none"/>
                <w:lang w:val="en-US" w:eastAsia="zh-CN"/>
              </w:rPr>
              <w:t>605</w:t>
            </w:r>
            <w:r>
              <w:rPr>
                <w:rFonts w:hint="default" w:ascii="Times New Roman" w:hAnsi="Times New Roman" w:cs="Times New Roman" w:eastAsiaTheme="minorEastAsia"/>
                <w:kern w:val="0"/>
                <w:szCs w:val="21"/>
                <w:highlight w:val="none"/>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Align w:val="center"/>
          </w:tcPr>
          <w:p>
            <w:pPr>
              <w:adjustRightInd w:val="0"/>
              <w:snapToGrid w:val="0"/>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15.3</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是否退还响应文件</w:t>
            </w:r>
          </w:p>
        </w:tc>
        <w:tc>
          <w:tcPr>
            <w:tcW w:w="5659" w:type="dxa"/>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16.1</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谈判时间和地点</w:t>
            </w:r>
          </w:p>
        </w:tc>
        <w:tc>
          <w:tcPr>
            <w:tcW w:w="5659" w:type="dxa"/>
            <w:vAlign w:val="center"/>
          </w:tcPr>
          <w:p>
            <w:pPr>
              <w:autoSpaceDE w:val="0"/>
              <w:autoSpaceDN w:val="0"/>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谈判时间：</w:t>
            </w:r>
            <w:r>
              <w:rPr>
                <w:rFonts w:hint="default" w:ascii="Times New Roman" w:hAnsi="Times New Roman" w:cs="Times New Roman" w:eastAsiaTheme="minorEastAsia"/>
                <w:kern w:val="0"/>
                <w:szCs w:val="21"/>
                <w:highlight w:val="none"/>
                <w:lang w:val="en-US" w:eastAsia="zh-CN"/>
              </w:rPr>
              <w:t>202</w:t>
            </w:r>
            <w:r>
              <w:rPr>
                <w:rFonts w:hint="eastAsia" w:cs="Times New Roman" w:eastAsiaTheme="minorEastAsia"/>
                <w:kern w:val="0"/>
                <w:szCs w:val="21"/>
                <w:highlight w:val="none"/>
                <w:lang w:val="en-US" w:eastAsia="zh-CN"/>
              </w:rPr>
              <w:t>4</w:t>
            </w:r>
            <w:r>
              <w:rPr>
                <w:rFonts w:hint="default" w:ascii="Times New Roman" w:hAnsi="Times New Roman" w:cs="Times New Roman" w:eastAsiaTheme="minorEastAsia"/>
                <w:kern w:val="0"/>
                <w:szCs w:val="21"/>
                <w:highlight w:val="none"/>
                <w:lang w:val="en-US" w:eastAsia="zh-CN"/>
              </w:rPr>
              <w:t>年</w:t>
            </w:r>
            <w:r>
              <w:rPr>
                <w:rFonts w:hint="eastAsia" w:cs="Times New Roman" w:eastAsiaTheme="minorEastAsia"/>
                <w:kern w:val="0"/>
                <w:szCs w:val="21"/>
                <w:highlight w:val="none"/>
                <w:lang w:val="en-US" w:eastAsia="zh-CN"/>
              </w:rPr>
              <w:t>3</w:t>
            </w:r>
            <w:r>
              <w:rPr>
                <w:rFonts w:hint="default" w:ascii="Times New Roman" w:hAnsi="Times New Roman" w:cs="Times New Roman" w:eastAsiaTheme="minorEastAsia"/>
                <w:kern w:val="0"/>
                <w:szCs w:val="21"/>
                <w:highlight w:val="none"/>
                <w:lang w:val="en-US" w:eastAsia="zh-CN"/>
              </w:rPr>
              <w:t>月</w:t>
            </w:r>
            <w:r>
              <w:rPr>
                <w:rFonts w:hint="eastAsia" w:cs="Times New Roman" w:eastAsiaTheme="minorEastAsia"/>
                <w:kern w:val="0"/>
                <w:szCs w:val="21"/>
                <w:highlight w:val="none"/>
                <w:lang w:val="en-US" w:eastAsia="zh-CN"/>
              </w:rPr>
              <w:t>25日</w:t>
            </w:r>
            <w:r>
              <w:rPr>
                <w:rFonts w:hint="default" w:ascii="Times New Roman" w:hAnsi="Times New Roman" w:cs="Times New Roman" w:eastAsiaTheme="minorEastAsia"/>
                <w:kern w:val="0"/>
                <w:szCs w:val="21"/>
                <w:highlight w:val="none"/>
                <w:lang w:val="en-US" w:eastAsia="zh-CN"/>
              </w:rPr>
              <w:t>9:30</w:t>
            </w:r>
          </w:p>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谈判地点：</w:t>
            </w:r>
            <w:r>
              <w:rPr>
                <w:rFonts w:hint="default" w:ascii="Times New Roman" w:hAnsi="Times New Roman" w:cs="Times New Roman" w:eastAsiaTheme="minorEastAsia"/>
                <w:kern w:val="0"/>
                <w:szCs w:val="21"/>
                <w:highlight w:val="none"/>
                <w:lang w:val="en-US" w:eastAsia="zh-CN"/>
              </w:rPr>
              <w:t>云南省昆明市西山区日新中路616号云南能投集团集控综合楼</w:t>
            </w:r>
            <w:r>
              <w:rPr>
                <w:rFonts w:hint="eastAsia" w:cs="Times New Roman" w:eastAsiaTheme="minorEastAsia"/>
                <w:kern w:val="0"/>
                <w:szCs w:val="21"/>
                <w:highlight w:val="none"/>
                <w:lang w:val="en-US" w:eastAsia="zh-CN"/>
              </w:rPr>
              <w:t>6</w:t>
            </w:r>
            <w:r>
              <w:rPr>
                <w:rFonts w:hint="default" w:ascii="Times New Roman" w:hAnsi="Times New Roman" w:cs="Times New Roman" w:eastAsiaTheme="minorEastAsia"/>
                <w:kern w:val="0"/>
                <w:szCs w:val="21"/>
                <w:highlight w:val="none"/>
                <w:lang w:val="en-US" w:eastAsia="zh-CN"/>
              </w:rPr>
              <w:t>楼</w:t>
            </w:r>
            <w:r>
              <w:rPr>
                <w:rFonts w:hint="eastAsia" w:cs="Times New Roman" w:eastAsiaTheme="minorEastAsia"/>
                <w:kern w:val="0"/>
                <w:szCs w:val="21"/>
                <w:highlight w:val="none"/>
                <w:lang w:val="en-US" w:eastAsia="zh-CN"/>
              </w:rPr>
              <w:t>605</w:t>
            </w:r>
            <w:r>
              <w:rPr>
                <w:rFonts w:hint="default" w:ascii="Times New Roman" w:hAnsi="Times New Roman" w:cs="Times New Roman" w:eastAsiaTheme="minorEastAsia"/>
                <w:kern w:val="0"/>
                <w:szCs w:val="21"/>
                <w:highlight w:val="none"/>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Merge w:val="restart"/>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16.4</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谈判程序和评审方法</w:t>
            </w:r>
          </w:p>
        </w:tc>
        <w:tc>
          <w:tcPr>
            <w:tcW w:w="5659" w:type="dxa"/>
            <w:vAlign w:val="center"/>
          </w:tcPr>
          <w:p>
            <w:pPr>
              <w:autoSpaceDE w:val="0"/>
              <w:autoSpaceDN w:val="0"/>
              <w:adjustRightInd w:val="0"/>
              <w:snapToGrid w:val="0"/>
              <w:jc w:val="left"/>
              <w:rPr>
                <w:rFonts w:hint="eastAsia" w:ascii="Times New Roman" w:hAnsi="Times New Roman" w:cs="Times New Roman" w:eastAsiaTheme="minorEastAsia"/>
                <w:kern w:val="0"/>
                <w:szCs w:val="21"/>
                <w:highlight w:val="none"/>
                <w:lang w:eastAsia="zh-CN"/>
              </w:rPr>
            </w:pPr>
            <w:r>
              <w:rPr>
                <w:rFonts w:hint="eastAsia" w:cs="Times New Roman" w:eastAsiaTheme="minorEastAsia"/>
                <w:kern w:val="0"/>
                <w:szCs w:val="21"/>
                <w:highlight w:val="none"/>
                <w:lang w:eastAsia="zh-CN"/>
              </w:rPr>
              <w:t>综合评分打分法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Merge w:val="continue"/>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p>
        </w:tc>
        <w:tc>
          <w:tcPr>
            <w:tcW w:w="8055" w:type="dxa"/>
            <w:gridSpan w:val="3"/>
            <w:vAlign w:val="center"/>
          </w:tcPr>
          <w:p>
            <w:pPr>
              <w:autoSpaceDE w:val="0"/>
              <w:autoSpaceDN w:val="0"/>
              <w:adjustRightInd w:val="0"/>
              <w:snapToGrid w:val="0"/>
              <w:jc w:val="left"/>
              <w:rPr>
                <w:rFonts w:hint="default" w:ascii="Times New Roman" w:hAnsi="Times New Roman" w:cs="Times New Roman" w:eastAsiaTheme="minorEastAsia"/>
                <w:b/>
                <w:kern w:val="0"/>
                <w:szCs w:val="21"/>
                <w:highlight w:val="none"/>
                <w:u w:val="single"/>
              </w:rPr>
            </w:pPr>
            <w:r>
              <w:rPr>
                <w:rFonts w:hint="default" w:ascii="Times New Roman" w:hAnsi="Times New Roman" w:cs="Times New Roman" w:eastAsiaTheme="minorEastAsia"/>
                <w:b/>
                <w:kern w:val="0"/>
                <w:szCs w:val="21"/>
                <w:highlight w:val="none"/>
                <w:u w:val="single"/>
              </w:rPr>
              <w:t>第六章“谈判程序和评审方法”第2.1款资格审查标准规定的内容，为参加谈判的谈判申请人必须具备的资格条件，凡有一条不满足的谈判申请人不再参与谈判。请各参加谈判的谈判申请人仔细阅读资格审查标准。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23.1</w:t>
            </w:r>
          </w:p>
        </w:tc>
        <w:tc>
          <w:tcPr>
            <w:tcW w:w="2396" w:type="dxa"/>
            <w:gridSpan w:val="2"/>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履约担保</w:t>
            </w:r>
          </w:p>
        </w:tc>
        <w:tc>
          <w:tcPr>
            <w:tcW w:w="5659" w:type="dxa"/>
            <w:vAlign w:val="center"/>
          </w:tcPr>
          <w:p>
            <w:pPr>
              <w:spacing w:line="400" w:lineRule="exac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■不提供</w:t>
            </w:r>
          </w:p>
          <w:p>
            <w:pPr>
              <w:autoSpaceDE w:val="0"/>
              <w:autoSpaceDN w:val="0"/>
              <w:adjustRightInd w:val="0"/>
              <w:snapToGri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□提供，履约保证金的形式：银行支票、汇票或银行保函。 </w:t>
            </w:r>
          </w:p>
          <w:p>
            <w:pPr>
              <w:autoSpaceDE w:val="0"/>
              <w:autoSpaceDN w:val="0"/>
              <w:adjustRightInd w:val="0"/>
              <w:snapToGrid w:val="0"/>
              <w:jc w:val="left"/>
              <w:rPr>
                <w:rFonts w:hint="default" w:ascii="Times New Roman" w:hAnsi="Times New Roman" w:cs="Times New Roman"/>
                <w:highlight w:val="none"/>
              </w:rPr>
            </w:pPr>
            <w:r>
              <w:rPr>
                <w:rFonts w:hint="default" w:ascii="Times New Roman" w:hAnsi="Times New Roman" w:cs="Times New Roman" w:eastAsiaTheme="minorEastAsia"/>
                <w:szCs w:val="21"/>
                <w:highlight w:val="none"/>
              </w:rPr>
              <w:t>履约保证金的金额：合同总价的【】%。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utoSpaceDE w:val="0"/>
              <w:autoSpaceDN w:val="0"/>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25</w:t>
            </w:r>
          </w:p>
        </w:tc>
        <w:tc>
          <w:tcPr>
            <w:tcW w:w="8055" w:type="dxa"/>
            <w:gridSpan w:val="3"/>
            <w:vAlign w:val="center"/>
          </w:tcPr>
          <w:p>
            <w:pPr>
              <w:autoSpaceDE w:val="0"/>
              <w:autoSpaceDN w:val="0"/>
              <w:adjustRightInd w:val="0"/>
              <w:snapToGrid w:val="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w:t>
            </w:r>
          </w:p>
        </w:tc>
        <w:tc>
          <w:tcPr>
            <w:tcW w:w="8055" w:type="dxa"/>
            <w:gridSpan w:val="3"/>
            <w:vAlign w:val="center"/>
          </w:tcPr>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本项目不允许任何形式的分包、转包。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Align w:val="center"/>
          </w:tcPr>
          <w:p>
            <w:pPr>
              <w:adjustRightInd w:val="0"/>
              <w:snapToGrid w:val="0"/>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w:t>
            </w:r>
          </w:p>
        </w:tc>
        <w:tc>
          <w:tcPr>
            <w:tcW w:w="8055" w:type="dxa"/>
            <w:gridSpan w:val="3"/>
            <w:vAlign w:val="center"/>
          </w:tcPr>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纪律和监督：</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（1）对</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人的纪律要求</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lang w:val="en-US" w:eastAsia="zh-CN"/>
              </w:rPr>
              <w:t>采购人</w:t>
            </w:r>
            <w:r>
              <w:rPr>
                <w:rFonts w:hint="default" w:ascii="Times New Roman" w:hAnsi="Times New Roman" w:cs="Times New Roman" w:eastAsiaTheme="minorEastAsia"/>
                <w:kern w:val="0"/>
                <w:szCs w:val="21"/>
                <w:highlight w:val="none"/>
              </w:rPr>
              <w:t>不得泄漏</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活动中应当保密的情况和资料，不得与谈判申请人串通损害国家利益、社会公共利益或者他人合法权益。</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（2）对谈判申请人的纪律要求</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谈判申请人不得相互串通</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人串通，不得向</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人或者</w:t>
            </w:r>
            <w:r>
              <w:rPr>
                <w:rFonts w:hint="default" w:ascii="Times New Roman" w:hAnsi="Times New Roman" w:cs="Times New Roman" w:eastAsiaTheme="minorEastAsia"/>
                <w:kern w:val="0"/>
                <w:szCs w:val="21"/>
                <w:highlight w:val="none"/>
                <w:lang w:val="en-US" w:eastAsia="zh-CN"/>
              </w:rPr>
              <w:t>谈判小组</w:t>
            </w:r>
            <w:r>
              <w:rPr>
                <w:rFonts w:hint="default" w:ascii="Times New Roman" w:hAnsi="Times New Roman" w:cs="Times New Roman" w:eastAsiaTheme="minorEastAsia"/>
                <w:kern w:val="0"/>
                <w:szCs w:val="21"/>
                <w:highlight w:val="none"/>
              </w:rPr>
              <w:t>成员行贿谋取中标，不得以他人名义投标或者以其他方式弄虚作假骗取中标；谈判申请人不得以任何方式干扰、影响评标工作。</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（3）对</w:t>
            </w:r>
            <w:r>
              <w:rPr>
                <w:rFonts w:hint="default" w:ascii="Times New Roman" w:hAnsi="Times New Roman" w:cs="Times New Roman" w:eastAsiaTheme="minorEastAsia"/>
                <w:kern w:val="0"/>
                <w:szCs w:val="21"/>
                <w:highlight w:val="none"/>
                <w:lang w:val="en-US" w:eastAsia="zh-CN"/>
              </w:rPr>
              <w:t>谈判小组</w:t>
            </w:r>
            <w:r>
              <w:rPr>
                <w:rFonts w:hint="default" w:ascii="Times New Roman" w:hAnsi="Times New Roman" w:cs="Times New Roman" w:eastAsiaTheme="minorEastAsia"/>
                <w:kern w:val="0"/>
                <w:szCs w:val="21"/>
                <w:highlight w:val="none"/>
              </w:rPr>
              <w:t>成员的纪律要求</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lang w:val="en-US" w:eastAsia="zh-CN"/>
              </w:rPr>
              <w:t>谈判小组</w:t>
            </w:r>
            <w:r>
              <w:rPr>
                <w:rFonts w:hint="default" w:ascii="Times New Roman" w:hAnsi="Times New Roman" w:cs="Times New Roman" w:eastAsiaTheme="minorEastAsia"/>
                <w:kern w:val="0"/>
                <w:szCs w:val="21"/>
                <w:highlight w:val="none"/>
              </w:rPr>
              <w:t>不得收受他人的财物或者其他好处，不得向他人透漏对</w:t>
            </w:r>
            <w:r>
              <w:rPr>
                <w:rFonts w:hint="default" w:ascii="Times New Roman" w:hAnsi="Times New Roman" w:cs="Times New Roman" w:eastAsiaTheme="minorEastAsia"/>
                <w:kern w:val="0"/>
                <w:szCs w:val="21"/>
                <w:highlight w:val="none"/>
                <w:lang w:val="en-US" w:eastAsia="zh-CN"/>
              </w:rPr>
              <w:t>谈判</w:t>
            </w:r>
            <w:r>
              <w:rPr>
                <w:rFonts w:hint="default" w:ascii="Times New Roman" w:hAnsi="Times New Roman" w:cs="Times New Roman" w:eastAsiaTheme="minorEastAsia"/>
                <w:kern w:val="0"/>
                <w:szCs w:val="21"/>
                <w:highlight w:val="none"/>
              </w:rPr>
              <w:t>文件的评审和比较、中标候选人的推荐情况以及评标有关的其他情况。在</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活动中，</w:t>
            </w:r>
            <w:r>
              <w:rPr>
                <w:rFonts w:hint="default" w:ascii="Times New Roman" w:hAnsi="Times New Roman" w:cs="Times New Roman" w:eastAsiaTheme="minorEastAsia"/>
                <w:kern w:val="0"/>
                <w:szCs w:val="21"/>
                <w:highlight w:val="none"/>
                <w:lang w:val="en-US" w:eastAsia="zh-CN"/>
              </w:rPr>
              <w:t>谈判小组</w:t>
            </w:r>
            <w:r>
              <w:rPr>
                <w:rFonts w:hint="default" w:ascii="Times New Roman" w:hAnsi="Times New Roman" w:cs="Times New Roman" w:eastAsiaTheme="minorEastAsia"/>
                <w:kern w:val="0"/>
                <w:szCs w:val="21"/>
                <w:highlight w:val="none"/>
              </w:rPr>
              <w:t>成员不得擅离职守，影响评标程序正常进行。</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（4）对与</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活动有关的工作人员的纪律要求</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与</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活动有关的工作人员不得收受他人的财物或者其他好处，不得向他人透漏对</w:t>
            </w:r>
            <w:r>
              <w:rPr>
                <w:rFonts w:hint="default" w:ascii="Times New Roman" w:hAnsi="Times New Roman" w:cs="Times New Roman" w:eastAsiaTheme="minorEastAsia"/>
                <w:kern w:val="0"/>
                <w:szCs w:val="21"/>
                <w:highlight w:val="none"/>
                <w:lang w:val="en-US" w:eastAsia="zh-CN"/>
              </w:rPr>
              <w:t>谈判</w:t>
            </w:r>
            <w:r>
              <w:rPr>
                <w:rFonts w:hint="default" w:ascii="Times New Roman" w:hAnsi="Times New Roman" w:cs="Times New Roman" w:eastAsiaTheme="minorEastAsia"/>
                <w:kern w:val="0"/>
                <w:szCs w:val="21"/>
                <w:highlight w:val="none"/>
              </w:rPr>
              <w:t>文件的评审和比较。在</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活动中，与评标活动有关的工作人员不得擅离职守，影响评标程序正常进行。</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（5）投诉</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谈判申请人和其他利害关系人认为本次</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活动违反法律、法规和规章规定的，有权向有关行政监督部门投诉。对发现在本次</w:t>
            </w:r>
            <w:r>
              <w:rPr>
                <w:rFonts w:hint="default" w:ascii="Times New Roman" w:hAnsi="Times New Roman" w:cs="Times New Roman" w:eastAsiaTheme="minorEastAsia"/>
                <w:kern w:val="0"/>
                <w:szCs w:val="21"/>
                <w:highlight w:val="none"/>
                <w:lang w:val="en-US" w:eastAsia="zh-CN"/>
              </w:rPr>
              <w:t>采购</w:t>
            </w:r>
            <w:r>
              <w:rPr>
                <w:rFonts w:hint="default" w:ascii="Times New Roman" w:hAnsi="Times New Roman" w:cs="Times New Roman" w:eastAsiaTheme="minorEastAsia"/>
                <w:kern w:val="0"/>
                <w:szCs w:val="21"/>
                <w:highlight w:val="none"/>
              </w:rPr>
              <w:t>过程中存在的任何违规、违纪情况也可以向云南省能源投资集团有限公司纪检监察室网络举报平台举报（http://www.cnyeig.com/）或进行电话举报0871-64980408。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31" w:type="dxa"/>
            <w:vAlign w:val="center"/>
          </w:tcPr>
          <w:p>
            <w:pPr>
              <w:adjustRightInd w:val="0"/>
              <w:snapToGrid w:val="0"/>
              <w:jc w:val="center"/>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3）</w:t>
            </w:r>
          </w:p>
        </w:tc>
        <w:tc>
          <w:tcPr>
            <w:tcW w:w="8055" w:type="dxa"/>
            <w:gridSpan w:val="3"/>
            <w:vAlign w:val="center"/>
          </w:tcPr>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递交谈判申请文件时须按谈判文件的要求，携带下列证件（或资料），交由工作人员现场登记：</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1、</w:t>
            </w:r>
            <w:r>
              <w:rPr>
                <w:rFonts w:hint="eastAsia" w:cs="Times New Roman" w:eastAsiaTheme="minorEastAsia"/>
                <w:kern w:val="0"/>
                <w:szCs w:val="21"/>
                <w:highlight w:val="none"/>
                <w:lang w:eastAsia="zh-CN"/>
              </w:rPr>
              <w:t>营业执照或执业许可证</w:t>
            </w:r>
            <w:r>
              <w:rPr>
                <w:rFonts w:hint="default" w:ascii="Times New Roman" w:hAnsi="Times New Roman" w:cs="Times New Roman" w:eastAsiaTheme="minorEastAsia"/>
                <w:kern w:val="0"/>
                <w:szCs w:val="21"/>
                <w:highlight w:val="none"/>
              </w:rPr>
              <w:t>（复印件加盖单位公章）</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2、法定代表人身份证明书（原件）</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3、法定代表人授权委托书（原件）</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4、法定代表人身份证（原件，法定代表人投标时提供，委托代理人</w:t>
            </w:r>
            <w:r>
              <w:rPr>
                <w:rFonts w:hint="default" w:ascii="Times New Roman" w:hAnsi="Times New Roman" w:cs="Times New Roman" w:eastAsiaTheme="minorEastAsia"/>
                <w:kern w:val="0"/>
                <w:szCs w:val="21"/>
                <w:highlight w:val="none"/>
                <w:lang w:val="en-US" w:eastAsia="zh-CN"/>
              </w:rPr>
              <w:t>谈判</w:t>
            </w:r>
            <w:r>
              <w:rPr>
                <w:rFonts w:hint="default" w:ascii="Times New Roman" w:hAnsi="Times New Roman" w:cs="Times New Roman" w:eastAsiaTheme="minorEastAsia"/>
                <w:kern w:val="0"/>
                <w:szCs w:val="21"/>
                <w:highlight w:val="none"/>
              </w:rPr>
              <w:t>时</w:t>
            </w:r>
            <w:r>
              <w:rPr>
                <w:rFonts w:hint="default" w:ascii="Times New Roman" w:hAnsi="Times New Roman" w:cs="Times New Roman" w:eastAsiaTheme="minorEastAsia"/>
                <w:b/>
                <w:kern w:val="0"/>
                <w:szCs w:val="21"/>
                <w:highlight w:val="none"/>
              </w:rPr>
              <w:t>无需提供</w:t>
            </w:r>
            <w:r>
              <w:rPr>
                <w:rFonts w:hint="default" w:ascii="Times New Roman" w:hAnsi="Times New Roman" w:cs="Times New Roman" w:eastAsiaTheme="minorEastAsia"/>
                <w:kern w:val="0"/>
                <w:szCs w:val="21"/>
                <w:highlight w:val="none"/>
              </w:rPr>
              <w:t>）</w:t>
            </w:r>
          </w:p>
          <w:p>
            <w:pPr>
              <w:adjustRightInd w:val="0"/>
              <w:snapToGrid w:val="0"/>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5、委托代理人身份证（原件，代理人</w:t>
            </w:r>
            <w:r>
              <w:rPr>
                <w:rFonts w:hint="default" w:ascii="Times New Roman" w:hAnsi="Times New Roman" w:cs="Times New Roman" w:eastAsiaTheme="minorEastAsia"/>
                <w:kern w:val="0"/>
                <w:szCs w:val="21"/>
                <w:highlight w:val="none"/>
                <w:lang w:val="en-US" w:eastAsia="zh-CN"/>
              </w:rPr>
              <w:t>谈判</w:t>
            </w:r>
            <w:r>
              <w:rPr>
                <w:rFonts w:hint="default" w:ascii="Times New Roman" w:hAnsi="Times New Roman" w:cs="Times New Roman" w:eastAsiaTheme="minorEastAsia"/>
                <w:kern w:val="0"/>
                <w:szCs w:val="21"/>
                <w:highlight w:val="none"/>
              </w:rPr>
              <w:t>时提供）</w:t>
            </w:r>
          </w:p>
        </w:tc>
      </w:tr>
    </w:tbl>
    <w:p>
      <w:pPr>
        <w:widowControl/>
        <w:spacing w:line="360" w:lineRule="auto"/>
        <w:jc w:val="left"/>
        <w:rPr>
          <w:rFonts w:hint="default" w:ascii="Times New Roman" w:hAnsi="Times New Roman" w:cs="Times New Roman" w:eastAsiaTheme="minorEastAsia"/>
          <w:b/>
          <w:bCs/>
          <w:sz w:val="24"/>
          <w:highlight w:val="none"/>
        </w:rPr>
      </w:pPr>
      <w:bookmarkStart w:id="5" w:name="_Toc86124040"/>
      <w:r>
        <w:rPr>
          <w:rFonts w:hint="default" w:ascii="Times New Roman" w:hAnsi="Times New Roman" w:cs="Times New Roman" w:eastAsiaTheme="minorEastAsia"/>
          <w:b/>
          <w:bCs/>
          <w:sz w:val="24"/>
          <w:highlight w:val="none"/>
        </w:rPr>
        <w:br w:type="page"/>
      </w:r>
    </w:p>
    <w:p>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b/>
          <w:bCs/>
          <w:sz w:val="24"/>
          <w:highlight w:val="none"/>
        </w:rPr>
        <w:t>一、总则</w:t>
      </w:r>
      <w:bookmarkEnd w:id="5"/>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highlight w:val="none"/>
        </w:rPr>
      </w:pPr>
      <w:bookmarkStart w:id="6" w:name="_Toc535415589"/>
      <w:bookmarkStart w:id="7" w:name="_Toc490599205"/>
      <w:bookmarkStart w:id="8" w:name="_Toc329810186"/>
      <w:bookmarkStart w:id="9" w:name="_Toc385344438"/>
      <w:r>
        <w:rPr>
          <w:rFonts w:hint="default" w:ascii="Times New Roman" w:hAnsi="Times New Roman" w:cs="Times New Roman"/>
          <w:b/>
          <w:bCs/>
          <w:sz w:val="24"/>
          <w:highlight w:val="none"/>
        </w:rPr>
        <w:t>项目概况</w:t>
      </w:r>
      <w:bookmarkEnd w:id="6"/>
      <w:bookmarkEnd w:id="7"/>
      <w:bookmarkEnd w:id="8"/>
      <w:bookmarkEnd w:id="9"/>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1.1参照《中华人民共和国招标投标法》等有关法律、法规和规章的规定，本项目已获主管部门批准，现对本项目进行竞争性谈判。</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1.2本项目采购人</w:t>
      </w:r>
      <w:r>
        <w:rPr>
          <w:rFonts w:hint="default" w:ascii="Times New Roman" w:hAnsi="Times New Roman" w:cs="Times New Roman" w:eastAsiaTheme="minorEastAsia"/>
          <w:sz w:val="24"/>
          <w:highlight w:val="none"/>
          <w:lang w:val="en-US" w:eastAsia="zh-CN"/>
        </w:rPr>
        <w:t>及</w:t>
      </w:r>
      <w:r>
        <w:rPr>
          <w:rFonts w:hint="default" w:ascii="Times New Roman" w:hAnsi="Times New Roman" w:cs="Times New Roman" w:eastAsiaTheme="minorEastAsia"/>
          <w:sz w:val="24"/>
          <w:highlight w:val="none"/>
        </w:rPr>
        <w:t>项目名称：见“</w:t>
      </w:r>
      <w:r>
        <w:rPr>
          <w:rFonts w:hint="default" w:ascii="Times New Roman" w:hAnsi="Times New Roman" w:cs="Times New Roman" w:eastAsiaTheme="minorEastAsia"/>
          <w:b/>
          <w:bCs/>
          <w:sz w:val="24"/>
          <w:highlight w:val="none"/>
        </w:rPr>
        <w:t>谈判申请人须知前附表</w:t>
      </w:r>
      <w:r>
        <w:rPr>
          <w:rFonts w:hint="default" w:ascii="Times New Roman" w:hAnsi="Times New Roman" w:cs="Times New Roman" w:eastAsiaTheme="minorEastAsia"/>
          <w:sz w:val="24"/>
          <w:highlight w:val="none"/>
        </w:rPr>
        <w:t>”。</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10" w:name="_Toc535415590"/>
      <w:bookmarkStart w:id="11" w:name="_Toc265142411"/>
      <w:bookmarkStart w:id="12" w:name="_Toc490599206"/>
      <w:bookmarkStart w:id="13" w:name="_Toc329810187"/>
      <w:bookmarkStart w:id="14" w:name="_Toc385344439"/>
      <w:r>
        <w:rPr>
          <w:rFonts w:hint="default" w:ascii="Times New Roman" w:hAnsi="Times New Roman" w:cs="Times New Roman"/>
          <w:b/>
          <w:bCs/>
          <w:sz w:val="24"/>
          <w:szCs w:val="24"/>
          <w:highlight w:val="none"/>
        </w:rPr>
        <w:t>资金来源</w:t>
      </w:r>
      <w:bookmarkEnd w:id="10"/>
      <w:bookmarkEnd w:id="11"/>
      <w:bookmarkEnd w:id="12"/>
      <w:bookmarkEnd w:id="13"/>
      <w:bookmarkEnd w:id="14"/>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2.1企业自筹，用于实施“</w:t>
      </w:r>
      <w:r>
        <w:rPr>
          <w:rFonts w:hint="default" w:ascii="Times New Roman" w:hAnsi="Times New Roman" w:cs="Times New Roman" w:eastAsiaTheme="minorEastAsia"/>
          <w:b/>
          <w:bCs/>
          <w:sz w:val="24"/>
          <w:highlight w:val="none"/>
        </w:rPr>
        <w:t>项目需求及要求</w:t>
      </w:r>
      <w:r>
        <w:rPr>
          <w:rFonts w:hint="default" w:ascii="Times New Roman" w:hAnsi="Times New Roman" w:cs="Times New Roman" w:eastAsiaTheme="minorEastAsia"/>
          <w:sz w:val="24"/>
          <w:highlight w:val="none"/>
        </w:rPr>
        <w:t>”所列内容。</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采购范围</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 本项目招标内容：见“</w:t>
      </w:r>
      <w:r>
        <w:rPr>
          <w:rFonts w:hint="default" w:ascii="Times New Roman" w:hAnsi="Times New Roman" w:cs="Times New Roman" w:eastAsiaTheme="minorEastAsia"/>
          <w:b/>
          <w:bCs/>
          <w:sz w:val="24"/>
          <w:highlight w:val="none"/>
        </w:rPr>
        <w:t>谈判申请人须知前附表</w:t>
      </w:r>
      <w:r>
        <w:rPr>
          <w:rFonts w:hint="default" w:ascii="Times New Roman" w:hAnsi="Times New Roman" w:cs="Times New Roman" w:eastAsiaTheme="minorEastAsia"/>
          <w:sz w:val="24"/>
          <w:highlight w:val="none"/>
        </w:rPr>
        <w:t>”。</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 本项目时间要求：见“</w:t>
      </w:r>
      <w:r>
        <w:rPr>
          <w:rFonts w:hint="default" w:ascii="Times New Roman" w:hAnsi="Times New Roman" w:cs="Times New Roman" w:eastAsiaTheme="minorEastAsia"/>
          <w:b/>
          <w:bCs/>
          <w:sz w:val="24"/>
          <w:highlight w:val="none"/>
        </w:rPr>
        <w:t>谈判申请人须知前附表</w:t>
      </w:r>
      <w:r>
        <w:rPr>
          <w:rFonts w:hint="default" w:ascii="Times New Roman" w:hAnsi="Times New Roman" w:cs="Times New Roman" w:eastAsiaTheme="minorEastAsia"/>
          <w:sz w:val="24"/>
          <w:highlight w:val="none"/>
        </w:rPr>
        <w:t>”。</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15" w:name="_Toc490599208"/>
      <w:bookmarkStart w:id="16" w:name="_Toc329810189"/>
      <w:bookmarkStart w:id="17" w:name="_Toc385344441"/>
      <w:bookmarkStart w:id="18" w:name="_Toc535415592"/>
      <w:r>
        <w:rPr>
          <w:rFonts w:hint="default" w:ascii="Times New Roman" w:hAnsi="Times New Roman" w:cs="Times New Roman"/>
          <w:b/>
          <w:bCs/>
          <w:sz w:val="24"/>
          <w:szCs w:val="24"/>
          <w:highlight w:val="none"/>
        </w:rPr>
        <w:t>合格的谈判申请人（以下简称谈判申请人）</w:t>
      </w:r>
      <w:bookmarkEnd w:id="15"/>
      <w:bookmarkEnd w:id="16"/>
      <w:bookmarkEnd w:id="17"/>
      <w:bookmarkEnd w:id="18"/>
    </w:p>
    <w:p>
      <w:pPr>
        <w:adjustRightInd w:val="0"/>
        <w:snapToGrid w:val="0"/>
        <w:spacing w:line="360" w:lineRule="auto"/>
        <w:ind w:firstLine="540" w:firstLineChars="225"/>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“详见第一章 </w:t>
      </w:r>
      <w:r>
        <w:rPr>
          <w:rFonts w:hint="default" w:ascii="Times New Roman" w:hAnsi="Times New Roman" w:cs="Times New Roman" w:eastAsiaTheme="minorEastAsia"/>
          <w:sz w:val="24"/>
          <w:highlight w:val="none"/>
          <w:lang w:eastAsia="zh-CN"/>
        </w:rPr>
        <w:t>竞争性谈判公告</w:t>
      </w:r>
      <w:r>
        <w:rPr>
          <w:rFonts w:hint="default" w:ascii="Times New Roman" w:hAnsi="Times New Roman" w:cs="Times New Roman" w:eastAsiaTheme="minorEastAsia"/>
          <w:sz w:val="24"/>
          <w:highlight w:val="none"/>
        </w:rPr>
        <w:t>”</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19" w:name="_Hlt200176664"/>
      <w:bookmarkEnd w:id="19"/>
      <w:bookmarkStart w:id="20" w:name="_Toc329810190"/>
      <w:bookmarkStart w:id="21" w:name="_Toc490599209"/>
      <w:bookmarkStart w:id="22" w:name="_Toc385344442"/>
      <w:bookmarkStart w:id="23" w:name="_Toc535415593"/>
      <w:r>
        <w:rPr>
          <w:rFonts w:hint="default" w:ascii="Times New Roman" w:hAnsi="Times New Roman" w:cs="Times New Roman"/>
          <w:b/>
          <w:bCs/>
          <w:sz w:val="24"/>
          <w:szCs w:val="24"/>
          <w:highlight w:val="none"/>
        </w:rPr>
        <w:t>谈判费用</w:t>
      </w:r>
      <w:bookmarkEnd w:id="20"/>
      <w:bookmarkEnd w:id="21"/>
      <w:bookmarkEnd w:id="22"/>
      <w:bookmarkEnd w:id="23"/>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无论是否中标，谈判申请人自行承担所有与参加谈判有关的全部费用。</w:t>
      </w:r>
    </w:p>
    <w:p>
      <w:pPr>
        <w:adjustRightInd w:val="0"/>
        <w:snapToGrid w:val="0"/>
        <w:spacing w:line="360" w:lineRule="auto"/>
        <w:jc w:val="center"/>
        <w:outlineLvl w:val="1"/>
        <w:rPr>
          <w:rFonts w:hint="default" w:ascii="Times New Roman" w:hAnsi="Times New Roman" w:cs="Times New Roman" w:eastAsiaTheme="minorEastAsia"/>
          <w:b/>
          <w:bCs/>
          <w:sz w:val="24"/>
          <w:highlight w:val="none"/>
        </w:rPr>
      </w:pPr>
      <w:bookmarkStart w:id="24" w:name="_Toc86124047"/>
      <w:bookmarkStart w:id="25" w:name="_Toc535415594"/>
      <w:bookmarkStart w:id="26" w:name="_Toc490599210"/>
      <w:r>
        <w:rPr>
          <w:rFonts w:hint="default" w:ascii="Times New Roman" w:hAnsi="Times New Roman" w:cs="Times New Roman" w:eastAsiaTheme="minorEastAsia"/>
          <w:b/>
          <w:bCs/>
          <w:sz w:val="24"/>
          <w:highlight w:val="none"/>
        </w:rPr>
        <w:t>二、谈判文件</w:t>
      </w:r>
      <w:bookmarkEnd w:id="24"/>
      <w:bookmarkEnd w:id="25"/>
      <w:bookmarkEnd w:id="26"/>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27" w:name="_Toc329810192"/>
      <w:bookmarkStart w:id="28" w:name="_Toc535415595"/>
      <w:bookmarkStart w:id="29" w:name="_Toc490599211"/>
      <w:bookmarkStart w:id="30" w:name="_Toc385344444"/>
      <w:r>
        <w:rPr>
          <w:rFonts w:hint="default" w:ascii="Times New Roman" w:hAnsi="Times New Roman" w:cs="Times New Roman"/>
          <w:b/>
          <w:bCs/>
          <w:sz w:val="24"/>
          <w:szCs w:val="24"/>
          <w:highlight w:val="none"/>
        </w:rPr>
        <w:t>谈判文件的组成</w:t>
      </w:r>
      <w:bookmarkEnd w:id="27"/>
      <w:bookmarkEnd w:id="28"/>
      <w:bookmarkEnd w:id="29"/>
      <w:bookmarkEnd w:id="30"/>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要求提供</w:t>
      </w:r>
      <w:r>
        <w:rPr>
          <w:rFonts w:hint="default" w:ascii="Times New Roman" w:hAnsi="Times New Roman" w:cs="Times New Roman" w:eastAsiaTheme="minorEastAsia"/>
          <w:sz w:val="24"/>
          <w:highlight w:val="none"/>
          <w:lang w:val="en-US" w:eastAsia="zh-CN"/>
        </w:rPr>
        <w:t>的服务、成果</w:t>
      </w:r>
      <w:r>
        <w:rPr>
          <w:rFonts w:hint="default" w:ascii="Times New Roman" w:hAnsi="Times New Roman" w:cs="Times New Roman" w:eastAsiaTheme="minorEastAsia"/>
          <w:sz w:val="24"/>
          <w:highlight w:val="none"/>
        </w:rPr>
        <w:t>及合同条款在谈判文件中均有说明，谈判文件共六章，各章的内容如下：</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 xml:space="preserve">第一章 </w:t>
      </w:r>
      <w:r>
        <w:rPr>
          <w:rFonts w:hint="default" w:ascii="Times New Roman" w:hAnsi="Times New Roman" w:cs="Times New Roman" w:eastAsiaTheme="minorEastAsia"/>
          <w:sz w:val="24"/>
          <w:highlight w:val="none"/>
          <w:lang w:eastAsia="zh-CN"/>
        </w:rPr>
        <w:t>竞争性谈判公告</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第二章 谈判申请人须知</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第三章 合同书样式及主要条款</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第四章 响应文件格式</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第五章 项目需求及要求</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第六章 谈判程序及方法</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31" w:name="_Toc86124049"/>
      <w:bookmarkStart w:id="32" w:name="_Toc490599212"/>
      <w:bookmarkStart w:id="33" w:name="_Toc535415596"/>
      <w:bookmarkStart w:id="34" w:name="_Toc329810193"/>
      <w:bookmarkStart w:id="35" w:name="_Toc385344445"/>
      <w:r>
        <w:rPr>
          <w:rFonts w:hint="default" w:ascii="Times New Roman" w:hAnsi="Times New Roman" w:cs="Times New Roman"/>
          <w:b/>
          <w:bCs/>
          <w:sz w:val="24"/>
          <w:szCs w:val="24"/>
          <w:highlight w:val="none"/>
        </w:rPr>
        <w:t>谈判文件的澄清</w:t>
      </w:r>
      <w:bookmarkEnd w:id="31"/>
      <w:r>
        <w:rPr>
          <w:rFonts w:hint="default" w:ascii="Times New Roman" w:hAnsi="Times New Roman" w:cs="Times New Roman"/>
          <w:b/>
          <w:bCs/>
          <w:sz w:val="24"/>
          <w:szCs w:val="24"/>
          <w:highlight w:val="none"/>
        </w:rPr>
        <w:t>、修改</w:t>
      </w:r>
      <w:bookmarkEnd w:id="32"/>
      <w:bookmarkEnd w:id="33"/>
      <w:bookmarkEnd w:id="34"/>
      <w:bookmarkEnd w:id="35"/>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7.1 参加谈判申请人应认真审核谈判文件，如有疑问的，谈判申请人可以在“谈判申请人须知前附表”规定截止时间前以澄清函形式（加盖单位章）要求澄清，截止时间后送达的澄清要求概不接受。</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7.2 </w:t>
      </w:r>
      <w:r>
        <w:rPr>
          <w:rFonts w:hint="default" w:ascii="Times New Roman" w:hAnsi="Times New Roman" w:cs="Times New Roman" w:eastAsiaTheme="minorEastAsia"/>
          <w:sz w:val="24"/>
          <w:highlight w:val="none"/>
          <w:lang w:val="en-US" w:eastAsia="zh-CN"/>
        </w:rPr>
        <w:t>采购人</w:t>
      </w:r>
      <w:r>
        <w:rPr>
          <w:rFonts w:hint="default" w:ascii="Times New Roman" w:hAnsi="Times New Roman" w:cs="Times New Roman" w:eastAsiaTheme="minorEastAsia"/>
          <w:sz w:val="24"/>
          <w:highlight w:val="none"/>
        </w:rPr>
        <w:t>将以书面形式答复所有购买谈判文件的谈判申请人（答复中不包含问题的来源）要求澄清的问题，其他澄清方式无效。</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7.3</w:t>
      </w:r>
      <w:r>
        <w:rPr>
          <w:rFonts w:hint="default" w:ascii="Times New Roman" w:hAnsi="Times New Roman" w:cs="Times New Roman" w:eastAsiaTheme="minorEastAsia"/>
          <w:sz w:val="24"/>
          <w:highlight w:val="none"/>
          <w:lang w:val="en-US" w:eastAsia="zh-CN"/>
        </w:rPr>
        <w:t>采购</w:t>
      </w:r>
      <w:r>
        <w:rPr>
          <w:rFonts w:hint="default" w:ascii="Times New Roman" w:hAnsi="Times New Roman" w:cs="Times New Roman" w:eastAsiaTheme="minorEastAsia"/>
          <w:sz w:val="24"/>
          <w:highlight w:val="none"/>
        </w:rPr>
        <w:t>人对已发出的谈判文件进行必要的澄清或者修改的，澄清或者修改的内容作为谈判文件的组成部分。澄清或者修改的内容可能影响响应文件编制的，</w:t>
      </w:r>
      <w:r>
        <w:rPr>
          <w:rFonts w:hint="default" w:ascii="Times New Roman" w:hAnsi="Times New Roman" w:cs="Times New Roman" w:eastAsiaTheme="minorEastAsia"/>
          <w:sz w:val="24"/>
          <w:highlight w:val="none"/>
          <w:lang w:val="en-US" w:eastAsia="zh-CN"/>
        </w:rPr>
        <w:t>采购</w:t>
      </w:r>
      <w:r>
        <w:rPr>
          <w:rFonts w:hint="default" w:ascii="Times New Roman" w:hAnsi="Times New Roman" w:cs="Times New Roman" w:eastAsiaTheme="minorEastAsia"/>
          <w:sz w:val="24"/>
          <w:highlight w:val="none"/>
        </w:rPr>
        <w:t>人</w:t>
      </w:r>
      <w:r>
        <w:rPr>
          <w:rFonts w:hint="default" w:ascii="Times New Roman" w:hAnsi="Times New Roman" w:cs="Times New Roman" w:eastAsiaTheme="minorEastAsia"/>
          <w:sz w:val="24"/>
          <w:highlight w:val="none"/>
          <w:lang w:val="en-US" w:eastAsia="zh-CN"/>
        </w:rPr>
        <w:t>或</w:t>
      </w:r>
      <w:r>
        <w:rPr>
          <w:rFonts w:hint="default" w:ascii="Times New Roman" w:hAnsi="Times New Roman" w:cs="Times New Roman" w:eastAsiaTheme="minorEastAsia"/>
          <w:sz w:val="24"/>
          <w:highlight w:val="none"/>
        </w:rPr>
        <w:t>招标代理机构将在提交首次响应文件截止之日</w:t>
      </w:r>
      <w:r>
        <w:rPr>
          <w:rFonts w:hint="eastAsia"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日前，以书面形式通知所有接收谈判文件的谈判申请人，不足</w:t>
      </w:r>
      <w:r>
        <w:rPr>
          <w:rFonts w:hint="eastAsia"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个日的，将顺延提交首次响应文件截止之日。</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7.4</w:t>
      </w:r>
      <w:r>
        <w:rPr>
          <w:rFonts w:hint="default" w:ascii="Times New Roman" w:hAnsi="Times New Roman" w:cs="Times New Roman" w:eastAsiaTheme="minorEastAsia"/>
          <w:sz w:val="24"/>
          <w:highlight w:val="none"/>
          <w:lang w:val="en-US" w:eastAsia="zh-CN"/>
        </w:rPr>
        <w:t>采购</w:t>
      </w:r>
      <w:r>
        <w:rPr>
          <w:rFonts w:hint="default" w:ascii="Times New Roman" w:hAnsi="Times New Roman" w:cs="Times New Roman" w:eastAsiaTheme="minorEastAsia"/>
          <w:sz w:val="24"/>
          <w:highlight w:val="none"/>
        </w:rPr>
        <w:t>人可以视招标具体情况，推迟递交响应文件截止时间，并将变更时间书面通知所有购买谈判文件的谈判申请人。</w:t>
      </w:r>
    </w:p>
    <w:p>
      <w:pPr>
        <w:adjustRightInd w:val="0"/>
        <w:snapToGrid w:val="0"/>
        <w:spacing w:line="360" w:lineRule="auto"/>
        <w:ind w:firstLine="200"/>
        <w:jc w:val="center"/>
        <w:outlineLvl w:val="1"/>
        <w:rPr>
          <w:rFonts w:hint="default" w:ascii="Times New Roman" w:hAnsi="Times New Roman" w:cs="Times New Roman" w:eastAsiaTheme="minorEastAsia"/>
          <w:b/>
          <w:bCs/>
          <w:sz w:val="24"/>
          <w:highlight w:val="none"/>
        </w:rPr>
      </w:pPr>
      <w:bookmarkStart w:id="36" w:name="_Toc86124051"/>
      <w:bookmarkStart w:id="37" w:name="_Toc535415597"/>
      <w:bookmarkStart w:id="38" w:name="_Toc490599213"/>
      <w:r>
        <w:rPr>
          <w:rFonts w:hint="default" w:ascii="Times New Roman" w:hAnsi="Times New Roman" w:cs="Times New Roman" w:eastAsiaTheme="minorEastAsia"/>
          <w:b/>
          <w:bCs/>
          <w:sz w:val="24"/>
          <w:highlight w:val="none"/>
        </w:rPr>
        <w:t>三、响应文件</w:t>
      </w:r>
      <w:bookmarkEnd w:id="36"/>
      <w:bookmarkEnd w:id="37"/>
      <w:bookmarkEnd w:id="38"/>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39" w:name="_Toc329810195"/>
      <w:bookmarkStart w:id="40" w:name="_Toc535415598"/>
      <w:bookmarkStart w:id="41" w:name="_Toc385344447"/>
      <w:bookmarkStart w:id="42" w:name="_Toc86124052"/>
      <w:bookmarkStart w:id="43" w:name="_Toc490599214"/>
      <w:r>
        <w:rPr>
          <w:rFonts w:hint="default" w:ascii="Times New Roman" w:hAnsi="Times New Roman" w:cs="Times New Roman"/>
          <w:b/>
          <w:bCs/>
          <w:sz w:val="24"/>
          <w:szCs w:val="24"/>
          <w:highlight w:val="none"/>
        </w:rPr>
        <w:t>响应文件编写注意事项</w:t>
      </w:r>
      <w:bookmarkEnd w:id="39"/>
      <w:bookmarkEnd w:id="40"/>
      <w:bookmarkEnd w:id="41"/>
      <w:bookmarkEnd w:id="42"/>
      <w:bookmarkEnd w:id="43"/>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8.1 谈判申请人应仔细阅读谈判文件，在完全了解招标的内容、技术性能要求（见第五章“项目需求及要求”）和商务条件后，编写响应文件。</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8.2 对谈判文件提出的实质性要求和条件作出响应是指谈判申请人必须对谈判文件中规定的中标实质性要求和条件作出满足或者优于原要求和条件的承诺，并提供相应的证明材料。</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44" w:name="_Toc385344448"/>
      <w:bookmarkStart w:id="45" w:name="_Toc490599215"/>
      <w:bookmarkStart w:id="46" w:name="_Toc86124054"/>
      <w:bookmarkStart w:id="47" w:name="_Toc329810196"/>
      <w:bookmarkStart w:id="48" w:name="_Toc535415599"/>
      <w:r>
        <w:rPr>
          <w:rFonts w:hint="default" w:ascii="Times New Roman" w:hAnsi="Times New Roman" w:cs="Times New Roman"/>
          <w:b/>
          <w:bCs/>
          <w:sz w:val="24"/>
          <w:szCs w:val="24"/>
          <w:highlight w:val="none"/>
        </w:rPr>
        <w:t>响应文件构成</w:t>
      </w:r>
      <w:bookmarkEnd w:id="44"/>
      <w:bookmarkEnd w:id="45"/>
      <w:bookmarkEnd w:id="46"/>
      <w:bookmarkEnd w:id="47"/>
      <w:bookmarkEnd w:id="48"/>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谈判申请人编写的响应按第四章“响应文件格式”要求填写。有关文件的提交如未特别注明需提供原件的，可提供复印件。</w:t>
      </w:r>
    </w:p>
    <w:p>
      <w:pPr>
        <w:pStyle w:val="12"/>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2"/>
        <w:jc w:val="left"/>
        <w:textAlignment w:val="auto"/>
        <w:outlineLvl w:val="2"/>
        <w:rPr>
          <w:rFonts w:hint="default" w:ascii="Times New Roman" w:hAnsi="Times New Roman" w:cs="Times New Roman"/>
          <w:b/>
          <w:bCs/>
          <w:sz w:val="24"/>
          <w:szCs w:val="24"/>
          <w:highlight w:val="none"/>
        </w:rPr>
      </w:pPr>
      <w:bookmarkStart w:id="49" w:name="_Toc86124056"/>
      <w:bookmarkStart w:id="50" w:name="_Toc385344449"/>
      <w:bookmarkStart w:id="51" w:name="_Toc535415600"/>
      <w:bookmarkStart w:id="52" w:name="_Toc329810197"/>
      <w:bookmarkStart w:id="53" w:name="_Toc490599216"/>
      <w:r>
        <w:rPr>
          <w:rFonts w:hint="default" w:ascii="Times New Roman" w:hAnsi="Times New Roman" w:cs="Times New Roman"/>
          <w:b/>
          <w:bCs/>
          <w:sz w:val="24"/>
          <w:szCs w:val="24"/>
          <w:highlight w:val="none"/>
        </w:rPr>
        <w:t>报价</w:t>
      </w:r>
      <w:bookmarkEnd w:id="49"/>
      <w:r>
        <w:rPr>
          <w:rFonts w:hint="default" w:ascii="Times New Roman" w:hAnsi="Times New Roman" w:cs="Times New Roman"/>
          <w:b/>
          <w:bCs/>
          <w:sz w:val="24"/>
          <w:szCs w:val="24"/>
          <w:highlight w:val="none"/>
        </w:rPr>
        <w:t>和报价货币</w:t>
      </w:r>
      <w:bookmarkEnd w:id="50"/>
      <w:bookmarkEnd w:id="51"/>
      <w:bookmarkEnd w:id="52"/>
      <w:bookmarkEnd w:id="53"/>
      <w:r>
        <w:rPr>
          <w:rFonts w:hint="default" w:ascii="Times New Roman" w:hAnsi="Times New Roman" w:cs="Times New Roman"/>
          <w:b/>
          <w:bCs/>
          <w:sz w:val="24"/>
          <w:szCs w:val="24"/>
          <w:highlight w:val="none"/>
          <w:lang w:eastAsia="zh-CN"/>
        </w:rPr>
        <w:t>（人民币）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val="0"/>
          <w:color w:val="auto"/>
          <w:sz w:val="24"/>
          <w:szCs w:val="24"/>
          <w:highlight w:val="none"/>
        </w:rPr>
        <w:t>10.1谈判申请人须就“项目需求及服务要求”中所有采购内容作</w:t>
      </w:r>
      <w:r>
        <w:rPr>
          <w:rFonts w:hint="default" w:ascii="Times New Roman" w:hAnsi="Times New Roman" w:cs="Times New Roman" w:eastAsiaTheme="minorEastAsia"/>
          <w:b w:val="0"/>
          <w:sz w:val="24"/>
          <w:szCs w:val="24"/>
          <w:highlight w:val="none"/>
          <w:lang w:eastAsia="zh-CN"/>
        </w:rPr>
        <w:t>最终</w:t>
      </w:r>
      <w:r>
        <w:rPr>
          <w:rFonts w:hint="default" w:ascii="Times New Roman" w:hAnsi="Times New Roman" w:cs="Times New Roman" w:eastAsiaTheme="minorEastAsia"/>
          <w:b w:val="0"/>
          <w:color w:val="auto"/>
          <w:sz w:val="24"/>
          <w:szCs w:val="24"/>
          <w:highlight w:val="none"/>
        </w:rPr>
        <w:t>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kern w:val="2"/>
          <w:sz w:val="24"/>
          <w:szCs w:val="24"/>
          <w:highlight w:val="none"/>
        </w:rPr>
      </w:pPr>
      <w:r>
        <w:rPr>
          <w:rFonts w:hint="default" w:ascii="Times New Roman" w:hAnsi="Times New Roman" w:cs="Times New Roman" w:eastAsiaTheme="minorEastAsia"/>
          <w:color w:val="auto"/>
          <w:kern w:val="2"/>
          <w:sz w:val="24"/>
          <w:szCs w:val="24"/>
          <w:highlight w:val="none"/>
        </w:rPr>
        <w:t>10.2谈判申请人应依据谈判文件的要求及有关资料，执行国家或行业现行技术经济标准、定额及规范，自行测算出满足采购要求的服务的竞争性报价。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color w:val="auto"/>
          <w:kern w:val="2"/>
          <w:sz w:val="24"/>
          <w:szCs w:val="24"/>
          <w:highlight w:val="none"/>
        </w:rPr>
        <w:t>10.3</w:t>
      </w:r>
      <w:r>
        <w:rPr>
          <w:rFonts w:hint="default" w:ascii="Times New Roman" w:hAnsi="Times New Roman" w:cs="Times New Roman" w:eastAsiaTheme="minorEastAsia"/>
          <w:b w:val="0"/>
          <w:color w:val="auto"/>
          <w:kern w:val="2"/>
          <w:sz w:val="24"/>
          <w:szCs w:val="24"/>
          <w:highlight w:val="none"/>
        </w:rPr>
        <w:t>报价指完成本项目所需的一切相关费用</w:t>
      </w:r>
      <w:r>
        <w:rPr>
          <w:rFonts w:hint="default" w:ascii="Times New Roman" w:hAnsi="Times New Roman" w:cs="Times New Roman" w:eastAsiaTheme="minorEastAsia"/>
          <w:color w:val="auto"/>
          <w:kern w:val="2"/>
          <w:sz w:val="24"/>
          <w:szCs w:val="24"/>
          <w:highlight w:val="none"/>
        </w:rPr>
        <w:t>，</w:t>
      </w:r>
      <w:r>
        <w:rPr>
          <w:rFonts w:hint="default" w:ascii="Times New Roman" w:hAnsi="Times New Roman" w:cs="Times New Roman" w:eastAsiaTheme="minorEastAsia"/>
          <w:b w:val="0"/>
          <w:color w:val="auto"/>
          <w:kern w:val="2"/>
          <w:sz w:val="24"/>
          <w:szCs w:val="24"/>
          <w:highlight w:val="none"/>
        </w:rPr>
        <w:t>包含但不仅限于</w:t>
      </w:r>
      <w:r>
        <w:rPr>
          <w:rFonts w:hint="default" w:ascii="Times New Roman" w:hAnsi="Times New Roman" w:cs="Times New Roman" w:eastAsiaTheme="minorEastAsia"/>
          <w:color w:val="auto"/>
          <w:kern w:val="2"/>
          <w:sz w:val="24"/>
          <w:szCs w:val="24"/>
          <w:highlight w:val="none"/>
        </w:rPr>
        <w:t>人工费用、差旅食宿费</w:t>
      </w:r>
      <w:r>
        <w:rPr>
          <w:rFonts w:hint="default" w:ascii="Times New Roman" w:hAnsi="Times New Roman" w:cs="Times New Roman" w:eastAsiaTheme="minorEastAsia"/>
          <w:color w:val="auto"/>
          <w:kern w:val="2"/>
          <w:sz w:val="24"/>
          <w:szCs w:val="24"/>
          <w:highlight w:val="none"/>
          <w:lang w:eastAsia="zh-CN"/>
        </w:rPr>
        <w:t>、税费</w:t>
      </w:r>
      <w:r>
        <w:rPr>
          <w:rFonts w:hint="default" w:ascii="Times New Roman" w:hAnsi="Times New Roman" w:cs="Times New Roman" w:eastAsiaTheme="minorEastAsia"/>
          <w:color w:val="auto"/>
          <w:kern w:val="2"/>
          <w:sz w:val="24"/>
          <w:szCs w:val="24"/>
          <w:highlight w:val="none"/>
        </w:rPr>
        <w:t>等完成本项目所需的一切费用，以及市场价格变化的风险费用、利润、税金等的总和，</w:t>
      </w:r>
      <w:r>
        <w:rPr>
          <w:rFonts w:hint="default" w:ascii="Times New Roman" w:hAnsi="Times New Roman" w:cs="Times New Roman" w:eastAsiaTheme="minorEastAsia"/>
          <w:b w:val="0"/>
          <w:color w:val="auto"/>
          <w:kern w:val="2"/>
          <w:sz w:val="24"/>
          <w:szCs w:val="24"/>
          <w:highlight w:val="none"/>
        </w:rPr>
        <w:t>为包干总价。</w:t>
      </w:r>
      <w:r>
        <w:rPr>
          <w:rFonts w:hint="default" w:ascii="Times New Roman" w:hAnsi="Times New Roman" w:cs="Times New Roman" w:eastAsiaTheme="minorEastAsia"/>
          <w:color w:val="auto"/>
          <w:kern w:val="2"/>
          <w:sz w:val="24"/>
          <w:szCs w:val="24"/>
          <w:highlight w:val="none"/>
        </w:rPr>
        <w:t>谈判申请人应根据本企业的成本自行决定报价，但不得以低于成本的报价竞标。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eastAsiaTheme="minorEastAsia"/>
          <w:b/>
          <w:bCs/>
          <w:color w:val="auto"/>
          <w:kern w:val="2"/>
          <w:sz w:val="24"/>
          <w:szCs w:val="24"/>
          <w:highlight w:val="none"/>
          <w:lang w:val="en-US" w:eastAsia="zh-CN"/>
        </w:rPr>
      </w:pPr>
      <w:r>
        <w:rPr>
          <w:rFonts w:hint="default" w:ascii="Times New Roman" w:hAnsi="Times New Roman" w:cs="Times New Roman" w:eastAsiaTheme="minorEastAsia"/>
          <w:b/>
          <w:bCs/>
          <w:color w:val="auto"/>
          <w:kern w:val="2"/>
          <w:sz w:val="24"/>
          <w:szCs w:val="24"/>
          <w:highlight w:val="none"/>
          <w:lang w:val="en-US" w:eastAsia="zh-CN"/>
        </w:rPr>
        <w:t>10.4通过实质性审查的谈判申请人才能进入谈判程序并进行第二轮报价，第二轮报价为最终报价。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eastAsiaTheme="minorEastAsia"/>
          <w:b/>
          <w:bCs/>
          <w:color w:val="auto"/>
          <w:kern w:val="2"/>
          <w:sz w:val="24"/>
          <w:szCs w:val="24"/>
          <w:highlight w:val="none"/>
          <w:lang w:val="en-US" w:eastAsia="zh-CN"/>
        </w:rPr>
      </w:pPr>
      <w:r>
        <w:rPr>
          <w:rFonts w:hint="default" w:ascii="Times New Roman" w:hAnsi="Times New Roman" w:cs="Times New Roman" w:eastAsiaTheme="minorEastAsia"/>
          <w:b/>
          <w:bCs/>
          <w:color w:val="auto"/>
          <w:kern w:val="2"/>
          <w:sz w:val="24"/>
          <w:szCs w:val="24"/>
          <w:highlight w:val="none"/>
          <w:lang w:val="en-US" w:eastAsia="zh-CN"/>
        </w:rPr>
        <w:t>10.5最终报价文件应由法定代表人或委托代理人签字，在规定的时间统一递交。若已递交的最终报价文件若出现含义不明确、同类问题表述不一致或者签署不完整、有明显文字和计算错误的，可以进行澄清和补充，但不得改变最终报价文件中报价等实质性内容（算术性错误修正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eastAsiaTheme="minorEastAsia"/>
          <w:b/>
          <w:bCs/>
          <w:color w:val="auto"/>
          <w:kern w:val="2"/>
          <w:sz w:val="24"/>
          <w:szCs w:val="24"/>
          <w:highlight w:val="none"/>
          <w:lang w:val="en-US" w:eastAsia="zh-CN"/>
        </w:rPr>
      </w:pPr>
      <w:r>
        <w:rPr>
          <w:rFonts w:hint="default" w:ascii="Times New Roman" w:hAnsi="Times New Roman" w:cs="Times New Roman" w:eastAsiaTheme="minorEastAsia"/>
          <w:b/>
          <w:bCs/>
          <w:color w:val="auto"/>
          <w:kern w:val="2"/>
          <w:sz w:val="24"/>
          <w:szCs w:val="24"/>
          <w:highlight w:val="none"/>
          <w:lang w:val="en-US" w:eastAsia="zh-CN"/>
        </w:rPr>
        <w:t>10.6采购人不承诺最低报价一定成交。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eastAsiaTheme="minorEastAsia"/>
          <w:kern w:val="0"/>
          <w:sz w:val="24"/>
          <w:szCs w:val="24"/>
          <w:highlight w:val="none"/>
          <w:lang w:val="en-US" w:eastAsia="zh-CN" w:bidi="ar-SA"/>
        </w:rPr>
        <w:t>10.</w:t>
      </w:r>
      <w:r>
        <w:rPr>
          <w:rFonts w:hint="eastAsia" w:cs="Times New Roman" w:eastAsiaTheme="minorEastAsia"/>
          <w:kern w:val="0"/>
          <w:sz w:val="24"/>
          <w:szCs w:val="24"/>
          <w:highlight w:val="none"/>
          <w:lang w:val="en-US" w:eastAsia="zh-CN" w:bidi="ar-SA"/>
        </w:rPr>
        <w:t>7</w:t>
      </w:r>
      <w:r>
        <w:rPr>
          <w:rFonts w:hint="default" w:ascii="Times New Roman" w:hAnsi="Times New Roman" w:cs="Times New Roman" w:eastAsiaTheme="minorEastAsia"/>
          <w:color w:val="auto"/>
          <w:kern w:val="0"/>
          <w:sz w:val="24"/>
          <w:szCs w:val="24"/>
          <w:highlight w:val="none"/>
          <w:lang w:val="en-US" w:eastAsia="zh-CN" w:bidi="ar-SA"/>
        </w:rPr>
        <w:t>采购后由能投集团与综合排名第一的机构签订委托代理协</w:t>
      </w:r>
      <w:r>
        <w:rPr>
          <w:rFonts w:hint="default" w:ascii="Times New Roman" w:hAnsi="Times New Roman" w:cs="Times New Roman" w:eastAsiaTheme="minorEastAsia"/>
          <w:color w:val="auto"/>
          <w:kern w:val="0"/>
          <w:sz w:val="24"/>
          <w:szCs w:val="24"/>
          <w:highlight w:val="none"/>
          <w:shd w:val="clear" w:color="auto" w:fill="auto"/>
          <w:lang w:val="en-US" w:eastAsia="zh-CN" w:bidi="ar-SA"/>
        </w:rPr>
        <w:t>议，</w:t>
      </w:r>
      <w:r>
        <w:rPr>
          <w:rFonts w:hint="eastAsia" w:cs="Times New Roman" w:eastAsiaTheme="minorEastAsia"/>
          <w:color w:val="auto"/>
          <w:kern w:val="0"/>
          <w:sz w:val="24"/>
          <w:szCs w:val="24"/>
          <w:highlight w:val="none"/>
          <w:shd w:val="clear" w:color="auto" w:fill="auto"/>
          <w:lang w:val="en-US" w:eastAsia="zh-CN" w:bidi="ar-SA"/>
        </w:rPr>
        <w:t>开展</w:t>
      </w:r>
      <w:r>
        <w:rPr>
          <w:rFonts w:hint="default" w:ascii="Times New Roman" w:hAnsi="Times New Roman" w:cs="Times New Roman" w:eastAsiaTheme="minorEastAsia"/>
          <w:color w:val="auto"/>
          <w:kern w:val="0"/>
          <w:sz w:val="24"/>
          <w:szCs w:val="24"/>
          <w:highlight w:val="none"/>
          <w:shd w:val="clear" w:color="auto" w:fill="auto"/>
          <w:lang w:val="en-US" w:eastAsia="zh-CN" w:bidi="ar-SA"/>
        </w:rPr>
        <w:t>相关事务</w:t>
      </w:r>
      <w:r>
        <w:rPr>
          <w:rFonts w:hint="default" w:ascii="Times New Roman" w:hAnsi="Times New Roman" w:cs="Times New Roman" w:eastAsiaTheme="minorEastAsia"/>
          <w:color w:val="auto"/>
          <w:kern w:val="0"/>
          <w:sz w:val="24"/>
          <w:szCs w:val="24"/>
          <w:highlight w:val="none"/>
          <w:lang w:val="en-US" w:eastAsia="zh-CN" w:bidi="ar-SA"/>
        </w:rPr>
        <w:t>。</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54" w:name="_Toc490599217"/>
      <w:bookmarkStart w:id="55" w:name="_Toc329810198"/>
      <w:bookmarkStart w:id="56" w:name="_Toc535415601"/>
      <w:bookmarkStart w:id="57" w:name="_Toc86124058"/>
      <w:bookmarkStart w:id="58" w:name="_Toc385344450"/>
      <w:r>
        <w:rPr>
          <w:rFonts w:hint="default" w:ascii="Times New Roman" w:hAnsi="Times New Roman" w:cs="Times New Roman"/>
          <w:b/>
          <w:bCs/>
          <w:sz w:val="24"/>
          <w:szCs w:val="24"/>
          <w:highlight w:val="none"/>
        </w:rPr>
        <w:t>有效期</w:t>
      </w:r>
      <w:bookmarkEnd w:id="54"/>
      <w:bookmarkEnd w:id="55"/>
      <w:bookmarkEnd w:id="56"/>
      <w:bookmarkEnd w:id="57"/>
      <w:bookmarkEnd w:id="58"/>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11.1 在“</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”规定的有效期内，谈判申请人不得要求撤销或修改其响应文件。</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11.2 因特殊情况需要延长有效期的，</w:t>
      </w:r>
      <w:r>
        <w:rPr>
          <w:rFonts w:hint="eastAsia" w:cs="Times New Roman" w:eastAsiaTheme="minorEastAsia"/>
          <w:sz w:val="24"/>
          <w:highlight w:val="none"/>
          <w:lang w:eastAsia="zh-CN"/>
        </w:rPr>
        <w:t>采购人</w:t>
      </w:r>
      <w:r>
        <w:rPr>
          <w:rFonts w:hint="default" w:ascii="Times New Roman" w:hAnsi="Times New Roman" w:cs="Times New Roman" w:eastAsiaTheme="minorEastAsia"/>
          <w:sz w:val="24"/>
          <w:highlight w:val="none"/>
        </w:rPr>
        <w:t>以书面形式通知所有谈判申请人延长有效期。谈判申请人同意延长的，</w:t>
      </w:r>
      <w:r>
        <w:rPr>
          <w:rFonts w:hint="eastAsia" w:cs="Times New Roman" w:eastAsiaTheme="minorEastAsia"/>
          <w:sz w:val="24"/>
          <w:highlight w:val="none"/>
          <w:lang w:eastAsia="zh-CN"/>
        </w:rPr>
        <w:t>可以延长</w:t>
      </w:r>
      <w:r>
        <w:rPr>
          <w:rFonts w:hint="default" w:ascii="Times New Roman" w:hAnsi="Times New Roman" w:cs="Times New Roman" w:eastAsiaTheme="minorEastAsia"/>
          <w:sz w:val="24"/>
          <w:highlight w:val="none"/>
        </w:rPr>
        <w:t>但不得要求或被允许修改或撤销其响应文件；谈判申请人拒绝延长的，其响应文件失效。</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59" w:name="_Toc86124059"/>
      <w:bookmarkStart w:id="60" w:name="_Toc329810199"/>
      <w:bookmarkStart w:id="61" w:name="_Toc490599218"/>
      <w:bookmarkStart w:id="62" w:name="_Toc385344451"/>
      <w:bookmarkStart w:id="63" w:name="_Toc535415602"/>
      <w:r>
        <w:rPr>
          <w:rFonts w:hint="default" w:ascii="Times New Roman" w:hAnsi="Times New Roman" w:cs="Times New Roman"/>
          <w:b/>
          <w:bCs/>
          <w:sz w:val="24"/>
          <w:szCs w:val="24"/>
          <w:highlight w:val="none"/>
        </w:rPr>
        <w:t>响应文件的</w:t>
      </w:r>
      <w:bookmarkEnd w:id="59"/>
      <w:bookmarkEnd w:id="60"/>
      <w:r>
        <w:rPr>
          <w:rFonts w:hint="default" w:ascii="Times New Roman" w:hAnsi="Times New Roman" w:cs="Times New Roman"/>
          <w:b/>
          <w:bCs/>
          <w:sz w:val="24"/>
          <w:szCs w:val="24"/>
          <w:highlight w:val="none"/>
        </w:rPr>
        <w:t>编制</w:t>
      </w:r>
      <w:bookmarkEnd w:id="61"/>
      <w:bookmarkEnd w:id="62"/>
      <w:bookmarkEnd w:id="63"/>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12.1 响应文件须用不褪色的墨水书写或打印。并按谈判文件要求由谈判申请人的法定代表人或其委托代理人签字或盖单位章。</w:t>
      </w:r>
      <w:r>
        <w:rPr>
          <w:rFonts w:hint="default" w:ascii="Times New Roman" w:hAnsi="Times New Roman" w:cs="Times New Roman" w:eastAsiaTheme="minorEastAsia"/>
          <w:b/>
          <w:sz w:val="24"/>
          <w:highlight w:val="none"/>
        </w:rPr>
        <w:t>委托代理人签字的，响应文件应附法定代表人签署的授权委托书。</w:t>
      </w:r>
    </w:p>
    <w:p>
      <w:pPr>
        <w:adjustRightInd w:val="0"/>
        <w:snapToGrid w:val="0"/>
        <w:spacing w:line="360" w:lineRule="auto"/>
        <w:ind w:firstLine="420" w:firstLineChars="175"/>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12.2 响应文件应尽量避免涂改、行间插字或删除。如果出现上述情况，改动之处应加盖单位章或谈判申请人法定代表人或其授权的代理人签字确认。</w:t>
      </w:r>
    </w:p>
    <w:p>
      <w:pPr>
        <w:adjustRightInd w:val="0"/>
        <w:snapToGrid w:val="0"/>
        <w:spacing w:line="360" w:lineRule="auto"/>
        <w:ind w:firstLine="420" w:firstLineChars="175"/>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12.3响应文件应由法定代表人或其委托代理人在凡规定签字（或盖章）处逐一签字或盖章，要求盖章处应盖单位章，若以谈判专用章或合同专用章代替的，须出具谈判申请人单位公章对谈判专用章或合同专用章的授权函原件。</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12.4 响应文件应准备正本一份，并按“</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”中规定的数量准备文件的副本。响应文件封面上应标明“</w:t>
      </w:r>
      <w:r>
        <w:rPr>
          <w:rFonts w:hint="default" w:ascii="Times New Roman" w:hAnsi="Times New Roman" w:cs="Times New Roman" w:eastAsiaTheme="minorEastAsia"/>
          <w:b/>
          <w:sz w:val="24"/>
          <w:highlight w:val="none"/>
        </w:rPr>
        <w:t>正本</w:t>
      </w:r>
      <w:r>
        <w:rPr>
          <w:rFonts w:hint="default" w:ascii="Times New Roman" w:hAnsi="Times New Roman" w:cs="Times New Roman" w:eastAsiaTheme="minorEastAsia"/>
          <w:sz w:val="24"/>
          <w:highlight w:val="none"/>
        </w:rPr>
        <w:t>”或“</w:t>
      </w:r>
      <w:r>
        <w:rPr>
          <w:rFonts w:hint="default" w:ascii="Times New Roman" w:hAnsi="Times New Roman" w:cs="Times New Roman" w:eastAsiaTheme="minorEastAsia"/>
          <w:b/>
          <w:sz w:val="24"/>
          <w:highlight w:val="none"/>
        </w:rPr>
        <w:t>副本</w:t>
      </w:r>
      <w:r>
        <w:rPr>
          <w:rFonts w:hint="default" w:ascii="Times New Roman" w:hAnsi="Times New Roman" w:cs="Times New Roman" w:eastAsiaTheme="minorEastAsia"/>
          <w:sz w:val="24"/>
          <w:highlight w:val="none"/>
        </w:rPr>
        <w:t>”以及项目名称、项目编号、谈判申请人名称、包号（分包时）等内容。若正本和副本不符，以正本为准。</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12.5 响应文件正本与副本应分别装订成册，并编制目录。响应文件装订应牢固，不得采用活页夹，并要求逐页标注连续页码。</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64" w:name="_Toc329810200"/>
      <w:bookmarkStart w:id="65" w:name="_Toc385344452"/>
      <w:bookmarkStart w:id="66" w:name="_Toc490599219"/>
      <w:bookmarkStart w:id="67" w:name="_Toc535415603"/>
      <w:r>
        <w:rPr>
          <w:rFonts w:hint="default" w:ascii="Times New Roman" w:hAnsi="Times New Roman" w:cs="Times New Roman"/>
          <w:b/>
          <w:bCs/>
          <w:sz w:val="24"/>
          <w:szCs w:val="24"/>
          <w:highlight w:val="none"/>
        </w:rPr>
        <w:t>谈判保证金</w:t>
      </w:r>
      <w:bookmarkEnd w:id="64"/>
      <w:bookmarkEnd w:id="65"/>
      <w:bookmarkEnd w:id="66"/>
      <w:bookmarkEnd w:id="67"/>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shd w:val="clear" w:color="auto" w:fill="auto"/>
          <w:lang w:val="en-US" w:eastAsia="zh-CN"/>
        </w:rPr>
        <w:t>本次</w:t>
      </w:r>
      <w:r>
        <w:rPr>
          <w:rFonts w:hint="default" w:ascii="Times New Roman" w:hAnsi="Times New Roman" w:cs="Times New Roman" w:eastAsiaTheme="minorEastAsia"/>
          <w:sz w:val="24"/>
          <w:highlight w:val="none"/>
          <w:shd w:val="clear" w:color="auto" w:fill="auto"/>
        </w:rPr>
        <w:t>谈判</w:t>
      </w:r>
      <w:r>
        <w:rPr>
          <w:rFonts w:hint="default" w:ascii="Times New Roman" w:hAnsi="Times New Roman" w:cs="Times New Roman" w:eastAsiaTheme="minorEastAsia"/>
          <w:sz w:val="24"/>
          <w:highlight w:val="none"/>
          <w:shd w:val="clear" w:color="auto" w:fill="auto"/>
          <w:lang w:val="en-US" w:eastAsia="zh-CN"/>
        </w:rPr>
        <w:t>无需提交</w:t>
      </w:r>
      <w:r>
        <w:rPr>
          <w:rFonts w:hint="default" w:ascii="Times New Roman" w:hAnsi="Times New Roman" w:cs="Times New Roman" w:eastAsiaTheme="minorEastAsia"/>
          <w:sz w:val="24"/>
          <w:highlight w:val="none"/>
          <w:shd w:val="clear" w:color="auto" w:fill="auto"/>
        </w:rPr>
        <w:t>保证金</w:t>
      </w:r>
      <w:r>
        <w:rPr>
          <w:rFonts w:hint="default" w:ascii="Times New Roman" w:hAnsi="Times New Roman" w:cs="Times New Roman" w:eastAsiaTheme="minorEastAsia"/>
          <w:sz w:val="24"/>
          <w:highlight w:val="none"/>
        </w:rPr>
        <w:t>。</w:t>
      </w:r>
    </w:p>
    <w:p>
      <w:pPr>
        <w:adjustRightInd w:val="0"/>
        <w:snapToGrid w:val="0"/>
        <w:spacing w:line="360" w:lineRule="auto"/>
        <w:ind w:firstLine="200"/>
        <w:jc w:val="center"/>
        <w:outlineLvl w:val="1"/>
        <w:rPr>
          <w:rFonts w:hint="default" w:ascii="Times New Roman" w:hAnsi="Times New Roman" w:cs="Times New Roman" w:eastAsiaTheme="minorEastAsia"/>
          <w:b/>
          <w:bCs/>
          <w:sz w:val="24"/>
          <w:highlight w:val="none"/>
        </w:rPr>
      </w:pPr>
      <w:bookmarkStart w:id="68" w:name="_Toc490599220"/>
      <w:bookmarkStart w:id="69" w:name="_Toc535415604"/>
      <w:bookmarkStart w:id="70" w:name="_Toc86124061"/>
      <w:r>
        <w:rPr>
          <w:rFonts w:hint="default" w:ascii="Times New Roman" w:hAnsi="Times New Roman" w:cs="Times New Roman" w:eastAsiaTheme="minorEastAsia"/>
          <w:b/>
          <w:bCs/>
          <w:sz w:val="24"/>
          <w:highlight w:val="none"/>
        </w:rPr>
        <w:t>四、响应文件的提交</w:t>
      </w:r>
      <w:bookmarkEnd w:id="68"/>
      <w:bookmarkEnd w:id="69"/>
      <w:bookmarkEnd w:id="70"/>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71" w:name="_Toc86124062"/>
      <w:bookmarkStart w:id="72" w:name="_Toc385344454"/>
      <w:bookmarkStart w:id="73" w:name="_Toc329810202"/>
      <w:bookmarkStart w:id="74" w:name="_Toc535415605"/>
      <w:bookmarkStart w:id="75" w:name="_Toc490599221"/>
      <w:r>
        <w:rPr>
          <w:rFonts w:hint="default" w:ascii="Times New Roman" w:hAnsi="Times New Roman" w:cs="Times New Roman"/>
          <w:b/>
          <w:bCs/>
          <w:sz w:val="24"/>
          <w:szCs w:val="24"/>
          <w:highlight w:val="none"/>
        </w:rPr>
        <w:t>响应文件的密封与标记</w:t>
      </w:r>
      <w:bookmarkEnd w:id="71"/>
      <w:bookmarkEnd w:id="72"/>
      <w:bookmarkEnd w:id="73"/>
      <w:bookmarkEnd w:id="74"/>
      <w:bookmarkEnd w:id="75"/>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14.1 谈判申请人应按“</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”中规定的正本和副本的数量提交响应文件。</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14.2 谈判申请人应将正、副本文件加以密封，并在封贴处盖密封章（或公章）。</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14.3 响应文件袋的封面应注明项目名称</w:t>
      </w:r>
      <w:r>
        <w:rPr>
          <w:rFonts w:hint="eastAsia" w:cs="Times New Roman" w:eastAsiaTheme="minorEastAsia"/>
          <w:sz w:val="24"/>
          <w:highlight w:val="none"/>
          <w:lang w:eastAsia="zh-CN"/>
        </w:rPr>
        <w:t>、</w:t>
      </w:r>
      <w:r>
        <w:rPr>
          <w:rFonts w:hint="default" w:ascii="Times New Roman" w:hAnsi="Times New Roman" w:cs="Times New Roman" w:eastAsiaTheme="minorEastAsia"/>
          <w:sz w:val="24"/>
          <w:highlight w:val="none"/>
        </w:rPr>
        <w:t>谈判申请人名称、详细通讯地址、邮政编码。</w:t>
      </w:r>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76" w:name="_Toc86124063"/>
      <w:bookmarkStart w:id="77" w:name="_Toc385344455"/>
      <w:bookmarkStart w:id="78" w:name="_Toc329810203"/>
      <w:bookmarkStart w:id="79" w:name="_Toc535415606"/>
      <w:bookmarkStart w:id="80" w:name="_Toc490599222"/>
      <w:r>
        <w:rPr>
          <w:rFonts w:hint="default" w:ascii="Times New Roman" w:hAnsi="Times New Roman" w:cs="Times New Roman"/>
          <w:b/>
          <w:bCs/>
          <w:sz w:val="24"/>
          <w:szCs w:val="24"/>
          <w:highlight w:val="none"/>
        </w:rPr>
        <w:t>递交响应文件的截止时间和地点</w:t>
      </w:r>
      <w:bookmarkEnd w:id="76"/>
      <w:bookmarkEnd w:id="77"/>
      <w:bookmarkEnd w:id="78"/>
      <w:bookmarkEnd w:id="79"/>
      <w:bookmarkEnd w:id="80"/>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15.1 响应文件的递交不得迟于“</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”规定的递交响应文件截止时间。</w:t>
      </w:r>
      <w:r>
        <w:rPr>
          <w:rFonts w:hint="default" w:ascii="Times New Roman" w:hAnsi="Times New Roman" w:cs="Times New Roman" w:eastAsiaTheme="minorEastAsia"/>
          <w:b/>
          <w:sz w:val="24"/>
          <w:highlight w:val="none"/>
        </w:rPr>
        <w:t>逾期送达的响应文件，招标人不予接收。</w:t>
      </w:r>
    </w:p>
    <w:p>
      <w:pPr>
        <w:adjustRightInd w:val="0"/>
        <w:snapToGrid w:val="0"/>
        <w:spacing w:line="360" w:lineRule="auto"/>
        <w:ind w:firstLine="480" w:firstLineChars="200"/>
        <w:jc w:val="left"/>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sz w:val="24"/>
          <w:highlight w:val="none"/>
        </w:rPr>
        <w:t>15.2 谈判申请人必须在规定时间内将响应文件递交到“</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”规定的地点。</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15.3除“</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”另有规定外，谈判申请人所递交的响应文件不予退还。</w:t>
      </w:r>
    </w:p>
    <w:p>
      <w:pPr>
        <w:adjustRightInd w:val="0"/>
        <w:snapToGrid w:val="0"/>
        <w:spacing w:line="360" w:lineRule="auto"/>
        <w:ind w:firstLine="200"/>
        <w:jc w:val="center"/>
        <w:outlineLvl w:val="1"/>
        <w:rPr>
          <w:rFonts w:hint="default" w:ascii="Times New Roman" w:hAnsi="Times New Roman" w:cs="Times New Roman" w:eastAsiaTheme="minorEastAsia"/>
          <w:b/>
          <w:bCs/>
          <w:sz w:val="24"/>
          <w:highlight w:val="none"/>
        </w:rPr>
      </w:pPr>
      <w:bookmarkStart w:id="81" w:name="_Toc535415607"/>
      <w:bookmarkStart w:id="82" w:name="_Toc490599223"/>
      <w:bookmarkStart w:id="83" w:name="_Toc86124064"/>
      <w:r>
        <w:rPr>
          <w:rFonts w:hint="default" w:ascii="Times New Roman" w:hAnsi="Times New Roman" w:cs="Times New Roman" w:eastAsiaTheme="minorEastAsia"/>
          <w:b/>
          <w:bCs/>
          <w:sz w:val="24"/>
          <w:highlight w:val="none"/>
        </w:rPr>
        <w:t>五、谈判</w:t>
      </w:r>
      <w:bookmarkEnd w:id="81"/>
      <w:bookmarkEnd w:id="82"/>
      <w:bookmarkEnd w:id="83"/>
    </w:p>
    <w:p>
      <w:pPr>
        <w:pStyle w:val="12"/>
        <w:numPr>
          <w:ilvl w:val="0"/>
          <w:numId w:val="1"/>
        </w:numPr>
        <w:adjustRightInd w:val="0"/>
        <w:snapToGrid w:val="0"/>
        <w:spacing w:line="360" w:lineRule="auto"/>
        <w:ind w:left="0" w:firstLine="482"/>
        <w:jc w:val="left"/>
        <w:outlineLvl w:val="2"/>
        <w:rPr>
          <w:rFonts w:hint="default" w:ascii="Times New Roman" w:hAnsi="Times New Roman" w:cs="Times New Roman"/>
          <w:b/>
          <w:bCs/>
          <w:sz w:val="24"/>
          <w:szCs w:val="24"/>
          <w:highlight w:val="none"/>
        </w:rPr>
      </w:pPr>
      <w:bookmarkStart w:id="84" w:name="_Toc490599224"/>
      <w:bookmarkStart w:id="85" w:name="_Toc535415608"/>
      <w:bookmarkStart w:id="86" w:name="_Toc385344457"/>
      <w:bookmarkStart w:id="87" w:name="_Toc329810205"/>
      <w:r>
        <w:rPr>
          <w:rFonts w:hint="default" w:ascii="Times New Roman" w:hAnsi="Times New Roman" w:cs="Times New Roman"/>
          <w:b/>
          <w:bCs/>
          <w:sz w:val="24"/>
          <w:szCs w:val="24"/>
          <w:highlight w:val="none"/>
        </w:rPr>
        <w:t>谈判</w:t>
      </w:r>
      <w:bookmarkEnd w:id="84"/>
      <w:bookmarkEnd w:id="85"/>
      <w:bookmarkEnd w:id="86"/>
      <w:bookmarkEnd w:id="87"/>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16.1采购人将在“</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”规定的时间和地点进行谈判，谈判申请人的法定代表人或其委托代理人应按时参加。</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16.2谈判由谈判小组负责。谈判小组由采购人</w:t>
      </w:r>
      <w:r>
        <w:rPr>
          <w:rFonts w:hint="default" w:ascii="Times New Roman" w:hAnsi="Times New Roman" w:cs="Times New Roman" w:eastAsiaTheme="minorEastAsia"/>
          <w:sz w:val="24"/>
          <w:highlight w:val="none"/>
          <w:lang w:val="en-US" w:eastAsia="zh-CN"/>
        </w:rPr>
        <w:t>相关部室具备</w:t>
      </w:r>
      <w:r>
        <w:rPr>
          <w:rFonts w:hint="default" w:ascii="Times New Roman" w:hAnsi="Times New Roman" w:cs="Times New Roman" w:eastAsiaTheme="minorEastAsia"/>
          <w:sz w:val="24"/>
          <w:highlight w:val="none"/>
          <w:shd w:val="clear" w:color="auto" w:fill="auto"/>
        </w:rPr>
        <w:t>有关</w:t>
      </w:r>
      <w:r>
        <w:rPr>
          <w:rFonts w:hint="default" w:ascii="Times New Roman" w:hAnsi="Times New Roman" w:cs="Times New Roman" w:eastAsiaTheme="minorEastAsia"/>
          <w:sz w:val="24"/>
          <w:highlight w:val="none"/>
          <w:shd w:val="clear" w:color="auto" w:fill="auto"/>
          <w:lang w:val="en-US" w:eastAsia="zh-CN"/>
        </w:rPr>
        <w:t>财会、</w:t>
      </w:r>
      <w:r>
        <w:rPr>
          <w:rFonts w:hint="eastAsia" w:cs="Times New Roman" w:eastAsiaTheme="minorEastAsia"/>
          <w:sz w:val="24"/>
          <w:highlight w:val="none"/>
          <w:shd w:val="clear" w:color="auto" w:fill="auto"/>
          <w:lang w:val="en-US" w:eastAsia="zh-CN"/>
        </w:rPr>
        <w:t>法律</w:t>
      </w:r>
      <w:r>
        <w:rPr>
          <w:rFonts w:hint="default" w:ascii="Times New Roman" w:hAnsi="Times New Roman" w:cs="Times New Roman" w:eastAsiaTheme="minorEastAsia"/>
          <w:sz w:val="24"/>
          <w:highlight w:val="none"/>
          <w:shd w:val="clear" w:color="auto" w:fill="auto"/>
          <w:lang w:val="en-US" w:eastAsia="zh-CN"/>
        </w:rPr>
        <w:t>、经营</w:t>
      </w:r>
      <w:r>
        <w:rPr>
          <w:rFonts w:hint="default" w:ascii="Times New Roman" w:hAnsi="Times New Roman" w:cs="Times New Roman" w:eastAsiaTheme="minorEastAsia"/>
          <w:sz w:val="24"/>
          <w:highlight w:val="none"/>
        </w:rPr>
        <w:t>等方面的</w:t>
      </w:r>
      <w:r>
        <w:rPr>
          <w:rFonts w:hint="default" w:ascii="Times New Roman" w:hAnsi="Times New Roman" w:cs="Times New Roman" w:eastAsiaTheme="minorEastAsia"/>
          <w:sz w:val="24"/>
          <w:highlight w:val="none"/>
          <w:lang w:val="en-US" w:eastAsia="zh-CN"/>
        </w:rPr>
        <w:t>人员</w:t>
      </w:r>
      <w:r>
        <w:rPr>
          <w:rFonts w:hint="default" w:ascii="Times New Roman" w:hAnsi="Times New Roman" w:cs="Times New Roman" w:eastAsiaTheme="minorEastAsia"/>
          <w:sz w:val="24"/>
          <w:highlight w:val="none"/>
        </w:rPr>
        <w:t>组成，成员人数应当为三人及以上单数。</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16.3谈判原则</w:t>
      </w:r>
    </w:p>
    <w:p>
      <w:pPr>
        <w:adjustRightInd w:val="0"/>
        <w:snapToGrid w:val="0"/>
        <w:spacing w:line="360" w:lineRule="auto"/>
        <w:ind w:firstLine="523" w:firstLineChars="218"/>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谈判小组应当从质量和服务均能满足谈判文件实质性响应要求的谈判申请人中，按照最终得分由高到低的顺序推荐</w:t>
      </w:r>
      <w:r>
        <w:rPr>
          <w:rFonts w:hint="default" w:ascii="Times New Roman" w:hAnsi="Times New Roman" w:cs="Times New Roman" w:eastAsiaTheme="minorEastAsia"/>
          <w:sz w:val="24"/>
          <w:highlight w:val="none"/>
          <w:lang w:val="en-US" w:eastAsia="zh-CN"/>
        </w:rPr>
        <w:t>成交</w:t>
      </w:r>
      <w:r>
        <w:rPr>
          <w:rFonts w:hint="default" w:ascii="Times New Roman" w:hAnsi="Times New Roman" w:cs="Times New Roman" w:eastAsiaTheme="minorEastAsia"/>
          <w:sz w:val="24"/>
          <w:highlight w:val="none"/>
        </w:rPr>
        <w:t>候选人。</w:t>
      </w:r>
    </w:p>
    <w:p>
      <w:pPr>
        <w:tabs>
          <w:tab w:val="left" w:pos="7980"/>
        </w:tabs>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16.4谈判程序和评审方法</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谈判小组按照第六章“谈判程序和评审方法”规定的方法、因素、标准和程序进行谈判。</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16.5谈判文件</w:t>
      </w:r>
      <w:r>
        <w:rPr>
          <w:rFonts w:hint="default" w:ascii="Times New Roman" w:hAnsi="Times New Roman" w:cs="Times New Roman" w:eastAsiaTheme="minorEastAsia"/>
          <w:b/>
          <w:sz w:val="24"/>
          <w:highlight w:val="none"/>
          <w:u w:val="single"/>
        </w:rPr>
        <w:t>第六章“谈判程序和评审方法”实质性要求为谈判文件的实质性内容，未实质性响应谈判文件的谈判申请人的响应文件将按无效处理，该谈判申请人不得再继续参加谈判</w:t>
      </w:r>
      <w:r>
        <w:rPr>
          <w:rFonts w:hint="default" w:ascii="Times New Roman" w:hAnsi="Times New Roman" w:cs="Times New Roman" w:eastAsiaTheme="minorEastAsia"/>
          <w:sz w:val="24"/>
          <w:highlight w:val="none"/>
        </w:rPr>
        <w:t>。</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16.6谈判小组在对响应文件的有效性、完整性和响应程度进行审查时，可以要求谈判申请人对响应文件中含义不明确、同类问题表述不一致或者有明显文字和计算错误的内容等作出必要的澄清、说明或者更正。谈判申请人的澄清、说明或者更正不得超出响应文件的范围或者改变响应文件的实质性内容。</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谈判小组要求谈判申请人澄清、说明或者更正响应文件应当以书面形式作出。谈判申请人的澄清、说明或者更正应当由法定代表人或其授权代表签字或者加盖公章。由授权代表签字的，应当附法定代表人授权书。谈判申请人为自然人的，应当由本人签字并附身份证明。</w:t>
      </w:r>
    </w:p>
    <w:p>
      <w:pPr>
        <w:adjustRightInd w:val="0"/>
        <w:snapToGrid w:val="0"/>
        <w:spacing w:line="360" w:lineRule="auto"/>
        <w:ind w:firstLine="482" w:firstLineChars="200"/>
        <w:jc w:val="left"/>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rPr>
        <w:t>16.7有效响应文件不足三个的情形</w:t>
      </w:r>
    </w:p>
    <w:p>
      <w:pPr>
        <w:adjustRightInd w:val="0"/>
        <w:snapToGrid w:val="0"/>
        <w:spacing w:line="360" w:lineRule="auto"/>
        <w:ind w:firstLine="482" w:firstLineChars="200"/>
        <w:jc w:val="left"/>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rPr>
        <w:t>谈判小组根据竞争性谈判文件的规定，否决不合格投标后，因为有效响应文件不足三个使得投标明显缺乏竞争的，谈判小组可以否决全部投标。若有效投标不足三个，且谈判小组经评审认为投标仍具有竞争力时，可以按评审办法继续评审或进行综合评议推荐中标候选人。</w:t>
      </w:r>
    </w:p>
    <w:p>
      <w:pPr>
        <w:pStyle w:val="12"/>
        <w:numPr>
          <w:ilvl w:val="0"/>
          <w:numId w:val="0"/>
        </w:numPr>
        <w:adjustRightInd w:val="0"/>
        <w:snapToGrid w:val="0"/>
        <w:spacing w:line="360" w:lineRule="auto"/>
        <w:ind w:leftChars="200"/>
        <w:jc w:val="left"/>
        <w:outlineLvl w:val="2"/>
        <w:rPr>
          <w:rFonts w:hint="default" w:ascii="Times New Roman" w:hAnsi="Times New Roman" w:cs="Times New Roman"/>
          <w:b/>
          <w:bCs/>
          <w:sz w:val="24"/>
          <w:szCs w:val="24"/>
          <w:highlight w:val="none"/>
        </w:rPr>
      </w:pPr>
      <w:bookmarkStart w:id="88" w:name="_Toc329810207"/>
      <w:bookmarkStart w:id="89" w:name="_Toc385344458"/>
      <w:bookmarkStart w:id="90" w:name="_Toc490599225"/>
      <w:bookmarkStart w:id="91" w:name="_Toc86124067"/>
      <w:bookmarkStart w:id="92" w:name="_Toc535415609"/>
      <w:r>
        <w:rPr>
          <w:rFonts w:hint="default" w:ascii="Times New Roman" w:hAnsi="Times New Roman" w:cs="Times New Roman"/>
          <w:b/>
          <w:bCs/>
          <w:sz w:val="24"/>
          <w:szCs w:val="24"/>
          <w:highlight w:val="none"/>
          <w:lang w:val="en-US" w:eastAsia="zh-CN"/>
        </w:rPr>
        <w:t>17.</w:t>
      </w:r>
      <w:r>
        <w:rPr>
          <w:rFonts w:hint="default" w:ascii="Times New Roman" w:hAnsi="Times New Roman" w:cs="Times New Roman"/>
          <w:b/>
          <w:bCs/>
          <w:sz w:val="24"/>
          <w:szCs w:val="24"/>
          <w:highlight w:val="none"/>
        </w:rPr>
        <w:t>谈判过程的保密</w:t>
      </w:r>
      <w:bookmarkEnd w:id="88"/>
      <w:bookmarkEnd w:id="89"/>
      <w:bookmarkEnd w:id="90"/>
      <w:bookmarkEnd w:id="91"/>
      <w:bookmarkEnd w:id="92"/>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在谈判中，采用背对背的谈判方式，谈判的任何一方不得透露与谈判有关的其他谈判申请人的技术资料、价格和其他信息。谈判开始后，直到授予谈判申请人合同止，凡是属于审查、澄清、谈判和比较的有关资料以及中标建议等均不向谈判申请人或其他人员透露。</w:t>
      </w:r>
    </w:p>
    <w:p>
      <w:pPr>
        <w:adjustRightInd w:val="0"/>
        <w:snapToGrid w:val="0"/>
        <w:spacing w:line="360" w:lineRule="auto"/>
        <w:ind w:firstLine="200"/>
        <w:jc w:val="center"/>
        <w:outlineLvl w:val="1"/>
        <w:rPr>
          <w:rFonts w:hint="default" w:ascii="Times New Roman" w:hAnsi="Times New Roman" w:cs="Times New Roman" w:eastAsiaTheme="minorEastAsia"/>
          <w:b/>
          <w:bCs/>
          <w:sz w:val="24"/>
          <w:highlight w:val="none"/>
        </w:rPr>
      </w:pPr>
      <w:bookmarkStart w:id="93" w:name="_Toc490599226"/>
      <w:bookmarkStart w:id="94" w:name="_Toc86124069"/>
      <w:bookmarkStart w:id="95" w:name="_Toc535415610"/>
      <w:r>
        <w:rPr>
          <w:rFonts w:hint="default" w:ascii="Times New Roman" w:hAnsi="Times New Roman" w:cs="Times New Roman" w:eastAsiaTheme="minorEastAsia"/>
          <w:b/>
          <w:bCs/>
          <w:sz w:val="24"/>
          <w:highlight w:val="none"/>
        </w:rPr>
        <w:t>六、</w:t>
      </w:r>
      <w:r>
        <w:rPr>
          <w:rFonts w:hint="default" w:ascii="Times New Roman" w:hAnsi="Times New Roman" w:cs="Times New Roman" w:eastAsiaTheme="minorEastAsia"/>
          <w:b/>
          <w:bCs/>
          <w:sz w:val="24"/>
          <w:highlight w:val="none"/>
          <w:lang w:val="en-US" w:eastAsia="zh-CN"/>
        </w:rPr>
        <w:t>成交</w:t>
      </w:r>
      <w:r>
        <w:rPr>
          <w:rFonts w:hint="default" w:ascii="Times New Roman" w:hAnsi="Times New Roman" w:cs="Times New Roman" w:eastAsiaTheme="minorEastAsia"/>
          <w:b/>
          <w:bCs/>
          <w:sz w:val="24"/>
          <w:highlight w:val="none"/>
        </w:rPr>
        <w:t>结果</w:t>
      </w:r>
      <w:bookmarkEnd w:id="93"/>
      <w:bookmarkEnd w:id="94"/>
      <w:bookmarkEnd w:id="95"/>
    </w:p>
    <w:p>
      <w:pPr>
        <w:pStyle w:val="12"/>
        <w:numPr>
          <w:ilvl w:val="0"/>
          <w:numId w:val="0"/>
        </w:numPr>
        <w:adjustRightInd w:val="0"/>
        <w:snapToGrid w:val="0"/>
        <w:spacing w:line="360" w:lineRule="auto"/>
        <w:ind w:leftChars="200"/>
        <w:jc w:val="left"/>
        <w:outlineLvl w:val="2"/>
        <w:rPr>
          <w:rFonts w:hint="default" w:ascii="Times New Roman" w:hAnsi="Times New Roman" w:cs="Times New Roman"/>
          <w:b/>
          <w:bCs/>
          <w:sz w:val="24"/>
          <w:szCs w:val="24"/>
          <w:highlight w:val="none"/>
        </w:rPr>
      </w:pPr>
      <w:bookmarkStart w:id="96" w:name="_Toc535415611"/>
      <w:bookmarkStart w:id="97" w:name="_Toc86124070"/>
      <w:bookmarkStart w:id="98" w:name="_Toc329810210"/>
      <w:bookmarkStart w:id="99" w:name="_Toc385344461"/>
      <w:bookmarkStart w:id="100" w:name="_Toc490599227"/>
      <w:r>
        <w:rPr>
          <w:rFonts w:hint="default" w:ascii="Times New Roman" w:hAnsi="Times New Roman" w:cs="Times New Roman"/>
          <w:b/>
          <w:bCs/>
          <w:sz w:val="24"/>
          <w:szCs w:val="24"/>
          <w:highlight w:val="none"/>
          <w:lang w:val="en-US" w:eastAsia="zh-CN"/>
        </w:rPr>
        <w:t>18.成交</w:t>
      </w:r>
      <w:r>
        <w:rPr>
          <w:rFonts w:hint="default" w:ascii="Times New Roman" w:hAnsi="Times New Roman" w:cs="Times New Roman"/>
          <w:b/>
          <w:bCs/>
          <w:sz w:val="24"/>
          <w:szCs w:val="24"/>
          <w:highlight w:val="none"/>
        </w:rPr>
        <w:t>人的确定</w:t>
      </w:r>
      <w:bookmarkEnd w:id="96"/>
      <w:bookmarkEnd w:id="97"/>
      <w:bookmarkEnd w:id="98"/>
      <w:bookmarkEnd w:id="99"/>
      <w:bookmarkEnd w:id="100"/>
      <w:r>
        <w:rPr>
          <w:rFonts w:hint="default" w:ascii="Times New Roman" w:hAnsi="Times New Roman" w:cs="Times New Roman"/>
          <w:b/>
          <w:bCs/>
          <w:sz w:val="24"/>
          <w:szCs w:val="24"/>
          <w:highlight w:val="none"/>
          <w:lang w:val="en-US" w:eastAsia="zh-CN"/>
        </w:rPr>
        <w:t>及公示</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bookmarkStart w:id="101" w:name="_Toc329810211"/>
      <w:r>
        <w:rPr>
          <w:rFonts w:hint="default" w:ascii="Times New Roman" w:hAnsi="Times New Roman" w:cs="Times New Roman" w:eastAsiaTheme="minorEastAsia"/>
          <w:sz w:val="24"/>
          <w:highlight w:val="none"/>
        </w:rPr>
        <w:t>18.1</w:t>
      </w:r>
      <w:r>
        <w:rPr>
          <w:rFonts w:hint="default" w:ascii="Times New Roman" w:hAnsi="Times New Roman" w:cs="Times New Roman" w:eastAsiaTheme="minorEastAsia"/>
          <w:sz w:val="24"/>
          <w:highlight w:val="none"/>
          <w:lang w:val="en-US" w:eastAsia="zh-CN"/>
        </w:rPr>
        <w:t>采购</w:t>
      </w:r>
      <w:r>
        <w:rPr>
          <w:rFonts w:hint="default" w:ascii="Times New Roman" w:hAnsi="Times New Roman" w:cs="Times New Roman" w:eastAsiaTheme="minorEastAsia"/>
          <w:sz w:val="24"/>
          <w:highlight w:val="none"/>
        </w:rPr>
        <w:t>人应当在（http://zcfb.cnyeig.cn/sjhz/）</w:t>
      </w:r>
      <w:r>
        <w:rPr>
          <w:rFonts w:hint="default" w:ascii="Times New Roman" w:hAnsi="Times New Roman" w:cs="Times New Roman" w:eastAsiaTheme="minorEastAsia"/>
          <w:sz w:val="24"/>
          <w:highlight w:val="none"/>
          <w:lang w:val="en-US" w:eastAsia="zh-CN"/>
        </w:rPr>
        <w:t>公告</w:t>
      </w:r>
      <w:r>
        <w:rPr>
          <w:rFonts w:hint="default" w:ascii="Times New Roman" w:hAnsi="Times New Roman" w:cs="Times New Roman" w:eastAsiaTheme="minorEastAsia"/>
          <w:sz w:val="24"/>
          <w:highlight w:val="none"/>
        </w:rPr>
        <w:t>公开竞争性谈判结果，公示期满</w:t>
      </w:r>
      <w:r>
        <w:rPr>
          <w:rFonts w:hint="default" w:ascii="Times New Roman" w:hAnsi="Times New Roman" w:cs="Times New Roman" w:eastAsiaTheme="minorEastAsia"/>
          <w:sz w:val="24"/>
          <w:highlight w:val="none"/>
          <w:lang w:val="en-US" w:eastAsia="zh-CN"/>
        </w:rPr>
        <w:t>采购人</w:t>
      </w:r>
      <w:r>
        <w:rPr>
          <w:rFonts w:hint="default" w:ascii="Times New Roman" w:hAnsi="Times New Roman" w:cs="Times New Roman" w:eastAsiaTheme="minorEastAsia"/>
          <w:sz w:val="24"/>
          <w:highlight w:val="none"/>
        </w:rPr>
        <w:t>应按照评审报告中推荐的中标人顺序确定中标人。</w:t>
      </w:r>
    </w:p>
    <w:bookmarkEnd w:id="101"/>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bookmarkStart w:id="102" w:name="_Toc490599229"/>
      <w:bookmarkStart w:id="103" w:name="_Toc329810212"/>
      <w:bookmarkStart w:id="104" w:name="_Toc86124072"/>
      <w:bookmarkStart w:id="105" w:name="_Toc385344463"/>
      <w:r>
        <w:rPr>
          <w:rFonts w:hint="default" w:ascii="Times New Roman" w:hAnsi="Times New Roman" w:cs="Times New Roman" w:eastAsiaTheme="minorEastAsia"/>
          <w:sz w:val="24"/>
          <w:highlight w:val="none"/>
        </w:rPr>
        <w:t>1</w:t>
      </w:r>
      <w:r>
        <w:rPr>
          <w:rFonts w:hint="default" w:ascii="Times New Roman" w:hAnsi="Times New Roman"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公开竞争性谈判结果</w:t>
      </w:r>
      <w:r>
        <w:rPr>
          <w:rFonts w:hint="default" w:ascii="Times New Roman" w:hAnsi="Times New Roman" w:cs="Times New Roman" w:eastAsiaTheme="minorEastAsia"/>
          <w:sz w:val="24"/>
          <w:highlight w:val="none"/>
          <w:lang w:val="en-US" w:eastAsia="zh-CN"/>
        </w:rPr>
        <w:t>公告</w:t>
      </w:r>
      <w:r>
        <w:rPr>
          <w:rFonts w:hint="default" w:ascii="Times New Roman" w:hAnsi="Times New Roman" w:cs="Times New Roman" w:eastAsiaTheme="minorEastAsia"/>
          <w:sz w:val="24"/>
          <w:highlight w:val="none"/>
        </w:rPr>
        <w:t>后，</w:t>
      </w:r>
      <w:r>
        <w:rPr>
          <w:rFonts w:hint="default" w:ascii="Times New Roman" w:hAnsi="Times New Roman" w:cs="Times New Roman" w:eastAsiaTheme="minorEastAsia"/>
          <w:sz w:val="24"/>
          <w:highlight w:val="none"/>
          <w:lang w:val="en-US" w:eastAsia="zh-CN"/>
        </w:rPr>
        <w:t>采购人不再</w:t>
      </w:r>
      <w:r>
        <w:rPr>
          <w:rFonts w:hint="default" w:ascii="Times New Roman" w:hAnsi="Times New Roman" w:cs="Times New Roman" w:eastAsiaTheme="minorEastAsia"/>
          <w:sz w:val="24"/>
          <w:highlight w:val="none"/>
        </w:rPr>
        <w:t>向</w:t>
      </w:r>
      <w:r>
        <w:rPr>
          <w:rFonts w:hint="default" w:ascii="Times New Roman" w:hAnsi="Times New Roman" w:cs="Times New Roman" w:eastAsiaTheme="minorEastAsia"/>
          <w:sz w:val="24"/>
          <w:highlight w:val="none"/>
          <w:lang w:val="en-US" w:eastAsia="zh-CN"/>
        </w:rPr>
        <w:t>成交</w:t>
      </w:r>
      <w:r>
        <w:rPr>
          <w:rFonts w:hint="default" w:ascii="Times New Roman" w:hAnsi="Times New Roman" w:cs="Times New Roman" w:eastAsiaTheme="minorEastAsia"/>
          <w:sz w:val="24"/>
          <w:highlight w:val="none"/>
        </w:rPr>
        <w:t>人发出中标通知书，</w:t>
      </w:r>
      <w:r>
        <w:rPr>
          <w:rFonts w:hint="default" w:ascii="Times New Roman" w:hAnsi="Times New Roman" w:cs="Times New Roman" w:eastAsiaTheme="minorEastAsia"/>
          <w:sz w:val="24"/>
          <w:highlight w:val="none"/>
          <w:lang w:val="en-US" w:eastAsia="zh-CN"/>
        </w:rPr>
        <w:t>也不</w:t>
      </w:r>
      <w:r>
        <w:rPr>
          <w:rFonts w:hint="default" w:ascii="Times New Roman" w:hAnsi="Times New Roman" w:cs="Times New Roman" w:eastAsiaTheme="minorEastAsia"/>
          <w:sz w:val="24"/>
          <w:highlight w:val="none"/>
        </w:rPr>
        <w:t>向未</w:t>
      </w:r>
      <w:r>
        <w:rPr>
          <w:rFonts w:hint="default" w:ascii="Times New Roman" w:hAnsi="Times New Roman" w:cs="Times New Roman" w:eastAsiaTheme="minorEastAsia"/>
          <w:sz w:val="24"/>
          <w:highlight w:val="none"/>
          <w:lang w:val="en-US" w:eastAsia="zh-CN"/>
        </w:rPr>
        <w:t>成交</w:t>
      </w:r>
      <w:r>
        <w:rPr>
          <w:rFonts w:hint="default" w:ascii="Times New Roman" w:hAnsi="Times New Roman" w:cs="Times New Roman" w:eastAsiaTheme="minorEastAsia"/>
          <w:sz w:val="24"/>
          <w:highlight w:val="none"/>
        </w:rPr>
        <w:t>人发出</w:t>
      </w:r>
      <w:r>
        <w:rPr>
          <w:rFonts w:hint="default" w:ascii="Times New Roman" w:hAnsi="Times New Roman" w:cs="Times New Roman" w:eastAsiaTheme="minorEastAsia"/>
          <w:sz w:val="24"/>
          <w:highlight w:val="none"/>
          <w:lang w:val="en-US" w:eastAsia="zh-CN"/>
        </w:rPr>
        <w:t>未</w:t>
      </w:r>
      <w:r>
        <w:rPr>
          <w:rFonts w:hint="default" w:ascii="Times New Roman" w:hAnsi="Times New Roman" w:cs="Times New Roman" w:eastAsiaTheme="minorEastAsia"/>
          <w:sz w:val="24"/>
          <w:highlight w:val="none"/>
        </w:rPr>
        <w:t>中标结果通知书。</w:t>
      </w:r>
      <w:bookmarkEnd w:id="102"/>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bookmarkStart w:id="106" w:name="_Toc490599230"/>
      <w:r>
        <w:rPr>
          <w:rFonts w:hint="default" w:ascii="Times New Roman" w:hAnsi="Times New Roman" w:cs="Times New Roman" w:eastAsiaTheme="minorEastAsia"/>
          <w:sz w:val="24"/>
          <w:highlight w:val="none"/>
        </w:rPr>
        <w:t>1</w:t>
      </w:r>
      <w:r>
        <w:rPr>
          <w:rFonts w:hint="default" w:ascii="Times New Roman" w:hAnsi="Times New Roman"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3</w:t>
      </w:r>
      <w:bookmarkEnd w:id="106"/>
      <w:bookmarkStart w:id="107" w:name="_Toc490599231"/>
      <w:r>
        <w:rPr>
          <w:rFonts w:hint="default" w:ascii="Times New Roman" w:hAnsi="Times New Roman" w:cs="Times New Roman" w:eastAsiaTheme="minorEastAsia"/>
          <w:sz w:val="24"/>
          <w:highlight w:val="none"/>
          <w:lang w:val="en-US" w:eastAsia="zh-CN"/>
        </w:rPr>
        <w:t>采购人</w:t>
      </w:r>
      <w:r>
        <w:rPr>
          <w:rFonts w:hint="default" w:ascii="Times New Roman" w:hAnsi="Times New Roman" w:cs="Times New Roman" w:eastAsiaTheme="minorEastAsia"/>
          <w:sz w:val="24"/>
          <w:highlight w:val="none"/>
        </w:rPr>
        <w:t>无义务向未中标人解释落标原因和退回响应文件</w:t>
      </w:r>
      <w:r>
        <w:rPr>
          <w:rFonts w:hint="default" w:ascii="Times New Roman" w:hAnsi="Times New Roman" w:cs="Times New Roman" w:eastAsiaTheme="minorEastAsia"/>
          <w:sz w:val="24"/>
          <w:highlight w:val="none"/>
          <w:lang w:val="en-US" w:eastAsia="zh-CN"/>
        </w:rPr>
        <w:t>及相关载体</w:t>
      </w:r>
      <w:r>
        <w:rPr>
          <w:rFonts w:hint="default" w:ascii="Times New Roman" w:hAnsi="Times New Roman" w:cs="Times New Roman" w:eastAsiaTheme="minorEastAsia"/>
          <w:sz w:val="24"/>
          <w:highlight w:val="none"/>
        </w:rPr>
        <w:t>。</w:t>
      </w:r>
      <w:bookmarkEnd w:id="107"/>
    </w:p>
    <w:p>
      <w:pPr>
        <w:pStyle w:val="12"/>
        <w:numPr>
          <w:ilvl w:val="0"/>
          <w:numId w:val="0"/>
        </w:numPr>
        <w:adjustRightInd w:val="0"/>
        <w:snapToGrid w:val="0"/>
        <w:spacing w:line="360" w:lineRule="auto"/>
        <w:ind w:leftChars="200"/>
        <w:jc w:val="left"/>
        <w:outlineLvl w:val="2"/>
        <w:rPr>
          <w:rFonts w:hint="default" w:ascii="Times New Roman" w:hAnsi="Times New Roman" w:cs="Times New Roman"/>
          <w:b/>
          <w:bCs/>
          <w:sz w:val="24"/>
          <w:szCs w:val="24"/>
          <w:highlight w:val="none"/>
        </w:rPr>
      </w:pPr>
      <w:bookmarkStart w:id="108" w:name="_Toc535415613"/>
      <w:bookmarkStart w:id="109" w:name="_Toc490599232"/>
      <w:r>
        <w:rPr>
          <w:rFonts w:hint="default" w:ascii="Times New Roman" w:hAnsi="Times New Roman" w:cs="Times New Roman"/>
          <w:b/>
          <w:bCs/>
          <w:sz w:val="24"/>
          <w:szCs w:val="24"/>
          <w:highlight w:val="none"/>
          <w:lang w:val="en-US" w:eastAsia="zh-CN"/>
        </w:rPr>
        <w:t>19.</w:t>
      </w:r>
      <w:r>
        <w:rPr>
          <w:rFonts w:hint="default" w:ascii="Times New Roman" w:hAnsi="Times New Roman" w:cs="Times New Roman"/>
          <w:b/>
          <w:bCs/>
          <w:sz w:val="24"/>
          <w:szCs w:val="24"/>
          <w:highlight w:val="none"/>
        </w:rPr>
        <w:t>签订合同</w:t>
      </w:r>
      <w:bookmarkEnd w:id="103"/>
      <w:bookmarkEnd w:id="104"/>
      <w:bookmarkEnd w:id="105"/>
      <w:bookmarkEnd w:id="108"/>
      <w:bookmarkEnd w:id="109"/>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bookmarkStart w:id="110" w:name="_Toc86124073"/>
      <w:bookmarkStart w:id="111" w:name="_Toc329810213"/>
      <w:r>
        <w:rPr>
          <w:rFonts w:hint="default" w:ascii="Times New Roman" w:hAnsi="Times New Roman" w:cs="Times New Roman" w:eastAsiaTheme="minorEastAsia"/>
          <w:sz w:val="24"/>
          <w:highlight w:val="none"/>
          <w:lang w:val="en-US" w:eastAsia="zh-CN"/>
        </w:rPr>
        <w:t>19</w:t>
      </w:r>
      <w:r>
        <w:rPr>
          <w:rFonts w:hint="default" w:ascii="Times New Roman" w:hAnsi="Times New Roman" w:cs="Times New Roman" w:eastAsiaTheme="minorEastAsia"/>
          <w:sz w:val="24"/>
          <w:highlight w:val="none"/>
        </w:rPr>
        <w:t>.1</w:t>
      </w:r>
      <w:r>
        <w:rPr>
          <w:rFonts w:hint="default" w:ascii="Times New Roman" w:hAnsi="Times New Roman" w:cs="Times New Roman" w:eastAsiaTheme="minorEastAsia"/>
          <w:sz w:val="24"/>
          <w:highlight w:val="none"/>
          <w:lang w:val="en-US" w:eastAsia="zh-CN"/>
        </w:rPr>
        <w:t>成交</w:t>
      </w:r>
      <w:r>
        <w:rPr>
          <w:rFonts w:hint="default" w:ascii="Times New Roman" w:hAnsi="Times New Roman" w:cs="Times New Roman" w:eastAsiaTheme="minorEastAsia"/>
          <w:sz w:val="24"/>
          <w:highlight w:val="none"/>
        </w:rPr>
        <w:t>人在公开竞争性谈判结果公告期满后，按竞争性谈判文件、响应文件及有关澄清承诺书的要求与招标人签订合同。</w:t>
      </w:r>
    </w:p>
    <w:p>
      <w:pPr>
        <w:pStyle w:val="12"/>
        <w:numPr>
          <w:ilvl w:val="0"/>
          <w:numId w:val="0"/>
        </w:numPr>
        <w:adjustRightInd w:val="0"/>
        <w:snapToGrid w:val="0"/>
        <w:spacing w:line="360" w:lineRule="auto"/>
        <w:ind w:leftChars="200"/>
        <w:jc w:val="left"/>
        <w:outlineLvl w:val="2"/>
        <w:rPr>
          <w:rFonts w:hint="default" w:ascii="Times New Roman" w:hAnsi="Times New Roman" w:cs="Times New Roman"/>
          <w:b/>
          <w:bCs/>
          <w:sz w:val="24"/>
          <w:szCs w:val="24"/>
          <w:highlight w:val="none"/>
        </w:rPr>
      </w:pPr>
      <w:bookmarkStart w:id="112" w:name="_Toc490599233"/>
      <w:bookmarkStart w:id="113" w:name="_Toc385344464"/>
      <w:bookmarkStart w:id="114" w:name="_Toc535415614"/>
      <w:r>
        <w:rPr>
          <w:rFonts w:hint="default" w:ascii="Times New Roman" w:hAnsi="Times New Roman" w:cs="Times New Roman"/>
          <w:b/>
          <w:bCs/>
          <w:sz w:val="24"/>
          <w:szCs w:val="24"/>
          <w:highlight w:val="none"/>
          <w:lang w:val="en-US" w:eastAsia="zh-CN"/>
        </w:rPr>
        <w:t>20.</w:t>
      </w:r>
      <w:r>
        <w:rPr>
          <w:rFonts w:hint="default" w:ascii="Times New Roman" w:hAnsi="Times New Roman" w:cs="Times New Roman"/>
          <w:b/>
          <w:bCs/>
          <w:sz w:val="24"/>
          <w:szCs w:val="24"/>
          <w:highlight w:val="none"/>
        </w:rPr>
        <w:t>履约</w:t>
      </w:r>
      <w:bookmarkEnd w:id="110"/>
      <w:bookmarkEnd w:id="111"/>
      <w:bookmarkEnd w:id="112"/>
      <w:bookmarkEnd w:id="113"/>
      <w:r>
        <w:rPr>
          <w:rFonts w:hint="default" w:ascii="Times New Roman" w:hAnsi="Times New Roman" w:cs="Times New Roman"/>
          <w:b/>
          <w:bCs/>
          <w:sz w:val="24"/>
          <w:szCs w:val="24"/>
          <w:highlight w:val="none"/>
        </w:rPr>
        <w:t>担保</w:t>
      </w:r>
      <w:bookmarkEnd w:id="114"/>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以“谈判申请人须知前附表”上确定的为准。</w:t>
      </w:r>
    </w:p>
    <w:p>
      <w:pPr>
        <w:adjustRightInd w:val="0"/>
        <w:snapToGrid w:val="0"/>
        <w:spacing w:line="360" w:lineRule="auto"/>
        <w:ind w:firstLine="200"/>
        <w:jc w:val="center"/>
        <w:outlineLvl w:val="1"/>
        <w:rPr>
          <w:rFonts w:hint="default" w:ascii="Times New Roman" w:hAnsi="Times New Roman" w:cs="Times New Roman" w:eastAsiaTheme="minorEastAsia"/>
          <w:b/>
          <w:bCs/>
          <w:sz w:val="24"/>
          <w:highlight w:val="none"/>
        </w:rPr>
      </w:pPr>
      <w:bookmarkStart w:id="115" w:name="_Toc490599234"/>
      <w:bookmarkStart w:id="116" w:name="_Toc86124074"/>
      <w:bookmarkStart w:id="117" w:name="_Toc535415615"/>
      <w:r>
        <w:rPr>
          <w:rFonts w:hint="default" w:ascii="Times New Roman" w:hAnsi="Times New Roman" w:cs="Times New Roman" w:eastAsiaTheme="minorEastAsia"/>
          <w:b/>
          <w:bCs/>
          <w:sz w:val="24"/>
          <w:highlight w:val="none"/>
        </w:rPr>
        <w:t>七、其他事项</w:t>
      </w:r>
      <w:bookmarkEnd w:id="115"/>
      <w:bookmarkEnd w:id="116"/>
      <w:bookmarkEnd w:id="117"/>
    </w:p>
    <w:p>
      <w:pPr>
        <w:pStyle w:val="12"/>
        <w:numPr>
          <w:ilvl w:val="0"/>
          <w:numId w:val="0"/>
        </w:numPr>
        <w:adjustRightInd w:val="0"/>
        <w:snapToGrid w:val="0"/>
        <w:spacing w:line="360" w:lineRule="auto"/>
        <w:ind w:leftChars="200"/>
        <w:jc w:val="left"/>
        <w:outlineLvl w:val="2"/>
        <w:rPr>
          <w:rFonts w:hint="default" w:ascii="Times New Roman" w:hAnsi="Times New Roman" w:cs="Times New Roman"/>
          <w:b/>
          <w:bCs/>
          <w:sz w:val="24"/>
          <w:szCs w:val="24"/>
          <w:highlight w:val="none"/>
        </w:rPr>
      </w:pPr>
      <w:bookmarkStart w:id="118" w:name="_Toc535415616"/>
      <w:bookmarkStart w:id="119" w:name="_Toc490599235"/>
      <w:bookmarkStart w:id="120" w:name="_Toc329810216"/>
      <w:bookmarkStart w:id="121" w:name="_Toc86124075"/>
      <w:bookmarkStart w:id="122" w:name="_Toc385344467"/>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shd w:val="clear" w:color="auto" w:fill="auto"/>
          <w:lang w:val="en-US" w:eastAsia="zh-CN"/>
        </w:rPr>
        <w:t>1</w:t>
      </w:r>
      <w:r>
        <w:rPr>
          <w:rFonts w:hint="default" w:ascii="Times New Roman" w:hAnsi="Times New Roman" w:cs="Times New Roman"/>
          <w:b/>
          <w:bCs/>
          <w:sz w:val="24"/>
          <w:szCs w:val="24"/>
          <w:highlight w:val="none"/>
          <w:lang w:val="en-US" w:eastAsia="zh-CN"/>
        </w:rPr>
        <w:t>.</w:t>
      </w:r>
      <w:r>
        <w:rPr>
          <w:rFonts w:hint="default" w:ascii="Times New Roman" w:hAnsi="Times New Roman" w:cs="Times New Roman"/>
          <w:b/>
          <w:bCs/>
          <w:sz w:val="24"/>
          <w:szCs w:val="24"/>
          <w:highlight w:val="none"/>
        </w:rPr>
        <w:t>投诉</w:t>
      </w:r>
      <w:bookmarkEnd w:id="118"/>
      <w:bookmarkEnd w:id="119"/>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rPr>
        <w:t>.1谈判申请人和其他利害关系人认为本次谈判活动违反法律、法规和规章规定的，有权向有关行政监督部门投诉。</w:t>
      </w: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rPr>
        <w:t>.2对发现在本次谈判、评审过程中存在的任何违规、违纪情况也可以向云南省能源投资集团有限公司纪检监察室网络举报平台举报（</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"http://www.cnyeig.com/）或进行电话举报0871-64980408"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sz w:val="24"/>
          <w:highlight w:val="none"/>
        </w:rPr>
        <w:t>http://www.cnyeig.com/）或进行电话举报0871-64980408</w:t>
      </w:r>
      <w:r>
        <w:rPr>
          <w:rFonts w:hint="default" w:ascii="Times New Roman" w:hAnsi="Times New Roman" w:cs="Times New Roman" w:eastAsiaTheme="minorEastAsia"/>
          <w:sz w:val="24"/>
          <w:highlight w:val="none"/>
        </w:rPr>
        <w:fldChar w:fldCharType="end"/>
      </w:r>
      <w:r>
        <w:rPr>
          <w:rFonts w:hint="default" w:ascii="Times New Roman" w:hAnsi="Times New Roman" w:cs="Times New Roman" w:eastAsiaTheme="minorEastAsia"/>
          <w:sz w:val="24"/>
          <w:highlight w:val="none"/>
        </w:rPr>
        <w:t>。</w:t>
      </w:r>
    </w:p>
    <w:bookmarkEnd w:id="120"/>
    <w:bookmarkEnd w:id="121"/>
    <w:bookmarkEnd w:id="122"/>
    <w:p>
      <w:pPr>
        <w:pStyle w:val="12"/>
        <w:numPr>
          <w:ilvl w:val="0"/>
          <w:numId w:val="0"/>
        </w:numPr>
        <w:adjustRightInd w:val="0"/>
        <w:snapToGrid w:val="0"/>
        <w:spacing w:line="360" w:lineRule="auto"/>
        <w:ind w:leftChars="200"/>
        <w:jc w:val="left"/>
        <w:outlineLvl w:val="2"/>
        <w:rPr>
          <w:rFonts w:hint="default" w:ascii="Times New Roman" w:hAnsi="Times New Roman" w:cs="Times New Roman"/>
          <w:b/>
          <w:bCs/>
          <w:sz w:val="24"/>
          <w:szCs w:val="24"/>
          <w:highlight w:val="none"/>
        </w:rPr>
      </w:pPr>
      <w:bookmarkStart w:id="123" w:name="_Toc490599237"/>
      <w:bookmarkStart w:id="124" w:name="_Toc329810217"/>
      <w:bookmarkStart w:id="125" w:name="_Toc535415618"/>
      <w:bookmarkStart w:id="126" w:name="_Toc385344468"/>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shd w:val="clear" w:color="auto" w:fill="auto"/>
          <w:lang w:val="en-US" w:eastAsia="zh-CN"/>
        </w:rPr>
        <w:t>2</w:t>
      </w:r>
      <w:r>
        <w:rPr>
          <w:rFonts w:hint="default" w:ascii="Times New Roman" w:hAnsi="Times New Roman" w:cs="Times New Roman"/>
          <w:b/>
          <w:bCs/>
          <w:sz w:val="24"/>
          <w:szCs w:val="24"/>
          <w:highlight w:val="none"/>
          <w:lang w:val="en-US" w:eastAsia="zh-CN"/>
        </w:rPr>
        <w:t>.</w:t>
      </w:r>
      <w:r>
        <w:rPr>
          <w:rFonts w:hint="default" w:ascii="Times New Roman" w:hAnsi="Times New Roman" w:cs="Times New Roman"/>
          <w:b/>
          <w:bCs/>
          <w:sz w:val="24"/>
          <w:szCs w:val="24"/>
          <w:highlight w:val="none"/>
        </w:rPr>
        <w:t>谈判文件编制依据</w:t>
      </w:r>
      <w:bookmarkEnd w:id="123"/>
      <w:bookmarkEnd w:id="124"/>
      <w:bookmarkEnd w:id="125"/>
      <w:bookmarkEnd w:id="126"/>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本谈判文件是参照《中华人民共和国招标投标法》及相关法律法规编制。</w:t>
      </w:r>
    </w:p>
    <w:p>
      <w:pPr>
        <w:pStyle w:val="12"/>
        <w:numPr>
          <w:ilvl w:val="0"/>
          <w:numId w:val="0"/>
        </w:numPr>
        <w:adjustRightInd w:val="0"/>
        <w:snapToGrid w:val="0"/>
        <w:spacing w:line="360" w:lineRule="auto"/>
        <w:ind w:leftChars="200"/>
        <w:jc w:val="left"/>
        <w:outlineLvl w:val="2"/>
        <w:rPr>
          <w:rFonts w:hint="default" w:ascii="Times New Roman" w:hAnsi="Times New Roman" w:cs="Times New Roman"/>
          <w:b/>
          <w:bCs/>
          <w:sz w:val="24"/>
          <w:szCs w:val="24"/>
          <w:highlight w:val="none"/>
        </w:rPr>
      </w:pPr>
      <w:bookmarkStart w:id="127" w:name="_Toc86124077"/>
      <w:bookmarkStart w:id="128" w:name="_Toc490599238"/>
      <w:bookmarkStart w:id="129" w:name="_Toc329810218"/>
      <w:bookmarkStart w:id="130" w:name="_Toc535415619"/>
      <w:bookmarkStart w:id="131" w:name="_Toc385344469"/>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shd w:val="clear" w:color="auto" w:fill="auto"/>
          <w:lang w:val="en-US" w:eastAsia="zh-CN"/>
        </w:rPr>
        <w:t>3</w:t>
      </w:r>
      <w:r>
        <w:rPr>
          <w:rFonts w:hint="default" w:ascii="Times New Roman" w:hAnsi="Times New Roman" w:cs="Times New Roman"/>
          <w:b/>
          <w:bCs/>
          <w:sz w:val="24"/>
          <w:szCs w:val="24"/>
          <w:highlight w:val="none"/>
          <w:lang w:val="en-US" w:eastAsia="zh-CN"/>
        </w:rPr>
        <w:t>.</w:t>
      </w:r>
      <w:r>
        <w:rPr>
          <w:rFonts w:hint="default" w:ascii="Times New Roman" w:hAnsi="Times New Roman" w:cs="Times New Roman"/>
          <w:b/>
          <w:bCs/>
          <w:sz w:val="24"/>
          <w:szCs w:val="24"/>
          <w:highlight w:val="none"/>
        </w:rPr>
        <w:t>需要补充的其他内容</w:t>
      </w:r>
      <w:bookmarkEnd w:id="127"/>
      <w:bookmarkEnd w:id="128"/>
      <w:bookmarkEnd w:id="129"/>
      <w:bookmarkEnd w:id="130"/>
      <w:bookmarkEnd w:id="131"/>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需要补充的其他内容：见“</w:t>
      </w:r>
      <w:r>
        <w:rPr>
          <w:rFonts w:hint="default" w:ascii="Times New Roman" w:hAnsi="Times New Roman" w:cs="Times New Roman" w:eastAsiaTheme="minorEastAsia"/>
          <w:b/>
          <w:sz w:val="24"/>
          <w:highlight w:val="none"/>
        </w:rPr>
        <w:t>谈判申请人须知前附表</w:t>
      </w:r>
      <w:r>
        <w:rPr>
          <w:rFonts w:hint="default" w:ascii="Times New Roman" w:hAnsi="Times New Roman" w:cs="Times New Roman" w:eastAsiaTheme="minorEastAsia"/>
          <w:sz w:val="24"/>
          <w:highlight w:val="none"/>
        </w:rPr>
        <w:t>”。</w:t>
      </w:r>
    </w:p>
    <w:p>
      <w:pPr>
        <w:adjustRightInd w:val="0"/>
        <w:snapToGrid w:val="0"/>
        <w:spacing w:before="156" w:beforeLines="50" w:after="156" w:afterLines="50" w:line="360" w:lineRule="auto"/>
        <w:ind w:firstLine="2249" w:firstLineChars="700"/>
        <w:jc w:val="both"/>
        <w:outlineLvl w:val="0"/>
        <w:rPr>
          <w:rFonts w:hint="default" w:ascii="Times New Roman" w:hAnsi="Times New Roman" w:cs="Times New Roman" w:eastAsiaTheme="minorEastAsia"/>
          <w:b/>
          <w:bCs/>
          <w:kern w:val="0"/>
          <w:sz w:val="32"/>
          <w:szCs w:val="20"/>
          <w:highlight w:val="none"/>
        </w:rPr>
        <w:sectPr>
          <w:footerReference r:id="rId3" w:type="default"/>
          <w:pgSz w:w="11907" w:h="16840"/>
          <w:pgMar w:top="2098" w:right="1474" w:bottom="1984" w:left="1587" w:header="851" w:footer="850" w:gutter="0"/>
          <w:cols w:space="720" w:num="1"/>
          <w:docGrid w:linePitch="381" w:charSpace="-5735"/>
        </w:sectPr>
      </w:pPr>
      <w:bookmarkStart w:id="132" w:name="_Toc490599239"/>
      <w:bookmarkStart w:id="133" w:name="_Toc535415620"/>
      <w:bookmarkStart w:id="134" w:name="_Toc86124078"/>
    </w:p>
    <w:p>
      <w:pPr>
        <w:adjustRightInd w:val="0"/>
        <w:snapToGrid w:val="0"/>
        <w:spacing w:before="156" w:beforeLines="50" w:after="156" w:afterLines="50" w:line="360" w:lineRule="auto"/>
        <w:ind w:firstLine="2249" w:firstLineChars="700"/>
        <w:jc w:val="both"/>
        <w:outlineLvl w:val="0"/>
        <w:rPr>
          <w:rFonts w:hint="default" w:ascii="Times New Roman" w:hAnsi="Times New Roman" w:cs="Times New Roman" w:eastAsiaTheme="minorEastAsia"/>
          <w:b/>
          <w:bCs/>
          <w:kern w:val="0"/>
          <w:sz w:val="32"/>
          <w:szCs w:val="20"/>
          <w:highlight w:val="none"/>
        </w:rPr>
      </w:pPr>
      <w:r>
        <w:rPr>
          <w:rFonts w:hint="default" w:ascii="Times New Roman" w:hAnsi="Times New Roman" w:cs="Times New Roman" w:eastAsiaTheme="minorEastAsia"/>
          <w:b/>
          <w:bCs/>
          <w:kern w:val="0"/>
          <w:sz w:val="32"/>
          <w:szCs w:val="20"/>
          <w:highlight w:val="none"/>
        </w:rPr>
        <w:t>第</w:t>
      </w:r>
      <w:r>
        <w:rPr>
          <w:rFonts w:hint="eastAsia" w:cs="Times New Roman" w:eastAsiaTheme="minorEastAsia"/>
          <w:b/>
          <w:bCs/>
          <w:kern w:val="0"/>
          <w:sz w:val="32"/>
          <w:szCs w:val="20"/>
          <w:highlight w:val="none"/>
          <w:lang w:val="en-US" w:eastAsia="zh-CN"/>
        </w:rPr>
        <w:t>二</w:t>
      </w:r>
      <w:r>
        <w:rPr>
          <w:rFonts w:hint="default" w:ascii="Times New Roman" w:hAnsi="Times New Roman" w:cs="Times New Roman" w:eastAsiaTheme="minorEastAsia"/>
          <w:b/>
          <w:bCs/>
          <w:kern w:val="0"/>
          <w:sz w:val="32"/>
          <w:szCs w:val="20"/>
          <w:highlight w:val="none"/>
        </w:rPr>
        <w:t>章 合同书样式及主要条款</w:t>
      </w:r>
      <w:bookmarkEnd w:id="132"/>
      <w:bookmarkEnd w:id="133"/>
      <w:bookmarkEnd w:id="134"/>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bookmarkStart w:id="135" w:name="_Toc86124081"/>
      <w:bookmarkStart w:id="136" w:name="_Toc490599265"/>
      <w:r>
        <w:rPr>
          <w:rFonts w:hint="default" w:ascii="Times New Roman" w:hAnsi="Times New Roman" w:cs="Times New Roman"/>
          <w:b/>
          <w:bCs/>
          <w:sz w:val="28"/>
          <w:highlight w:val="none"/>
        </w:rPr>
        <w:t>以最终签订为准</w:t>
      </w:r>
      <w:r>
        <w:rPr>
          <w:rFonts w:hint="default" w:ascii="Times New Roman" w:hAnsi="Times New Roman" w:cs="Times New Roman" w:eastAsiaTheme="minorEastAsia"/>
          <w:b/>
          <w:bCs/>
          <w:kern w:val="0"/>
          <w:sz w:val="32"/>
          <w:szCs w:val="20"/>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outlineLvl w:val="0"/>
        <w:rPr>
          <w:rFonts w:hint="default" w:ascii="Times New Roman" w:hAnsi="Times New Roman" w:cs="Times New Roman" w:eastAsiaTheme="minorEastAsia"/>
          <w:b/>
          <w:bCs/>
          <w:kern w:val="0"/>
          <w:sz w:val="32"/>
          <w:szCs w:val="20"/>
          <w:highlight w:val="none"/>
          <w:lang w:val="en-US" w:eastAsia="zh-CN"/>
        </w:rPr>
      </w:pPr>
    </w:p>
    <w:p>
      <w:pPr>
        <w:keepLines w:val="0"/>
        <w:pageBreakBefore w:val="0"/>
        <w:widowControl w:val="0"/>
        <w:kinsoku/>
        <w:wordWrap/>
        <w:overflowPunct/>
        <w:topLinePunct w:val="0"/>
        <w:bidi w:val="0"/>
        <w:adjustRightInd w:val="0"/>
        <w:snapToGrid w:val="0"/>
        <w:spacing w:before="156" w:beforeLines="50" w:after="156" w:afterLines="50" w:line="560" w:lineRule="exact"/>
        <w:jc w:val="center"/>
        <w:textAlignment w:val="auto"/>
        <w:outlineLvl w:val="0"/>
        <w:rPr>
          <w:rFonts w:hint="default" w:ascii="Times New Roman" w:hAnsi="Times New Roman" w:cs="Times New Roman" w:eastAsiaTheme="minorEastAsia"/>
          <w:b/>
          <w:bCs/>
          <w:kern w:val="0"/>
          <w:sz w:val="32"/>
          <w:szCs w:val="20"/>
          <w:highlight w:val="none"/>
        </w:rPr>
      </w:pPr>
      <w:bookmarkStart w:id="137" w:name="_Toc535415621"/>
    </w:p>
    <w:p>
      <w:pPr>
        <w:adjustRightInd w:val="0"/>
        <w:snapToGrid w:val="0"/>
        <w:spacing w:before="156" w:beforeLines="50" w:after="156" w:afterLines="50" w:line="360" w:lineRule="auto"/>
        <w:jc w:val="center"/>
        <w:outlineLvl w:val="0"/>
        <w:rPr>
          <w:rFonts w:hint="default" w:ascii="Times New Roman" w:hAnsi="Times New Roman" w:cs="Times New Roman" w:eastAsiaTheme="minorEastAsia"/>
          <w:b/>
          <w:bCs/>
          <w:kern w:val="0"/>
          <w:sz w:val="32"/>
          <w:szCs w:val="20"/>
          <w:highlight w:val="none"/>
        </w:rPr>
      </w:pPr>
      <w:r>
        <w:rPr>
          <w:rFonts w:hint="default" w:ascii="Times New Roman" w:hAnsi="Times New Roman" w:cs="Times New Roman" w:eastAsiaTheme="minorEastAsia"/>
          <w:b/>
          <w:bCs/>
          <w:kern w:val="0"/>
          <w:sz w:val="32"/>
          <w:szCs w:val="20"/>
          <w:highlight w:val="none"/>
        </w:rPr>
        <w:t>第</w:t>
      </w:r>
      <w:r>
        <w:rPr>
          <w:rFonts w:hint="eastAsia" w:cs="Times New Roman" w:eastAsiaTheme="minorEastAsia"/>
          <w:b/>
          <w:bCs/>
          <w:kern w:val="0"/>
          <w:sz w:val="32"/>
          <w:szCs w:val="20"/>
          <w:highlight w:val="none"/>
          <w:lang w:val="en-US" w:eastAsia="zh-CN"/>
        </w:rPr>
        <w:t>三</w:t>
      </w:r>
      <w:r>
        <w:rPr>
          <w:rFonts w:hint="default" w:ascii="Times New Roman" w:hAnsi="Times New Roman" w:cs="Times New Roman" w:eastAsiaTheme="minorEastAsia"/>
          <w:b/>
          <w:bCs/>
          <w:kern w:val="0"/>
          <w:sz w:val="32"/>
          <w:szCs w:val="20"/>
          <w:highlight w:val="none"/>
        </w:rPr>
        <w:t>章 响应文件格式</w:t>
      </w:r>
      <w:bookmarkEnd w:id="135"/>
      <w:bookmarkEnd w:id="136"/>
      <w:bookmarkEnd w:id="137"/>
    </w:p>
    <w:p>
      <w:pPr>
        <w:spacing w:line="360" w:lineRule="auto"/>
        <w:jc w:val="center"/>
        <w:rPr>
          <w:rFonts w:hint="default" w:ascii="Times New Roman" w:hAnsi="Times New Roman" w:cs="Times New Roman" w:eastAsiaTheme="minorEastAsia"/>
          <w:b/>
          <w:sz w:val="44"/>
          <w:szCs w:val="44"/>
          <w:highlight w:val="none"/>
        </w:rPr>
      </w:pPr>
    </w:p>
    <w:p>
      <w:pPr>
        <w:spacing w:line="360" w:lineRule="auto"/>
        <w:jc w:val="center"/>
        <w:rPr>
          <w:rFonts w:hint="eastAsia" w:cs="Times New Roman" w:eastAsiaTheme="minorEastAsia"/>
          <w:b/>
          <w:bCs/>
          <w:kern w:val="0"/>
          <w:sz w:val="36"/>
          <w:szCs w:val="36"/>
          <w:highlight w:val="none"/>
          <w:lang w:val="en-US" w:eastAsia="zh-CN"/>
        </w:rPr>
      </w:pPr>
      <w:r>
        <w:rPr>
          <w:rFonts w:hint="default" w:ascii="Times New Roman" w:hAnsi="Times New Roman" w:cs="Times New Roman" w:eastAsiaTheme="minorEastAsia"/>
          <w:b/>
          <w:bCs/>
          <w:kern w:val="0"/>
          <w:sz w:val="36"/>
          <w:szCs w:val="36"/>
          <w:highlight w:val="none"/>
          <w:lang w:eastAsia="zh-CN"/>
        </w:rPr>
        <w:t>云南省能源投资集团有限公司</w:t>
      </w:r>
      <w:r>
        <w:rPr>
          <w:rFonts w:hint="eastAsia" w:cs="Times New Roman" w:eastAsiaTheme="minorEastAsia"/>
          <w:b/>
          <w:bCs/>
          <w:kern w:val="0"/>
          <w:sz w:val="36"/>
          <w:szCs w:val="36"/>
          <w:highlight w:val="none"/>
          <w:lang w:val="en-US" w:eastAsia="zh-CN"/>
        </w:rPr>
        <w:t>全面风险管理体系建设</w:t>
      </w:r>
    </w:p>
    <w:p>
      <w:pPr>
        <w:spacing w:line="360" w:lineRule="auto"/>
        <w:jc w:val="center"/>
        <w:rPr>
          <w:rFonts w:hint="default" w:ascii="Times New Roman" w:hAnsi="Times New Roman" w:cs="Times New Roman" w:eastAsiaTheme="minorEastAsia"/>
          <w:b/>
          <w:bCs/>
          <w:kern w:val="0"/>
          <w:sz w:val="36"/>
          <w:szCs w:val="36"/>
          <w:highlight w:val="none"/>
          <w:lang w:eastAsia="zh-CN"/>
        </w:rPr>
      </w:pPr>
      <w:r>
        <w:rPr>
          <w:rFonts w:hint="default" w:ascii="Times New Roman" w:hAnsi="Times New Roman" w:cs="Times New Roman" w:eastAsiaTheme="minorEastAsia"/>
          <w:b/>
          <w:bCs/>
          <w:kern w:val="0"/>
          <w:sz w:val="36"/>
          <w:szCs w:val="36"/>
          <w:highlight w:val="none"/>
          <w:lang w:eastAsia="zh-CN"/>
        </w:rPr>
        <w:t>项目</w:t>
      </w: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autoSpaceDE w:val="0"/>
        <w:autoSpaceDN w:val="0"/>
        <w:adjustRightInd w:val="0"/>
        <w:spacing w:line="360" w:lineRule="auto"/>
        <w:jc w:val="center"/>
        <w:rPr>
          <w:rFonts w:hint="default" w:ascii="Times New Roman" w:hAnsi="Times New Roman" w:cs="Times New Roman" w:eastAsiaTheme="minorEastAsia"/>
          <w:b/>
          <w:kern w:val="0"/>
          <w:sz w:val="84"/>
          <w:szCs w:val="84"/>
          <w:highlight w:val="none"/>
        </w:rPr>
      </w:pPr>
      <w:r>
        <w:rPr>
          <w:rFonts w:hint="default" w:ascii="Times New Roman" w:hAnsi="Times New Roman" w:cs="Times New Roman" w:eastAsiaTheme="minorEastAsia"/>
          <w:b/>
          <w:kern w:val="0"/>
          <w:sz w:val="84"/>
          <w:szCs w:val="84"/>
          <w:highlight w:val="none"/>
        </w:rPr>
        <w:t>响应文件</w:t>
      </w: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p>
    <w:p>
      <w:pPr>
        <w:spacing w:line="360" w:lineRule="auto"/>
        <w:ind w:firstLine="1980" w:firstLineChars="825"/>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谈判申请人：（盖单位章）</w:t>
      </w:r>
    </w:p>
    <w:p>
      <w:pPr>
        <w:spacing w:line="360" w:lineRule="auto"/>
        <w:ind w:firstLine="1980" w:firstLineChars="825"/>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法定代表人或其委托代理人：（签字或盖章）</w:t>
      </w:r>
    </w:p>
    <w:p>
      <w:pPr>
        <w:spacing w:line="360" w:lineRule="auto"/>
        <w:ind w:firstLine="1980" w:firstLineChars="825"/>
        <w:jc w:val="center"/>
        <w:rPr>
          <w:rFonts w:hint="default" w:ascii="Times New Roman" w:hAnsi="Times New Roman" w:cs="Times New Roman" w:eastAsiaTheme="minorEastAsia"/>
          <w:sz w:val="24"/>
          <w:highlight w:val="none"/>
        </w:rPr>
      </w:pPr>
    </w:p>
    <w:p>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    年   月   日</w:t>
      </w:r>
    </w:p>
    <w:p>
      <w:pPr>
        <w:adjustRightInd w:val="0"/>
        <w:snapToGrid w:val="0"/>
        <w:spacing w:line="360" w:lineRule="auto"/>
        <w:jc w:val="center"/>
        <w:outlineLvl w:val="1"/>
        <w:rPr>
          <w:rFonts w:hint="default" w:ascii="Times New Roman" w:hAnsi="Times New Roman" w:eastAsia="宋体" w:cs="Times New Roman"/>
          <w:b/>
          <w:bCs/>
          <w:kern w:val="2"/>
          <w:sz w:val="28"/>
          <w:szCs w:val="28"/>
          <w:highlight w:val="none"/>
          <w:lang w:val="en-US" w:eastAsia="zh-CN" w:bidi="ar-SA"/>
        </w:rPr>
      </w:pPr>
      <w:r>
        <w:rPr>
          <w:rFonts w:hint="default" w:ascii="Times New Roman" w:hAnsi="Times New Roman" w:cs="Times New Roman" w:eastAsiaTheme="minorEastAsia"/>
          <w:b/>
          <w:bCs/>
          <w:sz w:val="24"/>
          <w:szCs w:val="32"/>
          <w:highlight w:val="none"/>
        </w:rPr>
        <w:br w:type="page"/>
      </w:r>
      <w:bookmarkStart w:id="138" w:name="_Toc490599266"/>
      <w:bookmarkStart w:id="139" w:name="_Toc535415622"/>
      <w:bookmarkStart w:id="140" w:name="_Toc385344473"/>
      <w:r>
        <w:rPr>
          <w:rFonts w:hint="default" w:ascii="Times New Roman" w:hAnsi="Times New Roman" w:eastAsia="宋体" w:cs="Times New Roman"/>
          <w:b/>
          <w:bCs/>
          <w:kern w:val="2"/>
          <w:sz w:val="28"/>
          <w:szCs w:val="28"/>
          <w:highlight w:val="none"/>
          <w:lang w:val="en-US" w:eastAsia="zh-CN" w:bidi="ar-SA"/>
        </w:rPr>
        <w:t>一、响应文件目录</w:t>
      </w:r>
      <w:bookmarkEnd w:id="138"/>
      <w:bookmarkEnd w:id="139"/>
      <w:bookmarkEnd w:id="140"/>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注：报价响应文件内容须按照格式要求进行目录编制，按顺序进行装订，并每页连续标注页码，建议双面打印。</w:t>
      </w:r>
    </w:p>
    <w:p>
      <w:pPr>
        <w:widowControl/>
        <w:adjustRightInd w:val="0"/>
        <w:snapToGrid w:val="0"/>
        <w:spacing w:line="360" w:lineRule="auto"/>
        <w:ind w:firstLine="482" w:firstLineChars="200"/>
        <w:jc w:val="left"/>
        <w:rPr>
          <w:rFonts w:hint="default" w:ascii="Times New Roman" w:hAnsi="Times New Roman" w:cs="Times New Roman" w:eastAsiaTheme="minorEastAsia"/>
          <w:b/>
          <w:bCs/>
          <w:sz w:val="24"/>
          <w:highlight w:val="none"/>
        </w:rPr>
      </w:pPr>
      <w:bookmarkStart w:id="141" w:name="_Toc490599267"/>
      <w:r>
        <w:rPr>
          <w:rFonts w:hint="default" w:ascii="Times New Roman" w:hAnsi="Times New Roman" w:cs="Times New Roman" w:eastAsiaTheme="minorEastAsia"/>
          <w:b/>
          <w:bCs/>
          <w:sz w:val="24"/>
          <w:highlight w:val="none"/>
        </w:rPr>
        <w:br w:type="page"/>
      </w:r>
    </w:p>
    <w:p>
      <w:pPr>
        <w:adjustRightInd w:val="0"/>
        <w:snapToGrid w:val="0"/>
        <w:spacing w:line="360" w:lineRule="auto"/>
        <w:jc w:val="center"/>
        <w:outlineLvl w:val="1"/>
        <w:rPr>
          <w:rFonts w:hint="default" w:ascii="Times New Roman" w:hAnsi="Times New Roman" w:eastAsia="宋体" w:cs="Times New Roman"/>
          <w:b/>
          <w:bCs/>
          <w:kern w:val="2"/>
          <w:sz w:val="28"/>
          <w:szCs w:val="28"/>
          <w:highlight w:val="none"/>
          <w:lang w:val="en-US" w:eastAsia="zh-CN" w:bidi="ar-SA"/>
        </w:rPr>
      </w:pPr>
      <w:bookmarkStart w:id="142" w:name="_Toc535415623"/>
      <w:r>
        <w:rPr>
          <w:rFonts w:hint="default" w:ascii="Times New Roman" w:hAnsi="Times New Roman" w:eastAsia="宋体" w:cs="Times New Roman"/>
          <w:b/>
          <w:bCs/>
          <w:kern w:val="2"/>
          <w:sz w:val="28"/>
          <w:szCs w:val="28"/>
          <w:highlight w:val="none"/>
          <w:lang w:val="en-US" w:eastAsia="zh-CN" w:bidi="ar-SA"/>
        </w:rPr>
        <w:t>二、谈判申请书</w:t>
      </w:r>
      <w:bookmarkEnd w:id="141"/>
      <w:bookmarkEnd w:id="142"/>
    </w:p>
    <w:p>
      <w:pPr>
        <w:adjustRightInd w:val="0"/>
        <w:snapToGrid w:val="0"/>
        <w:spacing w:line="360" w:lineRule="auto"/>
        <w:rPr>
          <w:rFonts w:hint="default" w:ascii="Times New Roman" w:hAnsi="Times New Roman" w:cs="Times New Roman" w:eastAsiaTheme="minorEastAsia"/>
          <w:b/>
          <w:sz w:val="24"/>
          <w:highlight w:val="none"/>
          <w:lang w:val="en-US" w:eastAsia="zh-CN"/>
        </w:rPr>
      </w:pPr>
      <w:r>
        <w:rPr>
          <w:rFonts w:hint="default" w:ascii="Times New Roman" w:hAnsi="Times New Roman" w:cs="Times New Roman" w:eastAsiaTheme="minorEastAsia"/>
          <w:b/>
          <w:sz w:val="24"/>
          <w:highlight w:val="none"/>
        </w:rPr>
        <w:t>致：</w:t>
      </w:r>
      <w:r>
        <w:rPr>
          <w:rFonts w:hint="default" w:ascii="Times New Roman" w:hAnsi="Times New Roman" w:cs="Times New Roman" w:eastAsiaTheme="minorEastAsia"/>
          <w:b/>
          <w:sz w:val="24"/>
          <w:highlight w:val="none"/>
          <w:lang w:val="en-US" w:eastAsia="zh-CN"/>
        </w:rPr>
        <w:t>云南省能源投资集团有限公司</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根据贵方</w:t>
      </w:r>
      <w:r>
        <w:rPr>
          <w:rFonts w:hint="default" w:ascii="Times New Roman" w:hAnsi="Times New Roman" w:cs="Times New Roman" w:eastAsiaTheme="minorEastAsia"/>
          <w:sz w:val="24"/>
          <w:highlight w:val="none"/>
          <w:u w:val="single"/>
        </w:rPr>
        <w:t>（项目名称）        （标段：</w:t>
      </w:r>
      <w:r>
        <w:rPr>
          <w:rFonts w:hint="default" w:ascii="Times New Roman" w:hAnsi="Times New Roman" w:cs="Times New Roman" w:eastAsiaTheme="minorEastAsia"/>
          <w:sz w:val="24"/>
          <w:highlight w:val="none"/>
          <w:u w:val="single"/>
          <w:lang w:val="en-US" w:eastAsia="zh-CN"/>
        </w:rPr>
        <w:t>/</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（项目编号：</w:t>
      </w:r>
      <w:r>
        <w:rPr>
          <w:rFonts w:hint="default" w:ascii="Times New Roman" w:hAnsi="Times New Roman" w:cs="Times New Roman" w:eastAsiaTheme="minorEastAsia"/>
          <w:sz w:val="24"/>
          <w:highlight w:val="none"/>
          <w:lang w:val="en-US" w:eastAsia="zh-CN"/>
        </w:rPr>
        <w:t>/</w:t>
      </w:r>
      <w:r>
        <w:rPr>
          <w:rFonts w:hint="default" w:ascii="Times New Roman" w:hAnsi="Times New Roman" w:cs="Times New Roman" w:eastAsiaTheme="minorEastAsia"/>
          <w:sz w:val="24"/>
          <w:highlight w:val="none"/>
        </w:rPr>
        <w:t>），现正式授权下述签字人</w:t>
      </w:r>
      <w:r>
        <w:rPr>
          <w:rFonts w:hint="default" w:ascii="Times New Roman" w:hAnsi="Times New Roman" w:cs="Times New Roman" w:eastAsiaTheme="minorEastAsia"/>
          <w:sz w:val="24"/>
          <w:highlight w:val="none"/>
          <w:u w:val="single"/>
        </w:rPr>
        <w:t xml:space="preserve">  （姓名和职务）   </w:t>
      </w:r>
      <w:r>
        <w:rPr>
          <w:rFonts w:hint="default" w:ascii="Times New Roman" w:hAnsi="Times New Roman" w:cs="Times New Roman" w:eastAsiaTheme="minorEastAsia"/>
          <w:sz w:val="24"/>
          <w:highlight w:val="none"/>
        </w:rPr>
        <w:t>全权代表谈判申请人</w:t>
      </w:r>
      <w:r>
        <w:rPr>
          <w:rFonts w:hint="default" w:ascii="Times New Roman" w:hAnsi="Times New Roman" w:cs="Times New Roman" w:eastAsiaTheme="minorEastAsia"/>
          <w:sz w:val="24"/>
          <w:highlight w:val="none"/>
          <w:u w:val="single"/>
        </w:rPr>
        <w:t xml:space="preserve">      （谈判申请人全称）  </w:t>
      </w:r>
      <w:r>
        <w:rPr>
          <w:rFonts w:hint="default" w:ascii="Times New Roman" w:hAnsi="Times New Roman" w:cs="Times New Roman" w:eastAsiaTheme="minorEastAsia"/>
          <w:sz w:val="24"/>
          <w:highlight w:val="none"/>
        </w:rPr>
        <w:t>参加贵方组织的有关招标活动，并提交响应文件正本一份，副本</w:t>
      </w:r>
      <w:r>
        <w:rPr>
          <w:rFonts w:hint="default" w:ascii="Times New Roman" w:hAnsi="Times New Roman" w:cs="Times New Roman" w:eastAsiaTheme="minorEastAsia"/>
          <w:sz w:val="24"/>
          <w:highlight w:val="none"/>
          <w:u w:val="single"/>
        </w:rPr>
        <w:t xml:space="preserve">        </w:t>
      </w:r>
      <w:r>
        <w:rPr>
          <w:rFonts w:hint="default" w:ascii="Times New Roman" w:hAnsi="Times New Roman" w:cs="Times New Roman" w:eastAsiaTheme="minorEastAsia"/>
          <w:sz w:val="24"/>
          <w:highlight w:val="none"/>
        </w:rPr>
        <w:t>份。</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据此函，签字人兹宣布同意如下：</w:t>
      </w:r>
    </w:p>
    <w:p>
      <w:pPr>
        <w:widowControl/>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1、我公司愿意参加 </w:t>
      </w:r>
      <w:r>
        <w:rPr>
          <w:rFonts w:hint="default" w:ascii="Times New Roman" w:hAnsi="Times New Roman" w:cs="Times New Roman" w:eastAsiaTheme="minorEastAsia"/>
          <w:sz w:val="24"/>
          <w:highlight w:val="none"/>
          <w:u w:val="single"/>
        </w:rPr>
        <w:t xml:space="preserve">                    </w:t>
      </w:r>
      <w:r>
        <w:rPr>
          <w:rFonts w:hint="default" w:ascii="Times New Roman" w:hAnsi="Times New Roman" w:cs="Times New Roman" w:eastAsiaTheme="minorEastAsia"/>
          <w:sz w:val="24"/>
          <w:highlight w:val="none"/>
        </w:rPr>
        <w:t>项目的竞争性谈判。</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我方同意在谈判申请人须知规定的开标日期起遵循本响应文件，并在谈判申请人须知规定的响应文件有效期满之前均具有约束力。如果我方投标被接受，则至合同履行完、质保期满为止，本谈判申请书保持有效。</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、我方承诺已经具备《中华人民共和国招标投标法》中规定的参加招标活动的谈判申请人应当具备的条件。</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4</w:t>
      </w:r>
      <w:r>
        <w:rPr>
          <w:rFonts w:hint="default" w:ascii="Times New Roman" w:hAnsi="Times New Roman" w:cs="Times New Roman" w:eastAsiaTheme="minorEastAsia"/>
          <w:sz w:val="24"/>
          <w:highlight w:val="none"/>
        </w:rPr>
        <w:t>、如我方投标被接受，将保证忠实地执行买卖双方所签经济合同，在合同生效后日内完成相关服务，并承担合同规定的责任义务。</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6、我方已详细审核竞争性谈判文件，我方知道必须放弃提出含糊不清或误解问题的权利。</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5</w:t>
      </w:r>
      <w:r>
        <w:rPr>
          <w:rFonts w:hint="default" w:ascii="Times New Roman" w:hAnsi="Times New Roman" w:cs="Times New Roman" w:eastAsiaTheme="minorEastAsia"/>
          <w:sz w:val="24"/>
          <w:highlight w:val="none"/>
        </w:rPr>
        <w:t>、如果在响应文件有效期内撤回投标或者有其他违约行为，我方同意赔偿损失并承担相关责任。</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、同意应贵方要求提供与本投标有关的任何数据或资料。</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7</w:t>
      </w:r>
      <w:r>
        <w:rPr>
          <w:rFonts w:hint="default" w:ascii="Times New Roman" w:hAnsi="Times New Roman" w:cs="Times New Roman" w:eastAsiaTheme="minorEastAsia"/>
          <w:sz w:val="24"/>
          <w:highlight w:val="none"/>
        </w:rPr>
        <w:t>、我方完全理解贵方不一定要接受最低报价的谈判申请人为中标人的行为。</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、若贵方需要，我方愿意提供我方作出的一切承诺的证明材料。</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与本投标有关的正式通讯地址为：</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地址：</w:t>
      </w:r>
      <w:r>
        <w:rPr>
          <w:rFonts w:hint="default" w:ascii="Times New Roman" w:hAnsi="Times New Roman" w:cs="Times New Roman" w:eastAsiaTheme="minorEastAsia"/>
          <w:sz w:val="24"/>
          <w:highlight w:val="none"/>
          <w:u w:val="single"/>
        </w:rPr>
        <w:t xml:space="preserve">                            </w:t>
      </w:r>
      <w:r>
        <w:rPr>
          <w:rFonts w:hint="default" w:ascii="Times New Roman" w:hAnsi="Times New Roman" w:cs="Times New Roman" w:eastAsiaTheme="minorEastAsia"/>
          <w:sz w:val="24"/>
          <w:highlight w:val="none"/>
        </w:rPr>
        <w:t>邮政编码：</w:t>
      </w:r>
      <w:r>
        <w:rPr>
          <w:rFonts w:hint="default" w:ascii="Times New Roman" w:hAnsi="Times New Roman" w:cs="Times New Roman" w:eastAsiaTheme="minorEastAsia"/>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电话：</w:t>
      </w:r>
      <w:r>
        <w:rPr>
          <w:rFonts w:hint="default" w:ascii="Times New Roman" w:hAnsi="Times New Roman" w:cs="Times New Roman" w:eastAsiaTheme="minorEastAsia"/>
          <w:sz w:val="24"/>
          <w:highlight w:val="none"/>
          <w:u w:val="single"/>
        </w:rPr>
        <w:t xml:space="preserve">                            </w:t>
      </w:r>
      <w:r>
        <w:rPr>
          <w:rFonts w:hint="default" w:ascii="Times New Roman" w:hAnsi="Times New Roman" w:cs="Times New Roman" w:eastAsiaTheme="minorEastAsia"/>
          <w:sz w:val="24"/>
          <w:highlight w:val="none"/>
        </w:rPr>
        <w:t>传真：</w:t>
      </w:r>
      <w:r>
        <w:rPr>
          <w:rFonts w:hint="default" w:ascii="Times New Roman" w:hAnsi="Times New Roman" w:cs="Times New Roman" w:eastAsiaTheme="minorEastAsia"/>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rPr>
        <w:t>开户名称：</w:t>
      </w:r>
      <w:r>
        <w:rPr>
          <w:rFonts w:hint="default" w:ascii="Times New Roman" w:hAnsi="Times New Roman" w:cs="Times New Roman" w:eastAsiaTheme="minorEastAsia"/>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rPr>
        <w:t>开户银行：</w:t>
      </w:r>
      <w:r>
        <w:rPr>
          <w:rFonts w:hint="default" w:ascii="Times New Roman" w:hAnsi="Times New Roman" w:cs="Times New Roman" w:eastAsiaTheme="minorEastAsia"/>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rPr>
        <w:t>帐  号：</w:t>
      </w:r>
      <w:r>
        <w:rPr>
          <w:rFonts w:hint="default" w:ascii="Times New Roman" w:hAnsi="Times New Roman" w:cs="Times New Roman" w:eastAsiaTheme="minorEastAsia"/>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法定代表人或其委托代理人（签字或盖章）：</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谈判申请人（盖单位公章）：</w:t>
      </w:r>
      <w:r>
        <w:rPr>
          <w:rFonts w:hint="default" w:ascii="Times New Roman" w:hAnsi="Times New Roman" w:cs="Times New Roman" w:eastAsiaTheme="minorEastAsia"/>
          <w:sz w:val="24"/>
          <w:highlight w:val="none"/>
          <w:lang w:val="en-US" w:eastAsia="zh-CN"/>
        </w:rPr>
        <w:t xml:space="preserve">           </w:t>
      </w:r>
      <w:r>
        <w:rPr>
          <w:rFonts w:hint="default" w:ascii="Times New Roman" w:hAnsi="Times New Roman" w:cs="Times New Roman" w:eastAsiaTheme="minorEastAsia"/>
          <w:sz w:val="24"/>
          <w:highlight w:val="none"/>
        </w:rPr>
        <w:t>投标日期：</w:t>
      </w:r>
      <w:r>
        <w:rPr>
          <w:rFonts w:hint="default" w:ascii="Times New Roman" w:hAnsi="Times New Roman" w:cs="Times New Roman" w:eastAsiaTheme="minorEastAsia"/>
          <w:sz w:val="24"/>
          <w:highlight w:val="none"/>
        </w:rPr>
        <w:br w:type="page"/>
      </w:r>
    </w:p>
    <w:p>
      <w:pPr>
        <w:adjustRightInd w:val="0"/>
        <w:snapToGrid w:val="0"/>
        <w:spacing w:line="360" w:lineRule="auto"/>
        <w:jc w:val="center"/>
        <w:outlineLvl w:val="1"/>
        <w:rPr>
          <w:rFonts w:hint="default" w:ascii="Times New Roman" w:hAnsi="Times New Roman" w:cs="Times New Roman" w:eastAsiaTheme="minorEastAsia"/>
          <w:b/>
          <w:bCs/>
          <w:sz w:val="24"/>
          <w:highlight w:val="none"/>
        </w:rPr>
      </w:pPr>
      <w:bookmarkStart w:id="143" w:name="_Toc398574697"/>
      <w:bookmarkStart w:id="144" w:name="_Toc535415624"/>
      <w:bookmarkStart w:id="145" w:name="_Toc490599277"/>
      <w:bookmarkStart w:id="146" w:name="_Toc425405509"/>
      <w:bookmarkStart w:id="147" w:name="_Toc436512332"/>
      <w:bookmarkStart w:id="148" w:name="_Toc51288987"/>
      <w:bookmarkStart w:id="149" w:name="_Toc213141106"/>
      <w:bookmarkStart w:id="150" w:name="_Toc299972690"/>
      <w:r>
        <w:rPr>
          <w:rFonts w:hint="default" w:ascii="Times New Roman" w:hAnsi="Times New Roman" w:eastAsia="宋体" w:cs="Times New Roman"/>
          <w:b/>
          <w:bCs/>
          <w:kern w:val="2"/>
          <w:sz w:val="28"/>
          <w:szCs w:val="28"/>
          <w:highlight w:val="none"/>
          <w:lang w:val="en-US" w:eastAsia="zh-CN" w:bidi="ar-SA"/>
        </w:rPr>
        <w:t>三、法定代表人资格证明书</w:t>
      </w:r>
      <w:bookmarkEnd w:id="143"/>
      <w:bookmarkEnd w:id="144"/>
      <w:bookmarkEnd w:id="145"/>
      <w:bookmarkEnd w:id="146"/>
      <w:bookmarkEnd w:id="147"/>
      <w:bookmarkEnd w:id="148"/>
      <w:bookmarkEnd w:id="149"/>
      <w:bookmarkEnd w:id="150"/>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rPr>
        <w:t>谈判申请人名称：</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单位性质：</w:t>
      </w:r>
    </w:p>
    <w:p>
      <w:pPr>
        <w:adjustRightInd w:val="0"/>
        <w:snapToGrid w:val="0"/>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rPr>
        <w:t>地  址：</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成立时间：  年  月  日</w:t>
      </w:r>
    </w:p>
    <w:p>
      <w:pPr>
        <w:adjustRightInd w:val="0"/>
        <w:snapToGrid w:val="0"/>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rPr>
        <w:t>经营期限：</w:t>
      </w:r>
    </w:p>
    <w:p>
      <w:pPr>
        <w:adjustRightInd w:val="0"/>
        <w:snapToGrid w:val="0"/>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rPr>
        <w:t>姓  名：   性别：  年龄：  职务：</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系    （谈判申请人名称）的法定代表人。</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特此证明。</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附：法定代表人身份证（复印件）</w:t>
      </w:r>
    </w:p>
    <w:p>
      <w:pPr>
        <w:adjustRightInd w:val="0"/>
        <w:snapToGrid w:val="0"/>
        <w:spacing w:line="360" w:lineRule="auto"/>
        <w:ind w:firstLine="480" w:firstLineChars="20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4243705" cy="2111375"/>
                <wp:effectExtent l="4445" t="4445" r="19050" b="17780"/>
                <wp:wrapNone/>
                <wp:docPr id="14" name="圆角矩形 14"/>
                <wp:cNvGraphicFramePr/>
                <a:graphic xmlns:a="http://schemas.openxmlformats.org/drawingml/2006/main">
                  <a:graphicData uri="http://schemas.microsoft.com/office/word/2010/wordprocessingShape">
                    <wps:wsp>
                      <wps:cNvSpPr>
                        <a:spLocks noChangeArrowheads="1"/>
                      </wps:cNvSpPr>
                      <wps:spPr bwMode="auto">
                        <a:xfrm>
                          <a:off x="0" y="0"/>
                          <a:ext cx="4243705" cy="2111375"/>
                        </a:xfrm>
                        <a:prstGeom prst="roundRect">
                          <a:avLst>
                            <a:gd name="adj" fmla="val 16667"/>
                          </a:avLst>
                        </a:prstGeom>
                        <a:solidFill>
                          <a:srgbClr val="FFFFFF"/>
                        </a:solidFill>
                        <a:ln w="9525">
                          <a:solidFill>
                            <a:srgbClr val="000000"/>
                          </a:solidFill>
                          <a:prstDash val="sysDot"/>
                          <a:round/>
                        </a:ln>
                      </wps:spPr>
                      <wps:txbx>
                        <w:txbxContent>
                          <w:p>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0pt;height:166.25pt;width:334.15pt;mso-position-horizontal-relative:char;mso-position-vertical-relative:line;z-index:251660288;mso-width-relative:page;mso-height-relative:page;" fillcolor="#FFFFFF" filled="t" stroked="t" coordsize="21600,21600" arcsize="0.166666666666667" o:gfxdata="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oc6zWAAAABQEAAA8AAAAAAAAAAQAgAAAAIgAAAGRycy9kb3ducmV2LnhtbFBL&#10;AQIUABQAAAAIAIdO4kBZqKs5agIAAMEEAAAOAAAAAAAAAAEAIAAAACUBAABkcnMvZTJvRG9jLnht&#10;bFBLBQYAAAAABgAGAFkBAAABBgAAAAA=&#10;">
                <v:fill on="t" focussize="0,0"/>
                <v:stroke color="#000000" joinstyle="round" dashstyle="1 1"/>
                <v:imagedata o:title=""/>
                <o:lock v:ext="edit" aspectratio="f"/>
                <v:textbox>
                  <w:txbxContent>
                    <w:p>
                      <w:pPr>
                        <w:jc w:val="center"/>
                        <w:rPr>
                          <w:color w:val="0000FF"/>
                        </w:rPr>
                      </w:pPr>
                      <w:r>
                        <w:rPr>
                          <w:rFonts w:hint="eastAsia"/>
                          <w:color w:val="0000FF"/>
                        </w:rPr>
                        <w:t>（</w:t>
                      </w:r>
                      <w:r>
                        <w:rPr>
                          <w:color w:val="0000FF"/>
                        </w:rPr>
                        <w:t>身份证</w:t>
                      </w:r>
                      <w:r>
                        <w:rPr>
                          <w:rFonts w:hint="eastAsia"/>
                          <w:color w:val="0000FF"/>
                        </w:rPr>
                        <w:t>复印件）</w:t>
                      </w:r>
                    </w:p>
                  </w:txbxContent>
                </v:textbox>
              </v:roundrect>
            </w:pict>
          </mc:Fallback>
        </mc:AlternateContent>
      </w:r>
      <w:r>
        <w:rPr>
          <w:rFonts w:hint="default" w:ascii="Times New Roman" w:hAnsi="Times New Roman" w:cs="Times New Roman" w:eastAsiaTheme="minorEastAsia"/>
          <w:sz w:val="24"/>
          <w:highlight w:val="none"/>
        </w:rPr>
        <mc:AlternateContent>
          <mc:Choice Requires="wps">
            <w:drawing>
              <wp:inline distT="0" distB="0" distL="0" distR="0">
                <wp:extent cx="4244340" cy="2108835"/>
                <wp:effectExtent l="0" t="0" r="0" b="0"/>
                <wp:docPr id="3"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10883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12" o:spid="_x0000_s1026" o:spt="1" style="height:166.05pt;width:334.2pt;" filled="f" stroked="f" coordsize="21600,21600" o:gfxdata="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CoBB1wAAAAUBAAAPAAAAAAAAAAEA&#10;IAAAACIAAABkcnMvZG93bnJldi54bWxQSwECFAAUAAAACACHTuJAfidswBACAAASBAAADgAAAAAA&#10;AAABACAAAAAmAQAAZHJzL2Uyb0RvYy54bWxQSwUGAAAAAAYABgBZAQAAqAUAAAAA&#10;">
                <v:fill on="f" focussize="0,0"/>
                <v:stroke on="f"/>
                <v:imagedata o:title=""/>
                <o:lock v:ext="edit" aspectratio="t"/>
                <w10:wrap type="none"/>
                <w10:anchorlock/>
              </v:rect>
            </w:pict>
          </mc:Fallback>
        </mc:AlternateConten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谈判申请人：（盖单位章）</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日 期：      年        月       日</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2" w:firstLineChars="200"/>
        <w:jc w:val="center"/>
        <w:outlineLvl w:val="1"/>
        <w:rPr>
          <w:rFonts w:hint="default" w:ascii="Times New Roman" w:hAnsi="Times New Roman" w:cs="Times New Roman" w:eastAsiaTheme="minorEastAsia"/>
          <w:b/>
          <w:sz w:val="24"/>
          <w:highlight w:val="none"/>
        </w:rPr>
      </w:pPr>
      <w:bookmarkStart w:id="151" w:name="_Toc299972691"/>
      <w:r>
        <w:rPr>
          <w:rFonts w:hint="default" w:ascii="Times New Roman" w:hAnsi="Times New Roman" w:cs="Times New Roman" w:eastAsiaTheme="minorEastAsia"/>
          <w:b/>
          <w:sz w:val="24"/>
          <w:highlight w:val="none"/>
        </w:rPr>
        <w:br w:type="page"/>
      </w:r>
      <w:bookmarkStart w:id="152" w:name="_Toc398574698"/>
      <w:bookmarkStart w:id="153" w:name="_Toc436512333"/>
      <w:bookmarkStart w:id="154" w:name="_Toc490599278"/>
      <w:bookmarkStart w:id="155" w:name="_Toc425405510"/>
    </w:p>
    <w:p>
      <w:pPr>
        <w:numPr>
          <w:ilvl w:val="0"/>
          <w:numId w:val="0"/>
        </w:numPr>
        <w:adjustRightInd w:val="0"/>
        <w:snapToGrid w:val="0"/>
        <w:spacing w:line="360" w:lineRule="auto"/>
        <w:jc w:val="center"/>
        <w:outlineLvl w:val="1"/>
        <w:rPr>
          <w:rFonts w:hint="default" w:ascii="Times New Roman" w:hAnsi="Times New Roman" w:eastAsia="宋体" w:cs="Times New Roman"/>
          <w:b/>
          <w:bCs/>
          <w:kern w:val="2"/>
          <w:sz w:val="28"/>
          <w:szCs w:val="28"/>
          <w:highlight w:val="none"/>
          <w:lang w:val="en-US" w:eastAsia="zh-CN" w:bidi="ar-SA"/>
        </w:rPr>
      </w:pPr>
      <w:bookmarkStart w:id="156" w:name="_Toc535415625"/>
      <w:r>
        <w:rPr>
          <w:rFonts w:hint="default" w:ascii="Times New Roman" w:hAnsi="Times New Roman" w:eastAsia="宋体" w:cs="Times New Roman"/>
          <w:b/>
          <w:bCs/>
          <w:kern w:val="2"/>
          <w:sz w:val="28"/>
          <w:szCs w:val="28"/>
          <w:highlight w:val="none"/>
          <w:lang w:val="en-US" w:eastAsia="zh-CN" w:bidi="ar-SA"/>
        </w:rPr>
        <w:t>四、法定代表人授权委托书</w:t>
      </w:r>
      <w:bookmarkEnd w:id="151"/>
      <w:bookmarkEnd w:id="152"/>
      <w:bookmarkEnd w:id="153"/>
      <w:bookmarkEnd w:id="154"/>
      <w:bookmarkEnd w:id="155"/>
      <w:bookmarkEnd w:id="156"/>
    </w:p>
    <w:p>
      <w:pPr>
        <w:adjustRightInd w:val="0"/>
        <w:snapToGrid w:val="0"/>
        <w:spacing w:line="360" w:lineRule="auto"/>
        <w:ind w:firstLine="482" w:firstLineChars="200"/>
        <w:jc w:val="center"/>
        <w:rPr>
          <w:rFonts w:hint="default" w:ascii="Times New Roman" w:hAnsi="Times New Roman" w:cs="Times New Roman" w:eastAsiaTheme="minorEastAsia"/>
          <w:b/>
          <w:sz w:val="24"/>
          <w:highlight w:val="none"/>
        </w:rPr>
      </w:pPr>
    </w:p>
    <w:p>
      <w:pPr>
        <w:topLinePunct/>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本人（姓名）系</w:t>
      </w:r>
      <w:r>
        <w:rPr>
          <w:rFonts w:hint="default" w:ascii="Times New Roman" w:hAnsi="Times New Roman" w:cs="Times New Roman" w:eastAsiaTheme="minorEastAsia"/>
          <w:sz w:val="24"/>
          <w:highlight w:val="none"/>
          <w:u w:val="single"/>
        </w:rPr>
        <w:t xml:space="preserve">    （谈判申请人名称）</w:t>
      </w:r>
      <w:r>
        <w:rPr>
          <w:rFonts w:hint="default" w:ascii="Times New Roman" w:hAnsi="Times New Roman" w:cs="Times New Roman" w:eastAsiaTheme="minorEastAsia"/>
          <w:sz w:val="24"/>
          <w:highlight w:val="none"/>
        </w:rPr>
        <w:t>的法定代表人，现委托</w:t>
      </w:r>
      <w:r>
        <w:rPr>
          <w:rFonts w:hint="default" w:ascii="Times New Roman" w:hAnsi="Times New Roman" w:cs="Times New Roman" w:eastAsiaTheme="minorEastAsia"/>
          <w:sz w:val="24"/>
          <w:highlight w:val="none"/>
          <w:u w:val="single"/>
        </w:rPr>
        <w:t xml:space="preserve">    （姓名）  </w:t>
      </w:r>
      <w:r>
        <w:rPr>
          <w:rFonts w:hint="default" w:ascii="Times New Roman" w:hAnsi="Times New Roman" w:cs="Times New Roman" w:eastAsiaTheme="minorEastAsia"/>
          <w:sz w:val="24"/>
          <w:highlight w:val="none"/>
        </w:rPr>
        <w:t>为我方代理人。代理人根据授权，以我方名义签署、澄清、说明、补正、递交、撤回、修改</w:t>
      </w:r>
      <w:r>
        <w:rPr>
          <w:rFonts w:hint="default" w:ascii="Times New Roman" w:hAnsi="Times New Roman" w:cs="Times New Roman" w:eastAsiaTheme="minorEastAsia"/>
          <w:sz w:val="24"/>
          <w:highlight w:val="none"/>
          <w:u w:val="single"/>
        </w:rPr>
        <w:t xml:space="preserve">      （项目名称）      （标段：    ）</w:t>
      </w:r>
      <w:r>
        <w:rPr>
          <w:rFonts w:hint="default" w:ascii="Times New Roman" w:hAnsi="Times New Roman" w:cs="Times New Roman" w:eastAsiaTheme="minorEastAsia"/>
          <w:sz w:val="24"/>
          <w:highlight w:val="none"/>
        </w:rPr>
        <w:t>响应文件、签订合同和处理有关事宜，其法律后果由我方承担。</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委托期限：          。</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代理人无转委托权。</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附：授权委托代理人身份证（复印件）</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4261485" cy="1710055"/>
                <wp:effectExtent l="4445" t="4445" r="16510" b="7620"/>
                <wp:wrapNone/>
                <wp:docPr id="13" name="圆角矩形 13"/>
                <wp:cNvGraphicFramePr/>
                <a:graphic xmlns:a="http://schemas.openxmlformats.org/drawingml/2006/main">
                  <a:graphicData uri="http://schemas.microsoft.com/office/word/2010/wordprocessingShape">
                    <wps:wsp>
                      <wps:cNvSpPr>
                        <a:spLocks noChangeArrowheads="1"/>
                      </wps:cNvSpPr>
                      <wps:spPr bwMode="auto">
                        <a:xfrm>
                          <a:off x="0" y="0"/>
                          <a:ext cx="4261485" cy="1710055"/>
                        </a:xfrm>
                        <a:prstGeom prst="roundRect">
                          <a:avLst>
                            <a:gd name="adj" fmla="val 16667"/>
                          </a:avLst>
                        </a:prstGeom>
                        <a:solidFill>
                          <a:srgbClr val="FFFFFF"/>
                        </a:solidFill>
                        <a:ln w="9525">
                          <a:solidFill>
                            <a:srgbClr val="000000"/>
                          </a:solidFill>
                          <a:prstDash val="sysDot"/>
                          <a:round/>
                        </a:ln>
                      </wps:spPr>
                      <wps:txbx>
                        <w:txbxContent>
                          <w:p>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0pt;height:134.65pt;width:335.55pt;mso-position-horizontal-relative:char;mso-position-vertical-relative:line;z-index:251661312;mso-width-relative:page;mso-height-relative:page;" fillcolor="#FFFFFF" filled="t" stroked="t" coordsize="21600,21600" arcsize="0.166666666666667" o:gfxdata="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F4Ga9YAAAAFAQAADwAAAAAAAAABACAAAAAiAAAAZHJzL2Rvd25yZXYueG1sUEsB&#10;AhQAFAAAAAgAh07iQPP+jyxpAgAAwQQAAA4AAAAAAAAAAQAgAAAAJQEAAGRycy9lMm9Eb2MueG1s&#10;UEsFBgAAAAAGAAYAWQEAAAAGAAAAAA==&#10;">
                <v:fill on="t" focussize="0,0"/>
                <v:stroke color="#000000" joinstyle="round" dashstyle="1 1"/>
                <v:imagedata o:title=""/>
                <o:lock v:ext="edit" aspectratio="f"/>
                <v:textbox>
                  <w:txbxContent>
                    <w:p>
                      <w:pPr>
                        <w:jc w:val="center"/>
                        <w:rPr>
                          <w:color w:val="0000FF"/>
                        </w:rPr>
                      </w:pPr>
                      <w:r>
                        <w:rPr>
                          <w:rFonts w:hint="eastAsia"/>
                          <w:color w:val="0000FF"/>
                        </w:rPr>
                        <w:t>（</w:t>
                      </w:r>
                      <w:r>
                        <w:rPr>
                          <w:color w:val="0000FF"/>
                        </w:rPr>
                        <w:t>身份证</w:t>
                      </w:r>
                      <w:r>
                        <w:rPr>
                          <w:rFonts w:hint="eastAsia"/>
                          <w:color w:val="0000FF"/>
                        </w:rPr>
                        <w:t>复印件）</w:t>
                      </w:r>
                    </w:p>
                  </w:txbxContent>
                </v:textbox>
              </v:roundrect>
            </w:pict>
          </mc:Fallback>
        </mc:AlternateContent>
      </w:r>
      <w:r>
        <w:rPr>
          <w:rFonts w:hint="default" w:ascii="Times New Roman" w:hAnsi="Times New Roman" w:cs="Times New Roman" w:eastAsiaTheme="minorEastAsia"/>
          <w:sz w:val="24"/>
          <w:highlight w:val="none"/>
        </w:rPr>
        <mc:AlternateContent>
          <mc:Choice Requires="wps">
            <w:drawing>
              <wp:inline distT="0" distB="0" distL="0" distR="0">
                <wp:extent cx="4258310" cy="1712595"/>
                <wp:effectExtent l="0" t="0" r="0" b="0"/>
                <wp:docPr id="2"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8310" cy="171259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11" o:spid="_x0000_s1026" o:spt="1" style="height:134.85pt;width:335.3pt;" filled="f" stroked="f" coordsize="21600,21600" o:gfxdata="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Sl8uXXAAAABQEAAA8AAAAAAAAAAQAg&#10;AAAAIgAAAGRycy9kb3ducmV2LnhtbFBLAQIUABQAAAAIAIdO4kBtH+DVDwIAABIEAAAOAAAAAAAA&#10;AAEAIAAAACYBAABkcnMvZTJvRG9jLnhtbFBLBQYAAAAABgAGAFkBAACnBQAAAAA=&#10;">
                <v:fill on="f" focussize="0,0"/>
                <v:stroke on="f"/>
                <v:imagedata o:title=""/>
                <o:lock v:ext="edit" aspectratio="t"/>
                <w10:wrap type="none"/>
                <w10:anchorlock/>
              </v:rect>
            </w:pict>
          </mc:Fallback>
        </mc:AlternateConten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投 标 人：（盖单位章）</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法定代表人：（签字或盖章）</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身份证号码：</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委托代理人：（签字或盖章） </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身份证号码：</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日   期：   年   月   日</w:t>
      </w:r>
    </w:p>
    <w:p>
      <w:pPr>
        <w:widowControl/>
        <w:adjustRightInd/>
        <w:spacing w:line="240" w:lineRule="auto"/>
        <w:jc w:val="center"/>
        <w:outlineLvl w:val="9"/>
        <w:rPr>
          <w:rFonts w:hint="default" w:ascii="Times New Roman" w:hAnsi="Times New Roman" w:cs="Times New Roman"/>
          <w:b/>
          <w:color w:val="auto"/>
          <w:sz w:val="28"/>
          <w:szCs w:val="28"/>
          <w:highlight w:val="none"/>
        </w:rPr>
      </w:pPr>
      <w:r>
        <w:rPr>
          <w:rFonts w:hint="default" w:ascii="Times New Roman" w:hAnsi="Times New Roman" w:cs="Times New Roman" w:eastAsiaTheme="minorEastAsia"/>
          <w:sz w:val="24"/>
          <w:highlight w:val="none"/>
        </w:rPr>
        <w:br w:type="page"/>
      </w:r>
      <w:bookmarkStart w:id="157" w:name="_Toc95409957"/>
      <w:bookmarkStart w:id="158" w:name="_Toc95408995"/>
      <w:r>
        <w:rPr>
          <w:rFonts w:hint="default" w:ascii="Times New Roman" w:hAnsi="Times New Roman" w:cs="Times New Roman"/>
          <w:b/>
          <w:color w:val="auto"/>
          <w:sz w:val="28"/>
          <w:szCs w:val="28"/>
          <w:highlight w:val="none"/>
        </w:rPr>
        <w:t>谈判报价一览表</w:t>
      </w:r>
      <w:bookmarkEnd w:id="157"/>
      <w:bookmarkEnd w:id="158"/>
    </w:p>
    <w:p>
      <w:pPr>
        <w:adjustRightInd w:val="0"/>
        <w:snapToGrid w:val="0"/>
        <w:spacing w:line="360" w:lineRule="auto"/>
        <w:jc w:val="left"/>
        <w:rPr>
          <w:rFonts w:hint="default" w:ascii="Times New Roman" w:hAnsi="Times New Roman" w:cs="Times New Roman"/>
          <w:b/>
          <w:color w:val="auto"/>
          <w:sz w:val="24"/>
          <w:szCs w:val="28"/>
          <w:highlight w:val="none"/>
        </w:rPr>
      </w:pPr>
      <w:r>
        <w:rPr>
          <w:rFonts w:hint="default" w:ascii="Times New Roman" w:hAnsi="Times New Roman" w:cs="Times New Roman"/>
          <w:b/>
          <w:color w:val="auto"/>
          <w:sz w:val="24"/>
          <w:szCs w:val="28"/>
          <w:highlight w:val="none"/>
        </w:rPr>
        <w:t xml:space="preserve">项目名称：                                         </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2006"/>
        <w:gridCol w:w="1701"/>
        <w:gridCol w:w="1701"/>
        <w:gridCol w:w="113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46"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谈判申请人名称</w:t>
            </w:r>
          </w:p>
        </w:tc>
        <w:tc>
          <w:tcPr>
            <w:tcW w:w="2006"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谈判总报价</w:t>
            </w:r>
          </w:p>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（万元）</w:t>
            </w:r>
          </w:p>
        </w:tc>
        <w:tc>
          <w:tcPr>
            <w:tcW w:w="1701"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工作周期</w:t>
            </w:r>
          </w:p>
        </w:tc>
        <w:tc>
          <w:tcPr>
            <w:tcW w:w="1701"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服务质量承诺</w:t>
            </w:r>
          </w:p>
        </w:tc>
        <w:tc>
          <w:tcPr>
            <w:tcW w:w="1138"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保证金形式</w:t>
            </w:r>
          </w:p>
        </w:tc>
        <w:tc>
          <w:tcPr>
            <w:tcW w:w="1094"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46"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c>
          <w:tcPr>
            <w:tcW w:w="2006"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c>
          <w:tcPr>
            <w:tcW w:w="1701" w:type="dxa"/>
            <w:vAlign w:val="center"/>
          </w:tcPr>
          <w:p>
            <w:pPr>
              <w:adjustRightInd w:val="0"/>
              <w:snapToGrid w:val="0"/>
              <w:spacing w:line="288" w:lineRule="auto"/>
              <w:jc w:val="center"/>
              <w:rPr>
                <w:rFonts w:hint="default" w:ascii="Times New Roman" w:hAnsi="Times New Roman" w:eastAsia="宋体" w:cs="Times New Roman"/>
                <w:color w:val="auto"/>
                <w:sz w:val="24"/>
                <w:highlight w:val="none"/>
                <w:lang w:val="en-US" w:eastAsia="zh-CN"/>
              </w:rPr>
            </w:pPr>
          </w:p>
        </w:tc>
        <w:tc>
          <w:tcPr>
            <w:tcW w:w="1701"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c>
          <w:tcPr>
            <w:tcW w:w="1138" w:type="dxa"/>
            <w:vAlign w:val="center"/>
          </w:tcPr>
          <w:p>
            <w:pPr>
              <w:adjustRightInd w:val="0"/>
              <w:snapToGrid w:val="0"/>
              <w:spacing w:line="288"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w:t>
            </w:r>
          </w:p>
        </w:tc>
        <w:tc>
          <w:tcPr>
            <w:tcW w:w="1094"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286" w:type="dxa"/>
            <w:gridSpan w:val="6"/>
            <w:vAlign w:val="center"/>
          </w:tcPr>
          <w:p>
            <w:pPr>
              <w:adjustRightInd w:val="0"/>
              <w:snapToGrid w:val="0"/>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谈判总价大写：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286" w:type="dxa"/>
            <w:gridSpan w:val="6"/>
            <w:vAlign w:val="center"/>
          </w:tcPr>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谈判申请人（盖单位公章）：</w:t>
            </w: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法定代表人或其委托代理人（签字或盖章）：</w:t>
            </w: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adjustRightInd w:val="0"/>
              <w:snapToGrid w:val="0"/>
              <w:spacing w:line="288" w:lineRule="auto"/>
              <w:jc w:val="center"/>
              <w:rPr>
                <w:rFonts w:hint="default" w:ascii="Times New Roman" w:hAnsi="Times New Roman" w:cs="Times New Roman"/>
                <w:color w:val="auto"/>
                <w:sz w:val="24"/>
                <w:highlight w:val="none"/>
              </w:rPr>
            </w:pPr>
          </w:p>
        </w:tc>
      </w:tr>
    </w:tbl>
    <w:p>
      <w:pPr>
        <w:widowControl/>
        <w:jc w:val="left"/>
        <w:rPr>
          <w:rFonts w:hint="default" w:ascii="Times New Roman" w:hAnsi="Times New Roman" w:cs="Times New Roman"/>
          <w:b/>
          <w:bCs/>
          <w:color w:val="auto"/>
          <w:sz w:val="24"/>
          <w:highlight w:val="none"/>
        </w:rPr>
      </w:pPr>
    </w:p>
    <w:p>
      <w:pPr>
        <w:tabs>
          <w:tab w:val="left" w:pos="3780"/>
        </w:tabs>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highlight w:val="none"/>
        </w:rPr>
        <w:br w:type="page"/>
      </w:r>
      <w:r>
        <w:rPr>
          <w:rFonts w:hint="default" w:ascii="Times New Roman" w:hAnsi="Times New Roman" w:cs="Times New Roman"/>
          <w:b/>
          <w:bCs/>
          <w:color w:val="auto"/>
          <w:sz w:val="28"/>
          <w:szCs w:val="28"/>
          <w:highlight w:val="none"/>
        </w:rPr>
        <w:t>最终谈判报价一览表</w:t>
      </w:r>
    </w:p>
    <w:p>
      <w:pPr>
        <w:adjustRightInd w:val="0"/>
        <w:snapToGrid w:val="0"/>
        <w:spacing w:line="360" w:lineRule="auto"/>
        <w:jc w:val="left"/>
        <w:rPr>
          <w:rFonts w:hint="default" w:ascii="Times New Roman" w:hAnsi="Times New Roman" w:cs="Times New Roman"/>
          <w:b/>
          <w:color w:val="auto"/>
          <w:sz w:val="24"/>
          <w:szCs w:val="28"/>
          <w:highlight w:val="none"/>
        </w:rPr>
      </w:pPr>
      <w:r>
        <w:rPr>
          <w:rFonts w:hint="default" w:ascii="Times New Roman" w:hAnsi="Times New Roman" w:cs="Times New Roman"/>
          <w:b/>
          <w:color w:val="auto"/>
          <w:sz w:val="24"/>
          <w:szCs w:val="28"/>
          <w:highlight w:val="none"/>
        </w:rPr>
        <w:t xml:space="preserve">项目名称：                                       </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2006"/>
        <w:gridCol w:w="1701"/>
        <w:gridCol w:w="1701"/>
        <w:gridCol w:w="113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46"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谈判申请人名称</w:t>
            </w:r>
          </w:p>
        </w:tc>
        <w:tc>
          <w:tcPr>
            <w:tcW w:w="2006"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谈判总报价</w:t>
            </w:r>
          </w:p>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（万元）</w:t>
            </w:r>
          </w:p>
        </w:tc>
        <w:tc>
          <w:tcPr>
            <w:tcW w:w="1701"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工作周期</w:t>
            </w:r>
          </w:p>
        </w:tc>
        <w:tc>
          <w:tcPr>
            <w:tcW w:w="1701"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服务质量承诺</w:t>
            </w:r>
          </w:p>
        </w:tc>
        <w:tc>
          <w:tcPr>
            <w:tcW w:w="1138"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保证金形式</w:t>
            </w:r>
          </w:p>
        </w:tc>
        <w:tc>
          <w:tcPr>
            <w:tcW w:w="1094" w:type="dxa"/>
            <w:vAlign w:val="center"/>
          </w:tcPr>
          <w:p>
            <w:pPr>
              <w:adjustRightInd w:val="0"/>
              <w:snapToGrid w:val="0"/>
              <w:spacing w:line="288"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46"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c>
          <w:tcPr>
            <w:tcW w:w="2006"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c>
          <w:tcPr>
            <w:tcW w:w="1701" w:type="dxa"/>
            <w:vAlign w:val="center"/>
          </w:tcPr>
          <w:p>
            <w:pPr>
              <w:adjustRightInd w:val="0"/>
              <w:snapToGrid w:val="0"/>
              <w:spacing w:line="288" w:lineRule="auto"/>
              <w:jc w:val="center"/>
              <w:rPr>
                <w:rFonts w:hint="default" w:ascii="Times New Roman" w:hAnsi="Times New Roman" w:eastAsia="宋体" w:cs="Times New Roman"/>
                <w:color w:val="auto"/>
                <w:sz w:val="24"/>
                <w:highlight w:val="none"/>
                <w:lang w:val="en-US" w:eastAsia="zh-CN"/>
              </w:rPr>
            </w:pPr>
          </w:p>
        </w:tc>
        <w:tc>
          <w:tcPr>
            <w:tcW w:w="1701"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c>
          <w:tcPr>
            <w:tcW w:w="1138" w:type="dxa"/>
            <w:vAlign w:val="center"/>
          </w:tcPr>
          <w:p>
            <w:pPr>
              <w:adjustRightInd w:val="0"/>
              <w:snapToGrid w:val="0"/>
              <w:spacing w:line="288"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w:t>
            </w:r>
          </w:p>
        </w:tc>
        <w:tc>
          <w:tcPr>
            <w:tcW w:w="1094" w:type="dxa"/>
            <w:vAlign w:val="center"/>
          </w:tcPr>
          <w:p>
            <w:pPr>
              <w:adjustRightInd w:val="0"/>
              <w:snapToGrid w:val="0"/>
              <w:spacing w:line="288" w:lineRule="auto"/>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286" w:type="dxa"/>
            <w:gridSpan w:val="6"/>
            <w:vAlign w:val="center"/>
          </w:tcPr>
          <w:p>
            <w:pPr>
              <w:adjustRightInd w:val="0"/>
              <w:snapToGrid w:val="0"/>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谈判总价大写：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286" w:type="dxa"/>
            <w:gridSpan w:val="6"/>
            <w:vAlign w:val="center"/>
          </w:tcPr>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谈判申请人（盖单位公章）：</w:t>
            </w: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法定代表人或其委托代理人（签字或盖章）：</w:t>
            </w: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p>
          <w:p>
            <w:pPr>
              <w:adjustRightInd w:val="0"/>
              <w:snapToGrid w:val="0"/>
              <w:spacing w:line="288"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adjustRightInd w:val="0"/>
              <w:snapToGrid w:val="0"/>
              <w:spacing w:line="288" w:lineRule="auto"/>
              <w:jc w:val="center"/>
              <w:rPr>
                <w:rFonts w:hint="default" w:ascii="Times New Roman" w:hAnsi="Times New Roman" w:cs="Times New Roman"/>
                <w:color w:val="auto"/>
                <w:sz w:val="24"/>
                <w:highlight w:val="none"/>
              </w:rPr>
            </w:pPr>
          </w:p>
        </w:tc>
      </w:tr>
    </w:tbl>
    <w:p>
      <w:pPr>
        <w:spacing w:line="360" w:lineRule="auto"/>
        <w:ind w:firstLine="422" w:firstLineChars="200"/>
        <w:rPr>
          <w:rFonts w:hint="default" w:ascii="Times New Roman" w:hAnsi="Times New Roman" w:eastAsia="仿宋_GB2312" w:cs="Times New Roman"/>
          <w:color w:val="FF0000"/>
          <w:highlight w:val="none"/>
          <w:lang w:val="en-US" w:eastAsia="zh-CN"/>
        </w:rPr>
        <w:sectPr>
          <w:pgSz w:w="11907" w:h="16840"/>
          <w:pgMar w:top="1418" w:right="1418" w:bottom="1418" w:left="1701" w:header="851" w:footer="850" w:gutter="0"/>
          <w:cols w:space="720" w:num="1"/>
          <w:docGrid w:linePitch="381" w:charSpace="-5735"/>
        </w:sectPr>
      </w:pPr>
      <w:r>
        <w:rPr>
          <w:rFonts w:hint="default" w:ascii="Times New Roman" w:hAnsi="Times New Roman" w:eastAsia="仿宋_GB2312" w:cs="Times New Roman"/>
          <w:b/>
          <w:color w:val="FF0000"/>
          <w:sz w:val="21"/>
          <w:szCs w:val="21"/>
          <w:highlight w:val="none"/>
        </w:rPr>
        <w:t>（备注：此表"最终报价确认书"无需装订在谈判申请文件中，最终报价由法定代表人或委托代理人根据实际谈判情况在谈判现场亲笔填报。本最终报价书只能单面打印。</w:t>
      </w:r>
    </w:p>
    <w:p>
      <w:pPr>
        <w:adjustRightInd/>
        <w:snapToGrid/>
        <w:spacing w:line="240" w:lineRule="auto"/>
        <w:jc w:val="left"/>
        <w:outlineLvl w:val="9"/>
        <w:rPr>
          <w:rFonts w:hint="default" w:ascii="Times New Roman" w:hAnsi="Times New Roman" w:eastAsia="宋体" w:cs="Times New Roman"/>
          <w:b/>
          <w:bCs/>
          <w:kern w:val="2"/>
          <w:sz w:val="28"/>
          <w:szCs w:val="28"/>
          <w:highlight w:val="none"/>
          <w:lang w:val="en-US" w:eastAsia="zh-CN" w:bidi="ar-SA"/>
        </w:rPr>
      </w:pPr>
    </w:p>
    <w:p>
      <w:pPr>
        <w:adjustRightInd w:val="0"/>
        <w:snapToGrid w:val="0"/>
        <w:spacing w:line="360" w:lineRule="auto"/>
        <w:jc w:val="center"/>
        <w:outlineLvl w:val="1"/>
        <w:rPr>
          <w:rFonts w:hint="default" w:ascii="Times New Roman" w:hAnsi="Times New Roman" w:cs="Times New Roman" w:eastAsiaTheme="minorEastAsia"/>
          <w:b/>
          <w:bCs/>
          <w:sz w:val="24"/>
          <w:highlight w:val="none"/>
        </w:rPr>
      </w:pPr>
      <w:r>
        <w:rPr>
          <w:rFonts w:hint="default" w:ascii="Times New Roman" w:hAnsi="Times New Roman" w:eastAsia="宋体" w:cs="Times New Roman"/>
          <w:b/>
          <w:bCs/>
          <w:kern w:val="2"/>
          <w:sz w:val="28"/>
          <w:szCs w:val="28"/>
          <w:highlight w:val="none"/>
          <w:lang w:val="en-US" w:eastAsia="zh-CN" w:bidi="ar-SA"/>
        </w:rPr>
        <w:t>五、资格证明材料</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1）谈判申请人基本情况介绍；</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2）谈判申请人有效的</w:t>
      </w:r>
      <w:r>
        <w:rPr>
          <w:rFonts w:hint="eastAsia" w:cs="Times New Roman" w:eastAsiaTheme="minorEastAsia"/>
          <w:b w:val="0"/>
          <w:bCs w:val="0"/>
          <w:sz w:val="24"/>
          <w:highlight w:val="none"/>
          <w:lang w:eastAsia="zh-CN"/>
        </w:rPr>
        <w:t>营业执照或</w:t>
      </w:r>
      <w:r>
        <w:rPr>
          <w:rFonts w:hint="default" w:ascii="Times New Roman" w:hAnsi="Times New Roman" w:cs="Times New Roman" w:eastAsiaTheme="minorEastAsia"/>
          <w:b w:val="0"/>
          <w:bCs w:val="0"/>
          <w:sz w:val="24"/>
          <w:highlight w:val="none"/>
        </w:rPr>
        <w:t>执业许可证</w:t>
      </w:r>
      <w:r>
        <w:rPr>
          <w:rFonts w:hint="default" w:ascii="Times New Roman" w:hAnsi="Times New Roman" w:cs="Times New Roman" w:eastAsiaTheme="minorEastAsia"/>
          <w:sz w:val="24"/>
          <w:highlight w:val="none"/>
        </w:rPr>
        <w:t>（提供复印件加盖公章）；</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w:t>
      </w:r>
      <w:r>
        <w:rPr>
          <w:rFonts w:hint="eastAsia" w:cs="Times New Roman" w:eastAsiaTheme="minorEastAsia"/>
          <w:sz w:val="24"/>
          <w:highlight w:val="none"/>
          <w:lang w:val="en-US" w:eastAsia="zh-CN"/>
        </w:rPr>
        <w:t>响应单位业绩</w:t>
      </w:r>
      <w:r>
        <w:rPr>
          <w:rFonts w:hint="default" w:ascii="Times New Roman" w:hAnsi="Times New Roman" w:cs="Times New Roman" w:eastAsiaTheme="minorEastAsia"/>
          <w:sz w:val="24"/>
          <w:highlight w:val="none"/>
        </w:rPr>
        <w:t>证明材料</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提供中标通知书或服务合同等业绩证明材料</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eastAsia" w:ascii="Times New Roman" w:hAnsi="Times New Roman" w:cs="Times New Roman" w:eastAsiaTheme="minorEastAsia"/>
          <w:sz w:val="24"/>
          <w:highlight w:val="none"/>
          <w:lang w:val="en-US" w:eastAsia="zh-CN"/>
        </w:rPr>
        <w:t>4</w:t>
      </w:r>
      <w:r>
        <w:rPr>
          <w:rFonts w:hint="default" w:ascii="Times New Roman" w:hAnsi="Times New Roman" w:cs="Times New Roman" w:eastAsiaTheme="minorEastAsia"/>
          <w:sz w:val="24"/>
          <w:highlight w:val="none"/>
        </w:rPr>
        <w:t>）项目负责</w:t>
      </w:r>
      <w:r>
        <w:rPr>
          <w:rFonts w:hint="eastAsia" w:cs="Times New Roman" w:eastAsiaTheme="minorEastAsia"/>
          <w:sz w:val="24"/>
          <w:highlight w:val="none"/>
          <w:lang w:val="en-US" w:eastAsia="zh-CN"/>
        </w:rPr>
        <w:t>人</w:t>
      </w:r>
      <w:r>
        <w:rPr>
          <w:rFonts w:hint="default" w:ascii="Times New Roman" w:hAnsi="Times New Roman" w:cs="Times New Roman" w:eastAsiaTheme="minorEastAsia"/>
          <w:sz w:val="24"/>
          <w:highlight w:val="none"/>
          <w:lang w:val="en-US" w:eastAsia="zh-CN"/>
        </w:rPr>
        <w:t>及</w:t>
      </w:r>
      <w:r>
        <w:rPr>
          <w:rFonts w:hint="eastAsia" w:cs="Times New Roman" w:eastAsiaTheme="minorEastAsia"/>
          <w:sz w:val="24"/>
          <w:highlight w:val="none"/>
          <w:lang w:val="en-US" w:eastAsia="zh-CN"/>
        </w:rPr>
        <w:t>项目组</w:t>
      </w:r>
      <w:r>
        <w:rPr>
          <w:rFonts w:hint="default" w:ascii="Times New Roman" w:hAnsi="Times New Roman" w:cs="Times New Roman" w:eastAsiaTheme="minorEastAsia"/>
          <w:sz w:val="24"/>
          <w:highlight w:val="none"/>
          <w:lang w:val="en-US" w:eastAsia="zh-CN"/>
        </w:rPr>
        <w:t>其他</w:t>
      </w:r>
      <w:r>
        <w:rPr>
          <w:rFonts w:hint="eastAsia" w:cs="Times New Roman" w:eastAsiaTheme="minorEastAsia"/>
          <w:sz w:val="24"/>
          <w:highlight w:val="none"/>
          <w:lang w:val="en-US" w:eastAsia="zh-CN"/>
        </w:rPr>
        <w:t>成员</w:t>
      </w:r>
      <w:r>
        <w:rPr>
          <w:rFonts w:hint="default" w:ascii="Times New Roman" w:hAnsi="Times New Roman" w:cs="Times New Roman" w:eastAsiaTheme="minorEastAsia"/>
          <w:sz w:val="24"/>
          <w:highlight w:val="none"/>
          <w:lang w:val="en-US" w:eastAsia="zh-CN"/>
        </w:rPr>
        <w:t>业绩</w:t>
      </w:r>
      <w:r>
        <w:rPr>
          <w:rFonts w:hint="default" w:ascii="Times New Roman" w:hAnsi="Times New Roman" w:cs="Times New Roman" w:eastAsiaTheme="minorEastAsia"/>
          <w:sz w:val="24"/>
          <w:highlight w:val="none"/>
        </w:rPr>
        <w:t>证明材料；</w:t>
      </w:r>
    </w:p>
    <w:p>
      <w:pPr>
        <w:adjustRightInd w:val="0"/>
        <w:snapToGrid w:val="0"/>
        <w:spacing w:line="360" w:lineRule="auto"/>
        <w:ind w:firstLine="480" w:firstLineChars="200"/>
        <w:rPr>
          <w:rFonts w:hint="default" w:ascii="Times New Roman" w:hAnsi="Times New Roman" w:cs="Times New Roman" w:eastAsiaTheme="minorEastAsia"/>
          <w:sz w:val="24"/>
          <w:highlight w:val="none"/>
          <w:lang w:val="en-US" w:eastAsia="zh-CN"/>
        </w:rPr>
      </w:pPr>
      <w:r>
        <w:rPr>
          <w:rFonts w:hint="eastAsia" w:cs="Times New Roman" w:eastAsiaTheme="minorEastAsia"/>
          <w:sz w:val="24"/>
          <w:highlight w:val="none"/>
          <w:lang w:val="en-US" w:eastAsia="zh-CN"/>
        </w:rPr>
        <w:t>5）信誉良好的承诺书及“信用中国”截图证明材料；</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eastAsia"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）其它资格证明材料或说明</w:t>
      </w:r>
      <w:r>
        <w:rPr>
          <w:rFonts w:hint="eastAsia" w:cs="Times New Roman" w:eastAsiaTheme="minorEastAsia"/>
          <w:sz w:val="24"/>
          <w:highlight w:val="none"/>
          <w:lang w:eastAsia="zh-CN"/>
        </w:rPr>
        <w:t>（如有则附）</w:t>
      </w:r>
      <w:r>
        <w:rPr>
          <w:rFonts w:hint="default" w:ascii="Times New Roman" w:hAnsi="Times New Roman" w:cs="Times New Roman" w:eastAsiaTheme="minorEastAsia"/>
          <w:sz w:val="24"/>
          <w:highlight w:val="none"/>
        </w:rPr>
        <w:t>；</w:t>
      </w:r>
    </w:p>
    <w:p>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竞争性谈判文件如无格式则谈判申请人可自拟格式。</w:t>
      </w:r>
    </w:p>
    <w:p>
      <w:pPr>
        <w:adjustRightInd w:val="0"/>
        <w:snapToGrid w:val="0"/>
        <w:spacing w:line="360" w:lineRule="auto"/>
        <w:ind w:firstLine="480" w:firstLineChars="200"/>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sz w:val="24"/>
          <w:highlight w:val="none"/>
        </w:rPr>
        <w:br w:type="page"/>
      </w:r>
    </w:p>
    <w:p>
      <w:pPr>
        <w:adjustRightInd w:val="0"/>
        <w:snapToGrid w:val="0"/>
        <w:spacing w:line="360" w:lineRule="auto"/>
        <w:jc w:val="center"/>
        <w:outlineLvl w:val="1"/>
        <w:rPr>
          <w:rFonts w:hint="default" w:ascii="Times New Roman" w:hAnsi="Times New Roman" w:cs="Times New Roman" w:eastAsiaTheme="minorEastAsia"/>
          <w:b/>
          <w:bCs/>
          <w:sz w:val="24"/>
          <w:highlight w:val="none"/>
        </w:rPr>
      </w:pPr>
      <w:bookmarkStart w:id="159" w:name="_Toc490599276"/>
      <w:bookmarkStart w:id="160" w:name="_Toc535415626"/>
      <w:bookmarkStart w:id="161" w:name="_Toc436512331"/>
      <w:bookmarkStart w:id="162" w:name="_Toc425405508"/>
      <w:r>
        <w:rPr>
          <w:rFonts w:hint="default" w:ascii="Times New Roman" w:hAnsi="Times New Roman" w:eastAsia="宋体" w:cs="Times New Roman"/>
          <w:b/>
          <w:bCs/>
          <w:kern w:val="2"/>
          <w:sz w:val="28"/>
          <w:szCs w:val="28"/>
          <w:highlight w:val="none"/>
          <w:lang w:val="en-US" w:eastAsia="zh-CN" w:bidi="ar-SA"/>
        </w:rPr>
        <w:t>六、谈判申请人基本信息表</w:t>
      </w:r>
      <w:bookmarkEnd w:id="159"/>
      <w:bookmarkEnd w:id="160"/>
      <w:bookmarkEnd w:id="161"/>
      <w:bookmarkEnd w:id="162"/>
    </w:p>
    <w:tbl>
      <w:tblPr>
        <w:tblStyle w:val="9"/>
        <w:tblW w:w="8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69"/>
        <w:gridCol w:w="826"/>
        <w:gridCol w:w="908"/>
        <w:gridCol w:w="1385"/>
        <w:gridCol w:w="100"/>
        <w:gridCol w:w="1274"/>
        <w:gridCol w:w="892"/>
        <w:gridCol w:w="2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1169"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单位名称</w:t>
            </w:r>
          </w:p>
        </w:tc>
        <w:tc>
          <w:tcPr>
            <w:tcW w:w="7731" w:type="dxa"/>
            <w:gridSpan w:val="7"/>
            <w:noWrap w:val="0"/>
            <w:vAlign w:val="center"/>
          </w:tcPr>
          <w:p>
            <w:pPr>
              <w:adjustRightInd w:val="0"/>
              <w:snapToGrid w:val="0"/>
              <w:jc w:val="center"/>
              <w:rPr>
                <w:rFonts w:hint="default" w:ascii="Times New Roman" w:hAnsi="Times New Roman" w:eastAsia="仿宋_GB2312" w:cs="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1169"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详细地址</w:t>
            </w:r>
          </w:p>
        </w:tc>
        <w:tc>
          <w:tcPr>
            <w:tcW w:w="7731" w:type="dxa"/>
            <w:gridSpan w:val="7"/>
            <w:noWrap w:val="0"/>
            <w:vAlign w:val="center"/>
          </w:tcPr>
          <w:p>
            <w:pPr>
              <w:adjustRightInd w:val="0"/>
              <w:snapToGrid w:val="0"/>
              <w:jc w:val="center"/>
              <w:rPr>
                <w:rFonts w:hint="default" w:ascii="Times New Roman" w:hAnsi="Times New Roman" w:eastAsia="仿宋_GB2312" w:cs="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1169"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主管部门</w:t>
            </w:r>
          </w:p>
        </w:tc>
        <w:tc>
          <w:tcPr>
            <w:tcW w:w="1734" w:type="dxa"/>
            <w:gridSpan w:val="2"/>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1385"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法定代表人</w:t>
            </w:r>
          </w:p>
        </w:tc>
        <w:tc>
          <w:tcPr>
            <w:tcW w:w="1374" w:type="dxa"/>
            <w:gridSpan w:val="2"/>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892"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电话</w:t>
            </w:r>
          </w:p>
        </w:tc>
        <w:tc>
          <w:tcPr>
            <w:tcW w:w="2346" w:type="dxa"/>
            <w:noWrap w:val="0"/>
            <w:vAlign w:val="center"/>
          </w:tcPr>
          <w:p>
            <w:pPr>
              <w:adjustRightInd w:val="0"/>
              <w:snapToGrid w:val="0"/>
              <w:jc w:val="center"/>
              <w:rPr>
                <w:rFonts w:hint="default" w:ascii="Times New Roman" w:hAnsi="Times New Roman" w:eastAsia="仿宋_GB2312" w:cs="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1169"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邮政编码</w:t>
            </w:r>
          </w:p>
        </w:tc>
        <w:tc>
          <w:tcPr>
            <w:tcW w:w="1734" w:type="dxa"/>
            <w:gridSpan w:val="2"/>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1385"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eastAsia" w:eastAsia="仿宋_GB2312" w:cs="Times New Roman"/>
                <w:sz w:val="21"/>
                <w:szCs w:val="21"/>
                <w:highlight w:val="none"/>
                <w:lang w:eastAsia="zh-CN"/>
              </w:rPr>
              <w:t>联系人及</w:t>
            </w:r>
            <w:r>
              <w:rPr>
                <w:rFonts w:hint="default" w:ascii="Times New Roman" w:hAnsi="Times New Roman" w:eastAsia="仿宋_GB2312" w:cs="Times New Roman"/>
                <w:sz w:val="21"/>
                <w:szCs w:val="21"/>
                <w:highlight w:val="none"/>
              </w:rPr>
              <w:t>电话</w:t>
            </w:r>
          </w:p>
        </w:tc>
        <w:tc>
          <w:tcPr>
            <w:tcW w:w="1374" w:type="dxa"/>
            <w:gridSpan w:val="2"/>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892" w:type="dxa"/>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传真</w:t>
            </w:r>
          </w:p>
        </w:tc>
        <w:tc>
          <w:tcPr>
            <w:tcW w:w="2346" w:type="dxa"/>
            <w:noWrap w:val="0"/>
            <w:vAlign w:val="center"/>
          </w:tcPr>
          <w:p>
            <w:pPr>
              <w:adjustRightInd w:val="0"/>
              <w:snapToGrid w:val="0"/>
              <w:jc w:val="center"/>
              <w:rPr>
                <w:rFonts w:hint="default" w:ascii="Times New Roman" w:hAnsi="Times New Roman" w:eastAsia="仿宋_GB2312" w:cs="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1169" w:type="dxa"/>
            <w:tcBorders>
              <w:bottom w:val="single" w:color="auto" w:sz="4" w:space="0"/>
            </w:tcBorders>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成立时间</w:t>
            </w:r>
          </w:p>
        </w:tc>
        <w:tc>
          <w:tcPr>
            <w:tcW w:w="1734" w:type="dxa"/>
            <w:gridSpan w:val="2"/>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1385" w:type="dxa"/>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项目负责</w:t>
            </w:r>
            <w:r>
              <w:rPr>
                <w:rFonts w:hint="eastAsia" w:eastAsia="仿宋_GB2312" w:cs="Times New Roman"/>
                <w:sz w:val="21"/>
                <w:szCs w:val="21"/>
                <w:highlight w:val="none"/>
                <w:lang w:val="en-US" w:eastAsia="zh-CN"/>
              </w:rPr>
              <w:t>人</w:t>
            </w:r>
          </w:p>
        </w:tc>
        <w:tc>
          <w:tcPr>
            <w:tcW w:w="4612" w:type="dxa"/>
            <w:gridSpan w:val="4"/>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10" w:hRule="atLeast"/>
          <w:jc w:val="center"/>
        </w:trPr>
        <w:tc>
          <w:tcPr>
            <w:tcW w:w="1169" w:type="dxa"/>
            <w:tcBorders>
              <w:bottom w:val="single" w:color="000000" w:sz="6" w:space="0"/>
            </w:tcBorders>
            <w:noWrap w:val="0"/>
            <w:vAlign w:val="center"/>
          </w:tcPr>
          <w:p>
            <w:pPr>
              <w:adjustRightInd w:val="0"/>
              <w:snapToGrid w:val="0"/>
              <w:jc w:val="center"/>
              <w:rPr>
                <w:rFonts w:hint="default" w:ascii="Times New Roman" w:hAnsi="Times New Roman" w:cs="Times New Roman"/>
                <w:highlight w:val="none"/>
              </w:rPr>
            </w:pPr>
            <w:r>
              <w:rPr>
                <w:rFonts w:hint="default" w:ascii="Times New Roman" w:hAnsi="Times New Roman" w:cs="Times New Roman"/>
                <w:highlight w:val="none"/>
              </w:rPr>
              <w:t>单位优势及特长</w:t>
            </w:r>
          </w:p>
          <w:p>
            <w:pPr>
              <w:pStyle w:val="5"/>
              <w:ind w:firstLine="0" w:firstLineChars="0"/>
              <w:jc w:val="center"/>
              <w:rPr>
                <w:rFonts w:hint="default" w:ascii="Times New Roman" w:hAnsi="Times New Roman" w:cs="Times New Roman"/>
                <w:highlight w:val="none"/>
              </w:rPr>
            </w:pPr>
            <w:r>
              <w:rPr>
                <w:rFonts w:hint="eastAsia" w:ascii="Times New Roman" w:cs="Times New Roman"/>
                <w:highlight w:val="none"/>
                <w:lang w:eastAsia="zh-CN"/>
              </w:rPr>
              <w:t>单位自</w:t>
            </w:r>
            <w:r>
              <w:rPr>
                <w:rFonts w:hint="eastAsia" w:ascii="Times New Roman" w:cs="Times New Roman"/>
                <w:highlight w:val="none"/>
                <w:lang w:val="en-US" w:eastAsia="zh-CN"/>
              </w:rPr>
              <w:t>2020年6月末</w:t>
            </w:r>
            <w:r>
              <w:rPr>
                <w:rFonts w:hint="default" w:ascii="Times New Roman" w:hAnsi="Times New Roman" w:cs="Times New Roman"/>
                <w:highlight w:val="none"/>
              </w:rPr>
              <w:t>以来类似项目业绩</w:t>
            </w:r>
          </w:p>
        </w:tc>
        <w:tc>
          <w:tcPr>
            <w:tcW w:w="7731" w:type="dxa"/>
            <w:gridSpan w:val="7"/>
            <w:tcBorders>
              <w:bottom w:val="single" w:color="000000" w:sz="6" w:space="0"/>
            </w:tcBorders>
            <w:noWrap w:val="0"/>
            <w:vAlign w:val="center"/>
          </w:tcPr>
          <w:p>
            <w:pPr>
              <w:adjustRightInd w:val="0"/>
              <w:snapToGrid w:val="0"/>
              <w:jc w:val="center"/>
              <w:rPr>
                <w:rFonts w:hint="default" w:ascii="Times New Roman" w:hAnsi="Times New Roman" w:eastAsia="仿宋_GB2312" w:cs="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1169" w:type="dxa"/>
            <w:vMerge w:val="restart"/>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单</w:t>
            </w:r>
          </w:p>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位</w:t>
            </w:r>
          </w:p>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概</w:t>
            </w:r>
          </w:p>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况</w:t>
            </w:r>
          </w:p>
        </w:tc>
        <w:tc>
          <w:tcPr>
            <w:tcW w:w="826" w:type="dxa"/>
            <w:vMerge w:val="restart"/>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员工</w:t>
            </w:r>
          </w:p>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总数</w:t>
            </w:r>
          </w:p>
        </w:tc>
        <w:tc>
          <w:tcPr>
            <w:tcW w:w="2393" w:type="dxa"/>
            <w:gridSpan w:val="3"/>
            <w:vMerge w:val="restart"/>
            <w:noWrap w:val="0"/>
            <w:vAlign w:val="center"/>
          </w:tcPr>
          <w:p>
            <w:pPr>
              <w:adjustRightInd w:val="0"/>
              <w:snapToGrid w:val="0"/>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 xml:space="preserve">         人</w:t>
            </w:r>
          </w:p>
        </w:tc>
        <w:tc>
          <w:tcPr>
            <w:tcW w:w="4512" w:type="dxa"/>
            <w:gridSpan w:val="3"/>
            <w:noWrap w:val="0"/>
            <w:vAlign w:val="center"/>
          </w:tcPr>
          <w:p>
            <w:pPr>
              <w:adjustRightInd w:val="0"/>
              <w:snapToGrid w:val="0"/>
              <w:ind w:firstLine="210" w:firstLineChars="100"/>
              <w:rPr>
                <w:rFonts w:hint="default" w:ascii="Times New Roman" w:hAnsi="Times New Roman" w:eastAsia="仿宋_GB2312" w:cs="Times New Roman"/>
                <w:sz w:val="21"/>
                <w:szCs w:val="21"/>
                <w:highlight w:val="none"/>
              </w:rPr>
            </w:pPr>
            <w:r>
              <w:rPr>
                <w:rFonts w:hint="eastAsia" w:eastAsia="仿宋_GB2312" w:cs="Times New Roman"/>
                <w:sz w:val="21"/>
                <w:szCs w:val="21"/>
                <w:highlight w:val="none"/>
                <w:lang w:val="en-US" w:eastAsia="zh-CN"/>
              </w:rPr>
              <w:t>XX</w:t>
            </w:r>
            <w:r>
              <w:rPr>
                <w:rFonts w:hint="default"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default"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w:t>
            </w:r>
            <w:r>
              <w:rPr>
                <w:rFonts w:hint="default"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1169" w:type="dxa"/>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826" w:type="dxa"/>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2393" w:type="dxa"/>
            <w:gridSpan w:val="3"/>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4512" w:type="dxa"/>
            <w:gridSpan w:val="3"/>
            <w:noWrap w:val="0"/>
            <w:vAlign w:val="center"/>
          </w:tcPr>
          <w:p>
            <w:pPr>
              <w:adjustRightInd w:val="0"/>
              <w:snapToGrid w:val="0"/>
              <w:ind w:firstLine="210" w:firstLineChars="100"/>
              <w:rPr>
                <w:rFonts w:hint="default" w:ascii="Times New Roman" w:hAnsi="Times New Roman" w:eastAsia="仿宋_GB2312" w:cs="Times New Roman"/>
                <w:sz w:val="21"/>
                <w:szCs w:val="21"/>
                <w:highlight w:val="none"/>
              </w:rPr>
            </w:pPr>
            <w:r>
              <w:rPr>
                <w:rFonts w:hint="eastAsia" w:eastAsia="仿宋_GB2312" w:cs="Times New Roman"/>
                <w:sz w:val="21"/>
                <w:szCs w:val="21"/>
                <w:highlight w:val="none"/>
                <w:lang w:val="en-US" w:eastAsia="zh-CN"/>
              </w:rPr>
              <w:t>XX</w:t>
            </w:r>
            <w:r>
              <w:rPr>
                <w:rFonts w:hint="default" w:ascii="Times New Roman" w:hAnsi="Times New Roman" w:eastAsia="仿宋_GB2312" w:cs="Times New Roman"/>
                <w:sz w:val="21"/>
                <w:szCs w:val="21"/>
                <w:highlight w:val="none"/>
                <w:lang w:eastAsia="zh-CN"/>
              </w:rPr>
              <w:t>：</w:t>
            </w:r>
            <w:r>
              <w:rPr>
                <w:rFonts w:hint="eastAsia"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w:t>
            </w:r>
            <w:r>
              <w:rPr>
                <w:rFonts w:hint="default"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1169" w:type="dxa"/>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826" w:type="dxa"/>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2393" w:type="dxa"/>
            <w:gridSpan w:val="3"/>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4512" w:type="dxa"/>
            <w:gridSpan w:val="3"/>
            <w:noWrap w:val="0"/>
            <w:vAlign w:val="center"/>
          </w:tcPr>
          <w:p>
            <w:pPr>
              <w:adjustRightInd w:val="0"/>
              <w:snapToGrid w:val="0"/>
              <w:ind w:firstLine="210" w:firstLineChars="100"/>
              <w:rPr>
                <w:rFonts w:hint="default" w:ascii="Times New Roman" w:hAnsi="Times New Roman" w:eastAsia="仿宋_GB2312" w:cs="Times New Roman"/>
                <w:sz w:val="21"/>
                <w:szCs w:val="21"/>
                <w:highlight w:val="none"/>
              </w:rPr>
            </w:pPr>
            <w:r>
              <w:rPr>
                <w:rFonts w:hint="eastAsia" w:eastAsia="仿宋_GB2312" w:cs="Times New Roman"/>
                <w:sz w:val="21"/>
                <w:szCs w:val="21"/>
                <w:highlight w:val="none"/>
                <w:lang w:val="en-US" w:eastAsia="zh-CN"/>
              </w:rPr>
              <w:t>XX</w:t>
            </w:r>
            <w:r>
              <w:rPr>
                <w:rFonts w:hint="default" w:ascii="Times New Roman" w:hAnsi="Times New Roman" w:eastAsia="仿宋_GB2312" w:cs="Times New Roman"/>
                <w:sz w:val="21"/>
                <w:szCs w:val="21"/>
                <w:highlight w:val="none"/>
                <w:lang w:eastAsia="zh-CN"/>
              </w:rPr>
              <w:t>：</w:t>
            </w:r>
            <w:r>
              <w:rPr>
                <w:rFonts w:hint="eastAsia"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w:t>
            </w:r>
            <w:r>
              <w:rPr>
                <w:rFonts w:hint="default"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1169" w:type="dxa"/>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826" w:type="dxa"/>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2393" w:type="dxa"/>
            <w:gridSpan w:val="3"/>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4512" w:type="dxa"/>
            <w:gridSpan w:val="3"/>
            <w:noWrap w:val="0"/>
            <w:vAlign w:val="center"/>
          </w:tcPr>
          <w:p>
            <w:pPr>
              <w:adjustRightInd w:val="0"/>
              <w:snapToGrid w:val="0"/>
              <w:ind w:firstLine="210" w:firstLineChars="100"/>
              <w:rPr>
                <w:rFonts w:hint="default" w:ascii="Times New Roman" w:hAnsi="Times New Roman" w:eastAsia="仿宋_GB2312" w:cs="Times New Roman"/>
                <w:sz w:val="21"/>
                <w:szCs w:val="21"/>
                <w:highlight w:val="none"/>
              </w:rPr>
            </w:pPr>
            <w:r>
              <w:rPr>
                <w:rFonts w:hint="eastAsia" w:eastAsia="仿宋_GB2312" w:cs="Times New Roman"/>
                <w:sz w:val="21"/>
                <w:szCs w:val="21"/>
                <w:highlight w:val="none"/>
                <w:lang w:val="en-US" w:eastAsia="zh-CN"/>
              </w:rPr>
              <w:t>XX</w:t>
            </w:r>
            <w:r>
              <w:rPr>
                <w:rFonts w:hint="default" w:ascii="Times New Roman" w:hAnsi="Times New Roman" w:eastAsia="仿宋_GB2312" w:cs="Times New Roman"/>
                <w:sz w:val="21"/>
                <w:szCs w:val="21"/>
                <w:highlight w:val="none"/>
                <w:lang w:eastAsia="zh-CN"/>
              </w:rPr>
              <w:t>：</w:t>
            </w:r>
            <w:r>
              <w:rPr>
                <w:rFonts w:hint="eastAsia"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w:t>
            </w:r>
            <w:r>
              <w:rPr>
                <w:rFonts w:hint="default"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633" w:hRule="atLeast"/>
          <w:jc w:val="center"/>
        </w:trPr>
        <w:tc>
          <w:tcPr>
            <w:tcW w:w="1169" w:type="dxa"/>
            <w:vMerge w:val="continue"/>
            <w:noWrap w:val="0"/>
            <w:vAlign w:val="center"/>
          </w:tcPr>
          <w:p>
            <w:pPr>
              <w:adjustRightInd w:val="0"/>
              <w:snapToGrid w:val="0"/>
              <w:jc w:val="center"/>
              <w:rPr>
                <w:rFonts w:hint="default" w:ascii="Times New Roman" w:hAnsi="Times New Roman" w:eastAsia="仿宋_GB2312" w:cs="Times New Roman"/>
                <w:sz w:val="21"/>
                <w:szCs w:val="21"/>
                <w:highlight w:val="none"/>
              </w:rPr>
            </w:pPr>
          </w:p>
        </w:tc>
        <w:tc>
          <w:tcPr>
            <w:tcW w:w="7731" w:type="dxa"/>
            <w:gridSpan w:val="7"/>
            <w:noWrap w:val="0"/>
            <w:vAlign w:val="center"/>
          </w:tcPr>
          <w:p>
            <w:pPr>
              <w:adjustRightInd w:val="0"/>
              <w:snapToGrid w:val="0"/>
              <w:ind w:left="0" w:leftChars="0" w:firstLine="0" w:firstLineChars="0"/>
              <w:jc w:val="both"/>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其他荣誉：</w:t>
            </w:r>
          </w:p>
        </w:tc>
      </w:tr>
    </w:tbl>
    <w:p>
      <w:pPr>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注：</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谈判申请人须在后附上</w:t>
      </w:r>
      <w:r>
        <w:rPr>
          <w:rFonts w:hint="eastAsia" w:cs="Times New Roman" w:eastAsiaTheme="minorEastAsia"/>
          <w:sz w:val="24"/>
          <w:highlight w:val="none"/>
          <w:lang w:eastAsia="zh-CN"/>
        </w:rPr>
        <w:t>最近一期经</w:t>
      </w:r>
      <w:r>
        <w:rPr>
          <w:rFonts w:hint="eastAsia" w:cs="Times New Roman" w:eastAsiaTheme="minorEastAsia"/>
          <w:sz w:val="24"/>
          <w:highlight w:val="none"/>
          <w:lang w:val="en-US" w:eastAsia="zh-CN"/>
        </w:rPr>
        <w:t>第三方</w:t>
      </w:r>
      <w:r>
        <w:rPr>
          <w:rFonts w:hint="eastAsia" w:cs="Times New Roman" w:eastAsiaTheme="minorEastAsia"/>
          <w:sz w:val="24"/>
          <w:highlight w:val="none"/>
          <w:lang w:eastAsia="zh-CN"/>
        </w:rPr>
        <w:t>审计的财务报表</w:t>
      </w:r>
      <w:r>
        <w:rPr>
          <w:rFonts w:hint="eastAsia" w:cs="Times New Roman" w:eastAsiaTheme="minorEastAsia"/>
          <w:sz w:val="24"/>
          <w:highlight w:val="none"/>
          <w:lang w:val="en-US" w:eastAsia="zh-CN"/>
        </w:rPr>
        <w:t>/报告</w:t>
      </w:r>
      <w:r>
        <w:rPr>
          <w:rFonts w:hint="eastAsia" w:asciiTheme="minorEastAsia" w:hAnsiTheme="minorEastAsia" w:eastAsiaTheme="minorEastAsia" w:cstheme="minorEastAsia"/>
          <w:color w:val="000000"/>
          <w:sz w:val="24"/>
          <w:szCs w:val="24"/>
          <w:highlight w:val="none"/>
          <w:lang w:eastAsia="zh-CN"/>
        </w:rPr>
        <w:t>。</w:t>
      </w:r>
    </w:p>
    <w:p>
      <w:pPr>
        <w:spacing w:after="100" w:afterAutospacing="1"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谈判申请人必须核实</w:t>
      </w:r>
      <w:r>
        <w:rPr>
          <w:rFonts w:hint="eastAsia" w:asciiTheme="minorEastAsia" w:hAnsiTheme="minorEastAsia" w:eastAsiaTheme="minorEastAsia" w:cstheme="minorEastAsia"/>
          <w:color w:val="000000"/>
          <w:sz w:val="24"/>
          <w:szCs w:val="24"/>
          <w:highlight w:val="none"/>
          <w:lang w:eastAsia="zh-CN"/>
        </w:rPr>
        <w:t>该</w:t>
      </w:r>
      <w:r>
        <w:rPr>
          <w:rFonts w:hint="eastAsia" w:asciiTheme="minorEastAsia" w:hAnsiTheme="minorEastAsia" w:eastAsiaTheme="minorEastAsia" w:cstheme="minorEastAsia"/>
          <w:color w:val="000000"/>
          <w:sz w:val="24"/>
          <w:szCs w:val="24"/>
          <w:highlight w:val="none"/>
        </w:rPr>
        <w:t>表的相关信息，对信息的真实性负责。</w:t>
      </w:r>
    </w:p>
    <w:p>
      <w:pPr>
        <w:adjustRightInd w:val="0"/>
        <w:snapToGrid w:val="0"/>
        <w:spacing w:line="36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谈判申请人（盖单位公章) ：</w:t>
      </w:r>
    </w:p>
    <w:p>
      <w:pPr>
        <w:adjustRightInd w:val="0"/>
        <w:snapToGrid w:val="0"/>
        <w:spacing w:line="36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法定代表人或其委托代理人（签字或盖章）：</w:t>
      </w:r>
    </w:p>
    <w:p>
      <w:pPr>
        <w:widowControl/>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r>
        <w:rPr>
          <w:rFonts w:hint="eastAsia" w:asciiTheme="majorEastAsia" w:hAnsiTheme="majorEastAsia" w:eastAsiaTheme="majorEastAsia" w:cstheme="majorEastAsia"/>
          <w:sz w:val="24"/>
          <w:highlight w:val="none"/>
        </w:rPr>
        <w:t>日期：</w:t>
      </w:r>
      <w:r>
        <w:rPr>
          <w:rFonts w:hint="default" w:ascii="Times New Roman" w:hAnsi="Times New Roman" w:cs="Times New Roman" w:eastAsiaTheme="minorEastAsia"/>
          <w:sz w:val="24"/>
          <w:highlight w:val="none"/>
        </w:rPr>
        <w:br w:type="page"/>
      </w:r>
    </w:p>
    <w:p>
      <w:pPr>
        <w:numPr>
          <w:ilvl w:val="0"/>
          <w:numId w:val="2"/>
        </w:numPr>
        <w:adjustRightInd w:val="0"/>
        <w:snapToGrid w:val="0"/>
        <w:spacing w:line="360" w:lineRule="auto"/>
        <w:jc w:val="center"/>
        <w:outlineLvl w:val="1"/>
        <w:rPr>
          <w:rFonts w:hint="default" w:ascii="Times New Roman" w:hAnsi="Times New Roman" w:eastAsia="宋体" w:cs="Times New Roman"/>
          <w:b/>
          <w:bCs/>
          <w:kern w:val="2"/>
          <w:sz w:val="28"/>
          <w:szCs w:val="28"/>
          <w:highlight w:val="none"/>
          <w:lang w:val="en-US" w:eastAsia="zh-CN" w:bidi="ar-SA"/>
        </w:rPr>
      </w:pPr>
      <w:r>
        <w:rPr>
          <w:rFonts w:hint="default" w:ascii="Times New Roman" w:hAnsi="Times New Roman" w:cs="Times New Roman"/>
          <w:b/>
          <w:bCs/>
          <w:kern w:val="2"/>
          <w:sz w:val="28"/>
          <w:szCs w:val="28"/>
          <w:highlight w:val="none"/>
          <w:lang w:val="en-US" w:eastAsia="zh-CN" w:bidi="ar-SA"/>
        </w:rPr>
        <w:t>人员配置情况</w:t>
      </w:r>
    </w:p>
    <w:p>
      <w:pPr>
        <w:pStyle w:val="3"/>
        <w:numPr>
          <w:ilvl w:val="0"/>
          <w:numId w:val="0"/>
        </w:numPr>
        <w:rPr>
          <w:rFonts w:hint="default" w:ascii="Times New Roman" w:hAnsi="Times New Roman" w:cs="Times New Roman"/>
          <w:highlight w:val="none"/>
          <w:lang w:val="en-US" w:eastAsia="zh-CN"/>
        </w:rPr>
      </w:pPr>
    </w:p>
    <w:p>
      <w:pPr>
        <w:pStyle w:val="3"/>
        <w:numPr>
          <w:ilvl w:val="0"/>
          <w:numId w:val="0"/>
        </w:numPr>
        <w:jc w:val="center"/>
        <w:rPr>
          <w:rFonts w:hint="default" w:ascii="Times New Roman" w:hAnsi="Times New Roman" w:eastAsia="楷体" w:cs="Times New Roman"/>
          <w:b w:val="0"/>
          <w:bCs w:val="0"/>
          <w:sz w:val="24"/>
          <w:szCs w:val="24"/>
          <w:highlight w:val="none"/>
          <w:lang w:val="en-US" w:eastAsia="zh-CN"/>
        </w:rPr>
      </w:pPr>
      <w:bookmarkStart w:id="163" w:name="_Toc11759960"/>
      <w:r>
        <w:rPr>
          <w:rFonts w:hint="eastAsia" w:ascii="Times New Roman" w:eastAsia="楷体" w:cs="Times New Roman"/>
          <w:b w:val="0"/>
          <w:bCs w:val="0"/>
          <w:sz w:val="24"/>
          <w:szCs w:val="24"/>
          <w:highlight w:val="none"/>
          <w:lang w:eastAsia="zh-CN"/>
        </w:rPr>
        <w:t>（一）</w:t>
      </w:r>
      <w:r>
        <w:rPr>
          <w:rFonts w:hint="default" w:ascii="Times New Roman" w:hAnsi="Times New Roman" w:eastAsia="楷体" w:cs="Times New Roman"/>
          <w:b w:val="0"/>
          <w:bCs w:val="0"/>
          <w:sz w:val="24"/>
          <w:szCs w:val="24"/>
          <w:highlight w:val="none"/>
          <w:lang w:eastAsia="zh-CN"/>
        </w:rPr>
        <w:t>项目负责</w:t>
      </w:r>
      <w:r>
        <w:rPr>
          <w:rFonts w:hint="eastAsia" w:ascii="Times New Roman" w:eastAsia="楷体" w:cs="Times New Roman"/>
          <w:b w:val="0"/>
          <w:bCs w:val="0"/>
          <w:sz w:val="24"/>
          <w:szCs w:val="24"/>
          <w:highlight w:val="none"/>
          <w:lang w:val="en-US" w:eastAsia="zh-CN"/>
        </w:rPr>
        <w:t>人</w:t>
      </w:r>
      <w:r>
        <w:rPr>
          <w:rFonts w:hint="default" w:ascii="Times New Roman" w:hAnsi="Times New Roman" w:eastAsia="楷体" w:cs="Times New Roman"/>
          <w:b w:val="0"/>
          <w:bCs w:val="0"/>
          <w:sz w:val="24"/>
          <w:szCs w:val="24"/>
          <w:highlight w:val="none"/>
          <w:lang w:eastAsia="zh-CN"/>
        </w:rPr>
        <w:t>基本情</w:t>
      </w:r>
      <w:r>
        <w:rPr>
          <w:rFonts w:hint="eastAsia" w:ascii="Times New Roman" w:eastAsia="楷体" w:cs="Times New Roman"/>
          <w:b w:val="0"/>
          <w:bCs w:val="0"/>
          <w:sz w:val="24"/>
          <w:szCs w:val="24"/>
          <w:highlight w:val="none"/>
          <w:lang w:eastAsia="zh-CN"/>
        </w:rPr>
        <w:t>况</w:t>
      </w:r>
      <w:r>
        <w:rPr>
          <w:rFonts w:hint="default" w:ascii="Times New Roman" w:hAnsi="Times New Roman" w:eastAsia="楷体" w:cs="Times New Roman"/>
          <w:b w:val="0"/>
          <w:bCs w:val="0"/>
          <w:sz w:val="24"/>
          <w:szCs w:val="24"/>
          <w:highlight w:val="none"/>
          <w:lang w:val="en-US" w:eastAsia="zh-CN"/>
        </w:rPr>
        <w:t>及主要业绩</w:t>
      </w:r>
    </w:p>
    <w:tbl>
      <w:tblPr>
        <w:tblStyle w:val="9"/>
        <w:tblW w:w="92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92"/>
        <w:gridCol w:w="923"/>
        <w:gridCol w:w="598"/>
        <w:gridCol w:w="943"/>
        <w:gridCol w:w="578"/>
        <w:gridCol w:w="665"/>
        <w:gridCol w:w="1183"/>
        <w:gridCol w:w="280"/>
        <w:gridCol w:w="912"/>
        <w:gridCol w:w="583"/>
        <w:gridCol w:w="1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96"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姓名</w:t>
            </w:r>
          </w:p>
        </w:tc>
        <w:tc>
          <w:tcPr>
            <w:tcW w:w="1521" w:type="dxa"/>
            <w:gridSpan w:val="2"/>
            <w:vAlign w:val="center"/>
          </w:tcPr>
          <w:p>
            <w:pPr>
              <w:jc w:val="center"/>
              <w:rPr>
                <w:rFonts w:hint="default" w:ascii="Times New Roman" w:hAnsi="Times New Roman" w:cs="Times New Roman"/>
                <w:color w:val="000000"/>
                <w:sz w:val="24"/>
                <w:highlight w:val="none"/>
              </w:rPr>
            </w:pPr>
          </w:p>
        </w:tc>
        <w:tc>
          <w:tcPr>
            <w:tcW w:w="1521"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性别</w:t>
            </w:r>
          </w:p>
        </w:tc>
        <w:tc>
          <w:tcPr>
            <w:tcW w:w="1848" w:type="dxa"/>
            <w:gridSpan w:val="2"/>
            <w:vAlign w:val="center"/>
          </w:tcPr>
          <w:p>
            <w:pPr>
              <w:jc w:val="center"/>
              <w:rPr>
                <w:rFonts w:hint="default" w:ascii="Times New Roman" w:hAnsi="Times New Roman" w:cs="Times New Roman"/>
                <w:color w:val="000000"/>
                <w:sz w:val="24"/>
                <w:highlight w:val="none"/>
              </w:rPr>
            </w:pPr>
          </w:p>
        </w:tc>
        <w:tc>
          <w:tcPr>
            <w:tcW w:w="1192"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年龄</w:t>
            </w:r>
          </w:p>
        </w:tc>
        <w:tc>
          <w:tcPr>
            <w:tcW w:w="2208" w:type="dxa"/>
            <w:gridSpan w:val="2"/>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96"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职务</w:t>
            </w:r>
          </w:p>
        </w:tc>
        <w:tc>
          <w:tcPr>
            <w:tcW w:w="1521" w:type="dxa"/>
            <w:gridSpan w:val="2"/>
            <w:vAlign w:val="center"/>
          </w:tcPr>
          <w:p>
            <w:pPr>
              <w:jc w:val="center"/>
              <w:rPr>
                <w:rFonts w:hint="default" w:ascii="Times New Roman" w:hAnsi="Times New Roman" w:cs="Times New Roman"/>
                <w:color w:val="000000"/>
                <w:sz w:val="24"/>
                <w:highlight w:val="none"/>
              </w:rPr>
            </w:pPr>
          </w:p>
        </w:tc>
        <w:tc>
          <w:tcPr>
            <w:tcW w:w="1521" w:type="dxa"/>
            <w:gridSpan w:val="2"/>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rPr>
              <w:t>学历</w:t>
            </w:r>
          </w:p>
        </w:tc>
        <w:tc>
          <w:tcPr>
            <w:tcW w:w="5248" w:type="dxa"/>
            <w:gridSpan w:val="6"/>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2517" w:type="dxa"/>
            <w:gridSpan w:val="4"/>
            <w:vAlign w:val="center"/>
          </w:tcPr>
          <w:p>
            <w:pPr>
              <w:jc w:val="center"/>
              <w:rPr>
                <w:rFonts w:hint="default" w:ascii="Times New Roman" w:hAnsi="Times New Roman" w:cs="Times New Roman"/>
                <w:color w:val="000000"/>
                <w:sz w:val="24"/>
                <w:highlight w:val="none"/>
              </w:rPr>
            </w:pPr>
            <w:r>
              <w:rPr>
                <w:rFonts w:hint="eastAsia" w:cs="Times New Roman"/>
                <w:color w:val="000000"/>
                <w:sz w:val="24"/>
                <w:highlight w:val="none"/>
                <w:lang w:val="en-US" w:eastAsia="zh-CN"/>
              </w:rPr>
              <w:t>类似项目</w:t>
            </w:r>
            <w:r>
              <w:rPr>
                <w:rFonts w:hint="default" w:ascii="Times New Roman" w:hAnsi="Times New Roman" w:cs="Times New Roman"/>
                <w:color w:val="000000"/>
                <w:sz w:val="24"/>
                <w:highlight w:val="none"/>
                <w:lang w:val="en-US" w:eastAsia="zh-CN"/>
              </w:rPr>
              <w:t>从业</w:t>
            </w:r>
            <w:r>
              <w:rPr>
                <w:rFonts w:hint="eastAsia" w:cs="Times New Roman"/>
                <w:color w:val="000000"/>
                <w:sz w:val="24"/>
                <w:highlight w:val="none"/>
                <w:lang w:val="en-US" w:eastAsia="zh-CN"/>
              </w:rPr>
              <w:t>年限</w:t>
            </w:r>
          </w:p>
        </w:tc>
        <w:tc>
          <w:tcPr>
            <w:tcW w:w="6769" w:type="dxa"/>
            <w:gridSpan w:val="8"/>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2517" w:type="dxa"/>
            <w:gridSpan w:val="4"/>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拟在本项目</w:t>
            </w:r>
          </w:p>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担任职务及工作内容</w:t>
            </w:r>
          </w:p>
        </w:tc>
        <w:tc>
          <w:tcPr>
            <w:tcW w:w="6769" w:type="dxa"/>
            <w:gridSpan w:val="8"/>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86" w:type="dxa"/>
            <w:gridSpan w:val="12"/>
            <w:vAlign w:val="center"/>
          </w:tcPr>
          <w:p>
            <w:pPr>
              <w:jc w:val="center"/>
              <w:rPr>
                <w:rFonts w:hint="default" w:ascii="Times New Roman" w:hAnsi="Times New Roman" w:cs="Times New Roman"/>
                <w:color w:val="000000"/>
                <w:sz w:val="24"/>
                <w:highlight w:val="none"/>
              </w:rPr>
            </w:pPr>
            <w:r>
              <w:rPr>
                <w:rFonts w:hint="eastAsia" w:cs="Times New Roman"/>
                <w:color w:val="000000"/>
                <w:sz w:val="24"/>
                <w:highlight w:val="none"/>
                <w:lang w:eastAsia="zh-CN"/>
              </w:rPr>
              <w:t>自</w:t>
            </w:r>
            <w:r>
              <w:rPr>
                <w:rFonts w:hint="eastAsia" w:cs="Times New Roman"/>
                <w:color w:val="000000"/>
                <w:sz w:val="24"/>
                <w:highlight w:val="none"/>
                <w:lang w:val="en-US" w:eastAsia="zh-CN"/>
              </w:rPr>
              <w:t>2021年3月末</w:t>
            </w:r>
            <w:r>
              <w:rPr>
                <w:rFonts w:hint="default" w:ascii="Times New Roman" w:hAnsi="Times New Roman" w:cs="Times New Roman"/>
                <w:color w:val="000000"/>
                <w:sz w:val="24"/>
                <w:highlight w:val="none"/>
              </w:rPr>
              <w:t>以来</w:t>
            </w:r>
            <w:r>
              <w:rPr>
                <w:rFonts w:hint="eastAsia" w:cs="Times New Roman"/>
                <w:color w:val="000000"/>
                <w:sz w:val="24"/>
                <w:highlight w:val="none"/>
                <w:lang w:eastAsia="zh-CN"/>
              </w:rPr>
              <w:t>近三年</w:t>
            </w:r>
            <w:r>
              <w:rPr>
                <w:rFonts w:hint="default" w:ascii="Times New Roman" w:hAnsi="Times New Roman" w:cs="Times New Roman"/>
                <w:color w:val="000000"/>
                <w:sz w:val="24"/>
                <w:highlight w:val="none"/>
              </w:rPr>
              <w:t>类似项目业绩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序号</w:t>
            </w:r>
          </w:p>
        </w:tc>
        <w:tc>
          <w:tcPr>
            <w:tcW w:w="1215" w:type="dxa"/>
            <w:gridSpan w:val="2"/>
            <w:tcBorders>
              <w:lef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eastAsia" w:cs="Times New Roman"/>
                <w:color w:val="000000"/>
                <w:sz w:val="24"/>
                <w:highlight w:val="none"/>
                <w:lang w:eastAsia="zh-CN"/>
              </w:rPr>
              <w:t>项目名称</w:t>
            </w:r>
          </w:p>
        </w:tc>
        <w:tc>
          <w:tcPr>
            <w:tcW w:w="1541" w:type="dxa"/>
            <w:gridSpan w:val="2"/>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lang w:eastAsia="zh-CN"/>
              </w:rPr>
              <w:t>委托人名称</w:t>
            </w:r>
          </w:p>
        </w:tc>
        <w:tc>
          <w:tcPr>
            <w:tcW w:w="1243"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合同</w:t>
            </w:r>
          </w:p>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签订时间</w:t>
            </w:r>
          </w:p>
        </w:tc>
        <w:tc>
          <w:tcPr>
            <w:tcW w:w="1463" w:type="dxa"/>
            <w:gridSpan w:val="2"/>
            <w:tcBorders>
              <w:righ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lang w:eastAsia="zh-CN"/>
              </w:rPr>
              <w:t>标的金额</w:t>
            </w: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rPr>
              <w:t>承担该项目的职务</w:t>
            </w:r>
          </w:p>
        </w:tc>
        <w:tc>
          <w:tcPr>
            <w:tcW w:w="1625" w:type="dxa"/>
            <w:tcBorders>
              <w:left w:val="single" w:color="auto" w:sz="4" w:space="0"/>
              <w:righ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lang w:eastAsia="zh-CN"/>
              </w:rPr>
              <w:t>项目完成情况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ind w:right="-107" w:rightChars="-51"/>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ind w:right="-107" w:rightChars="-51"/>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4</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bl>
    <w:p>
      <w:pPr>
        <w:rPr>
          <w:rFonts w:hint="default" w:ascii="Times New Roman" w:hAnsi="Times New Roman" w:cs="Times New Roman"/>
          <w:highlight w:val="none"/>
          <w:lang w:val="en-US" w:eastAsia="zh-CN"/>
        </w:rPr>
      </w:pPr>
    </w:p>
    <w:p>
      <w:pPr>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注：</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谈判申请人须在后附上项目负责</w:t>
      </w:r>
      <w:r>
        <w:rPr>
          <w:rFonts w:hint="eastAsia" w:asciiTheme="minorEastAsia" w:hAnsiTheme="minorEastAsia" w:eastAsiaTheme="minorEastAsia" w:cstheme="minorEastAsia"/>
          <w:color w:val="000000"/>
          <w:sz w:val="24"/>
          <w:szCs w:val="24"/>
          <w:highlight w:val="none"/>
          <w:lang w:eastAsia="zh-CN"/>
        </w:rPr>
        <w:t>人</w:t>
      </w:r>
      <w:r>
        <w:rPr>
          <w:rFonts w:hint="eastAsia" w:asciiTheme="minorEastAsia" w:hAnsiTheme="minorEastAsia" w:eastAsiaTheme="minorEastAsia" w:cstheme="minorEastAsia"/>
          <w:color w:val="000000"/>
          <w:sz w:val="24"/>
          <w:szCs w:val="24"/>
          <w:highlight w:val="none"/>
        </w:rPr>
        <w:t>身份证</w:t>
      </w:r>
      <w:r>
        <w:rPr>
          <w:rFonts w:hint="eastAsia" w:asciiTheme="minorEastAsia" w:hAnsiTheme="minorEastAsia" w:eastAsiaTheme="minorEastAsia" w:cstheme="minorEastAsia"/>
          <w:color w:val="000000"/>
          <w:sz w:val="24"/>
          <w:szCs w:val="24"/>
          <w:highlight w:val="none"/>
          <w:lang w:eastAsia="zh-CN"/>
        </w:rPr>
        <w:t>及相关资格证、自</w:t>
      </w:r>
      <w:r>
        <w:rPr>
          <w:rFonts w:hint="eastAsia" w:asciiTheme="minorEastAsia" w:hAnsiTheme="minorEastAsia" w:eastAsiaTheme="minorEastAsia" w:cstheme="minorEastAsia"/>
          <w:color w:val="000000"/>
          <w:sz w:val="24"/>
          <w:szCs w:val="24"/>
          <w:highlight w:val="none"/>
          <w:lang w:val="en-US" w:eastAsia="zh-CN"/>
        </w:rPr>
        <w:t>2021年3月末</w:t>
      </w:r>
      <w:r>
        <w:rPr>
          <w:rFonts w:hint="eastAsia" w:asciiTheme="minorEastAsia" w:hAnsiTheme="minorEastAsia" w:eastAsiaTheme="minorEastAsia" w:cstheme="minorEastAsia"/>
          <w:color w:val="000000"/>
          <w:sz w:val="24"/>
          <w:szCs w:val="24"/>
          <w:highlight w:val="none"/>
        </w:rPr>
        <w:t>以来</w:t>
      </w:r>
      <w:r>
        <w:rPr>
          <w:rFonts w:hint="eastAsia" w:asciiTheme="minorEastAsia" w:hAnsiTheme="minorEastAsia" w:eastAsiaTheme="minorEastAsia" w:cstheme="minorEastAsia"/>
          <w:color w:val="000000"/>
          <w:sz w:val="24"/>
          <w:szCs w:val="24"/>
          <w:highlight w:val="none"/>
          <w:lang w:eastAsia="zh-CN"/>
        </w:rPr>
        <w:t>近三年类似项目业绩的相关证明材料</w:t>
      </w:r>
      <w:r>
        <w:rPr>
          <w:rFonts w:hint="eastAsia" w:asciiTheme="minorEastAsia" w:hAnsiTheme="minorEastAsia" w:eastAsiaTheme="minorEastAsia" w:cstheme="minorEastAsia"/>
          <w:color w:val="000000"/>
          <w:sz w:val="24"/>
          <w:szCs w:val="24"/>
          <w:highlight w:val="none"/>
        </w:rPr>
        <w:t>的复印件</w:t>
      </w:r>
      <w:r>
        <w:rPr>
          <w:rFonts w:hint="eastAsia" w:asciiTheme="minorEastAsia" w:hAnsiTheme="minorEastAsia" w:eastAsiaTheme="minorEastAsia" w:cstheme="minorEastAsia"/>
          <w:color w:val="000000"/>
          <w:sz w:val="24"/>
          <w:szCs w:val="24"/>
          <w:highlight w:val="none"/>
          <w:lang w:eastAsia="zh-CN"/>
        </w:rPr>
        <w:t>，业绩证明材料需可以识别合同签订时间、标的金额、代理人</w:t>
      </w:r>
      <w:r>
        <w:rPr>
          <w:rFonts w:hint="eastAsia" w:asciiTheme="minorEastAsia" w:hAnsiTheme="minorEastAsia" w:eastAsiaTheme="minorEastAsia" w:cstheme="minorEastAsia"/>
          <w:color w:val="000000"/>
          <w:sz w:val="24"/>
          <w:szCs w:val="24"/>
          <w:highlight w:val="none"/>
          <w:lang w:val="en-US" w:eastAsia="zh-CN"/>
        </w:rPr>
        <w:t>以及能体现本项目负责人参与相关工作所承担职务的信息</w:t>
      </w:r>
      <w:r>
        <w:rPr>
          <w:rFonts w:hint="eastAsia" w:asciiTheme="minorEastAsia" w:hAnsiTheme="minorEastAsia" w:eastAsiaTheme="minorEastAsia" w:cstheme="minorEastAsia"/>
          <w:color w:val="000000"/>
          <w:sz w:val="24"/>
          <w:szCs w:val="24"/>
          <w:highlight w:val="none"/>
          <w:lang w:eastAsia="zh-CN"/>
        </w:rPr>
        <w:t>。</w:t>
      </w:r>
    </w:p>
    <w:p>
      <w:pPr>
        <w:spacing w:after="100" w:afterAutospacing="1"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谈判申请人必须核实</w:t>
      </w:r>
      <w:r>
        <w:rPr>
          <w:rFonts w:hint="eastAsia" w:asciiTheme="minorEastAsia" w:hAnsiTheme="minorEastAsia" w:eastAsiaTheme="minorEastAsia" w:cstheme="minorEastAsia"/>
          <w:color w:val="000000"/>
          <w:sz w:val="24"/>
          <w:szCs w:val="24"/>
          <w:highlight w:val="none"/>
          <w:lang w:eastAsia="zh-CN"/>
        </w:rPr>
        <w:t>该</w:t>
      </w:r>
      <w:r>
        <w:rPr>
          <w:rFonts w:hint="eastAsia" w:asciiTheme="minorEastAsia" w:hAnsiTheme="minorEastAsia" w:eastAsiaTheme="minorEastAsia" w:cstheme="minorEastAsia"/>
          <w:color w:val="000000"/>
          <w:sz w:val="24"/>
          <w:szCs w:val="24"/>
          <w:highlight w:val="none"/>
        </w:rPr>
        <w:t>表的相关信息，对信息的真实性负责。</w:t>
      </w:r>
    </w:p>
    <w:p>
      <w:pPr>
        <w:spacing w:after="100" w:afterAutospacing="1"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谈判申请人全称（加盖公章）：</w:t>
      </w:r>
    </w:p>
    <w:p>
      <w:pPr>
        <w:spacing w:after="100" w:afterAutospacing="1"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法定代表人或委托代理人（签字）：</w:t>
      </w:r>
    </w:p>
    <w:p>
      <w:pPr>
        <w:spacing w:after="100" w:afterAutospacing="1"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sz w:val="24"/>
          <w:szCs w:val="24"/>
          <w:highlight w:val="none"/>
        </w:rPr>
        <w:t xml:space="preserve">    年    月    日</w:t>
      </w:r>
    </w:p>
    <w:p>
      <w:pPr>
        <w:spacing w:line="360" w:lineRule="atLeast"/>
        <w:rPr>
          <w:rFonts w:hint="eastAsia" w:asciiTheme="minorEastAsia" w:hAnsiTheme="minorEastAsia" w:eastAsiaTheme="minorEastAsia" w:cstheme="minorEastAsia"/>
          <w:sz w:val="24"/>
          <w:szCs w:val="24"/>
          <w:highlight w:val="none"/>
        </w:rPr>
      </w:pPr>
    </w:p>
    <w:p>
      <w:pPr>
        <w:pStyle w:val="3"/>
        <w:rPr>
          <w:rFonts w:hint="eastAsia" w:asciiTheme="minorEastAsia" w:hAnsiTheme="minorEastAsia" w:eastAsiaTheme="minorEastAsia" w:cstheme="minorEastAsia"/>
          <w:sz w:val="24"/>
          <w:szCs w:val="24"/>
          <w:highlight w:val="none"/>
          <w:lang w:val="en-US" w:eastAsia="zh-CN"/>
        </w:rPr>
        <w:sectPr>
          <w:pgSz w:w="11906" w:h="16838"/>
          <w:pgMar w:top="1134" w:right="1418" w:bottom="1134" w:left="1418" w:header="510" w:footer="680" w:gutter="0"/>
          <w:pgBorders>
            <w:top w:val="none" w:sz="0" w:space="0"/>
            <w:left w:val="none" w:sz="0" w:space="0"/>
            <w:bottom w:val="none" w:sz="0" w:space="0"/>
            <w:right w:val="none" w:sz="0" w:space="0"/>
          </w:pgBorders>
          <w:cols w:space="720" w:num="1"/>
          <w:titlePg/>
          <w:docGrid w:type="linesAndChars" w:linePitch="312" w:charSpace="0"/>
        </w:sectPr>
      </w:pPr>
    </w:p>
    <w:p>
      <w:pPr>
        <w:pStyle w:val="3"/>
        <w:numPr>
          <w:ilvl w:val="0"/>
          <w:numId w:val="0"/>
        </w:numPr>
        <w:rPr>
          <w:rFonts w:hint="default" w:ascii="Times New Roman" w:hAnsi="Times New Roman" w:cs="Times New Roman"/>
          <w:highlight w:val="none"/>
          <w:lang w:val="en-US" w:eastAsia="zh-CN"/>
        </w:rPr>
      </w:pPr>
    </w:p>
    <w:p>
      <w:pPr>
        <w:pStyle w:val="3"/>
        <w:numPr>
          <w:ilvl w:val="0"/>
          <w:numId w:val="0"/>
        </w:numPr>
        <w:jc w:val="center"/>
        <w:rPr>
          <w:rFonts w:hint="default" w:ascii="Times New Roman" w:hAnsi="Times New Roman" w:eastAsia="楷体" w:cs="Times New Roman"/>
          <w:b w:val="0"/>
          <w:bCs w:val="0"/>
          <w:sz w:val="24"/>
          <w:szCs w:val="24"/>
          <w:highlight w:val="none"/>
          <w:lang w:val="en-US" w:eastAsia="zh-CN"/>
        </w:rPr>
      </w:pPr>
      <w:r>
        <w:rPr>
          <w:rFonts w:hint="eastAsia" w:ascii="Times New Roman" w:eastAsia="楷体" w:cs="Times New Roman"/>
          <w:b w:val="0"/>
          <w:bCs w:val="0"/>
          <w:sz w:val="24"/>
          <w:szCs w:val="24"/>
          <w:highlight w:val="none"/>
          <w:lang w:eastAsia="zh-CN"/>
        </w:rPr>
        <w:t>（二）现场</w:t>
      </w:r>
      <w:r>
        <w:rPr>
          <w:rFonts w:hint="default" w:ascii="Times New Roman" w:hAnsi="Times New Roman" w:eastAsia="楷体" w:cs="Times New Roman"/>
          <w:b w:val="0"/>
          <w:bCs w:val="0"/>
          <w:sz w:val="24"/>
          <w:szCs w:val="24"/>
          <w:highlight w:val="none"/>
          <w:lang w:eastAsia="zh-CN"/>
        </w:rPr>
        <w:t>负责</w:t>
      </w:r>
      <w:r>
        <w:rPr>
          <w:rFonts w:hint="eastAsia" w:ascii="Times New Roman" w:eastAsia="楷体" w:cs="Times New Roman"/>
          <w:b w:val="0"/>
          <w:bCs w:val="0"/>
          <w:sz w:val="24"/>
          <w:szCs w:val="24"/>
          <w:highlight w:val="none"/>
          <w:lang w:val="en-US" w:eastAsia="zh-CN"/>
        </w:rPr>
        <w:t>人</w:t>
      </w:r>
      <w:r>
        <w:rPr>
          <w:rFonts w:hint="default" w:ascii="Times New Roman" w:hAnsi="Times New Roman" w:eastAsia="楷体" w:cs="Times New Roman"/>
          <w:b w:val="0"/>
          <w:bCs w:val="0"/>
          <w:sz w:val="24"/>
          <w:szCs w:val="24"/>
          <w:highlight w:val="none"/>
          <w:lang w:eastAsia="zh-CN"/>
        </w:rPr>
        <w:t>基本情</w:t>
      </w:r>
      <w:r>
        <w:rPr>
          <w:rFonts w:hint="eastAsia" w:ascii="Times New Roman" w:eastAsia="楷体" w:cs="Times New Roman"/>
          <w:b w:val="0"/>
          <w:bCs w:val="0"/>
          <w:sz w:val="24"/>
          <w:szCs w:val="24"/>
          <w:highlight w:val="none"/>
          <w:lang w:eastAsia="zh-CN"/>
        </w:rPr>
        <w:t>况</w:t>
      </w:r>
      <w:r>
        <w:rPr>
          <w:rFonts w:hint="default" w:ascii="Times New Roman" w:hAnsi="Times New Roman" w:eastAsia="楷体" w:cs="Times New Roman"/>
          <w:b w:val="0"/>
          <w:bCs w:val="0"/>
          <w:sz w:val="24"/>
          <w:szCs w:val="24"/>
          <w:highlight w:val="none"/>
          <w:lang w:val="en-US" w:eastAsia="zh-CN"/>
        </w:rPr>
        <w:t>及主要业绩</w:t>
      </w:r>
    </w:p>
    <w:tbl>
      <w:tblPr>
        <w:tblStyle w:val="9"/>
        <w:tblW w:w="92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92"/>
        <w:gridCol w:w="923"/>
        <w:gridCol w:w="598"/>
        <w:gridCol w:w="943"/>
        <w:gridCol w:w="578"/>
        <w:gridCol w:w="665"/>
        <w:gridCol w:w="1183"/>
        <w:gridCol w:w="280"/>
        <w:gridCol w:w="912"/>
        <w:gridCol w:w="583"/>
        <w:gridCol w:w="1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96"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姓名</w:t>
            </w:r>
          </w:p>
        </w:tc>
        <w:tc>
          <w:tcPr>
            <w:tcW w:w="1521" w:type="dxa"/>
            <w:gridSpan w:val="2"/>
            <w:vAlign w:val="center"/>
          </w:tcPr>
          <w:p>
            <w:pPr>
              <w:jc w:val="center"/>
              <w:rPr>
                <w:rFonts w:hint="default" w:ascii="Times New Roman" w:hAnsi="Times New Roman" w:cs="Times New Roman"/>
                <w:color w:val="000000"/>
                <w:sz w:val="24"/>
                <w:highlight w:val="none"/>
              </w:rPr>
            </w:pPr>
          </w:p>
        </w:tc>
        <w:tc>
          <w:tcPr>
            <w:tcW w:w="1521"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性别</w:t>
            </w:r>
          </w:p>
        </w:tc>
        <w:tc>
          <w:tcPr>
            <w:tcW w:w="1848" w:type="dxa"/>
            <w:gridSpan w:val="2"/>
            <w:vAlign w:val="center"/>
          </w:tcPr>
          <w:p>
            <w:pPr>
              <w:jc w:val="center"/>
              <w:rPr>
                <w:rFonts w:hint="default" w:ascii="Times New Roman" w:hAnsi="Times New Roman" w:cs="Times New Roman"/>
                <w:color w:val="000000"/>
                <w:sz w:val="24"/>
                <w:highlight w:val="none"/>
              </w:rPr>
            </w:pPr>
          </w:p>
        </w:tc>
        <w:tc>
          <w:tcPr>
            <w:tcW w:w="1192"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年龄</w:t>
            </w:r>
          </w:p>
        </w:tc>
        <w:tc>
          <w:tcPr>
            <w:tcW w:w="2208" w:type="dxa"/>
            <w:gridSpan w:val="2"/>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96"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职务</w:t>
            </w:r>
          </w:p>
        </w:tc>
        <w:tc>
          <w:tcPr>
            <w:tcW w:w="1521" w:type="dxa"/>
            <w:gridSpan w:val="2"/>
            <w:vAlign w:val="center"/>
          </w:tcPr>
          <w:p>
            <w:pPr>
              <w:jc w:val="center"/>
              <w:rPr>
                <w:rFonts w:hint="default" w:ascii="Times New Roman" w:hAnsi="Times New Roman" w:cs="Times New Roman"/>
                <w:color w:val="000000"/>
                <w:sz w:val="24"/>
                <w:highlight w:val="none"/>
              </w:rPr>
            </w:pPr>
          </w:p>
        </w:tc>
        <w:tc>
          <w:tcPr>
            <w:tcW w:w="1521" w:type="dxa"/>
            <w:gridSpan w:val="2"/>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rPr>
              <w:t>学历</w:t>
            </w:r>
          </w:p>
        </w:tc>
        <w:tc>
          <w:tcPr>
            <w:tcW w:w="5248" w:type="dxa"/>
            <w:gridSpan w:val="6"/>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2517" w:type="dxa"/>
            <w:gridSpan w:val="4"/>
            <w:vAlign w:val="center"/>
          </w:tcPr>
          <w:p>
            <w:pPr>
              <w:jc w:val="center"/>
              <w:rPr>
                <w:rFonts w:hint="default" w:ascii="Times New Roman" w:hAnsi="Times New Roman" w:cs="Times New Roman"/>
                <w:color w:val="000000"/>
                <w:sz w:val="24"/>
                <w:highlight w:val="none"/>
              </w:rPr>
            </w:pPr>
            <w:r>
              <w:rPr>
                <w:rFonts w:hint="eastAsia" w:cs="Times New Roman"/>
                <w:color w:val="000000"/>
                <w:sz w:val="24"/>
                <w:highlight w:val="none"/>
                <w:lang w:val="en-US" w:eastAsia="zh-CN"/>
              </w:rPr>
              <w:t>类似项目</w:t>
            </w:r>
            <w:r>
              <w:rPr>
                <w:rFonts w:hint="default" w:ascii="Times New Roman" w:hAnsi="Times New Roman" w:cs="Times New Roman"/>
                <w:color w:val="000000"/>
                <w:sz w:val="24"/>
                <w:highlight w:val="none"/>
                <w:lang w:val="en-US" w:eastAsia="zh-CN"/>
              </w:rPr>
              <w:t>从业</w:t>
            </w:r>
            <w:r>
              <w:rPr>
                <w:rFonts w:hint="eastAsia" w:cs="Times New Roman"/>
                <w:color w:val="000000"/>
                <w:sz w:val="24"/>
                <w:highlight w:val="none"/>
                <w:lang w:val="en-US" w:eastAsia="zh-CN"/>
              </w:rPr>
              <w:t>年限</w:t>
            </w:r>
          </w:p>
        </w:tc>
        <w:tc>
          <w:tcPr>
            <w:tcW w:w="6769" w:type="dxa"/>
            <w:gridSpan w:val="8"/>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2517" w:type="dxa"/>
            <w:gridSpan w:val="4"/>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拟在本项目</w:t>
            </w:r>
          </w:p>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担任职务及工作内容</w:t>
            </w:r>
          </w:p>
        </w:tc>
        <w:tc>
          <w:tcPr>
            <w:tcW w:w="6769" w:type="dxa"/>
            <w:gridSpan w:val="8"/>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86" w:type="dxa"/>
            <w:gridSpan w:val="12"/>
            <w:vAlign w:val="center"/>
          </w:tcPr>
          <w:p>
            <w:pPr>
              <w:jc w:val="center"/>
              <w:rPr>
                <w:rFonts w:hint="default" w:ascii="Times New Roman" w:hAnsi="Times New Roman" w:cs="Times New Roman"/>
                <w:color w:val="000000"/>
                <w:sz w:val="24"/>
                <w:highlight w:val="none"/>
              </w:rPr>
            </w:pPr>
            <w:r>
              <w:rPr>
                <w:rFonts w:hint="eastAsia" w:cs="Times New Roman"/>
                <w:color w:val="000000"/>
                <w:sz w:val="24"/>
                <w:highlight w:val="none"/>
                <w:lang w:eastAsia="zh-CN"/>
              </w:rPr>
              <w:t>自</w:t>
            </w:r>
            <w:r>
              <w:rPr>
                <w:rFonts w:hint="eastAsia" w:cs="Times New Roman"/>
                <w:color w:val="000000"/>
                <w:sz w:val="24"/>
                <w:highlight w:val="none"/>
                <w:lang w:val="en-US" w:eastAsia="zh-CN"/>
              </w:rPr>
              <w:t>2021年3月末</w:t>
            </w:r>
            <w:r>
              <w:rPr>
                <w:rFonts w:hint="default" w:ascii="Times New Roman" w:hAnsi="Times New Roman" w:cs="Times New Roman"/>
                <w:color w:val="000000"/>
                <w:sz w:val="24"/>
                <w:highlight w:val="none"/>
              </w:rPr>
              <w:t>以来</w:t>
            </w:r>
            <w:r>
              <w:rPr>
                <w:rFonts w:hint="eastAsia" w:cs="Times New Roman"/>
                <w:color w:val="000000"/>
                <w:sz w:val="24"/>
                <w:highlight w:val="none"/>
                <w:lang w:eastAsia="zh-CN"/>
              </w:rPr>
              <w:t>近三年</w:t>
            </w:r>
            <w:r>
              <w:rPr>
                <w:rFonts w:hint="default" w:ascii="Times New Roman" w:hAnsi="Times New Roman" w:cs="Times New Roman"/>
                <w:color w:val="000000"/>
                <w:sz w:val="24"/>
                <w:highlight w:val="none"/>
              </w:rPr>
              <w:t>类似项目业绩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序号</w:t>
            </w:r>
          </w:p>
        </w:tc>
        <w:tc>
          <w:tcPr>
            <w:tcW w:w="1215" w:type="dxa"/>
            <w:gridSpan w:val="2"/>
            <w:tcBorders>
              <w:lef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eastAsia" w:cs="Times New Roman"/>
                <w:color w:val="000000"/>
                <w:sz w:val="24"/>
                <w:highlight w:val="none"/>
                <w:lang w:eastAsia="zh-CN"/>
              </w:rPr>
              <w:t>项目名称</w:t>
            </w:r>
          </w:p>
        </w:tc>
        <w:tc>
          <w:tcPr>
            <w:tcW w:w="1541" w:type="dxa"/>
            <w:gridSpan w:val="2"/>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lang w:eastAsia="zh-CN"/>
              </w:rPr>
              <w:t>委托人名称</w:t>
            </w:r>
          </w:p>
        </w:tc>
        <w:tc>
          <w:tcPr>
            <w:tcW w:w="1243" w:type="dxa"/>
            <w:gridSpan w:val="2"/>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合同</w:t>
            </w:r>
          </w:p>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签订时间</w:t>
            </w:r>
          </w:p>
        </w:tc>
        <w:tc>
          <w:tcPr>
            <w:tcW w:w="1463" w:type="dxa"/>
            <w:gridSpan w:val="2"/>
            <w:tcBorders>
              <w:righ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lang w:eastAsia="zh-CN"/>
              </w:rPr>
              <w:t>标的金额</w:t>
            </w: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rPr>
              <w:t>承担该项目的职务</w:t>
            </w:r>
          </w:p>
        </w:tc>
        <w:tc>
          <w:tcPr>
            <w:tcW w:w="1625" w:type="dxa"/>
            <w:tcBorders>
              <w:left w:val="single" w:color="auto" w:sz="4" w:space="0"/>
              <w:right w:val="single" w:color="auto" w:sz="4" w:space="0"/>
            </w:tcBorders>
            <w:vAlign w:val="center"/>
          </w:tcPr>
          <w:p>
            <w:pPr>
              <w:jc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lang w:eastAsia="zh-CN"/>
              </w:rPr>
              <w:t>项目完成情况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ind w:right="-107" w:rightChars="-51"/>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ind w:right="-107" w:rightChars="-51"/>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4</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right w:val="single" w:color="auto" w:sz="4" w:space="0"/>
            </w:tcBorders>
            <w:vAlign w:val="center"/>
          </w:tcPr>
          <w:p>
            <w:pPr>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1215" w:type="dxa"/>
            <w:gridSpan w:val="2"/>
            <w:tcBorders>
              <w:left w:val="single" w:color="auto" w:sz="4" w:space="0"/>
            </w:tcBorders>
            <w:vAlign w:val="center"/>
          </w:tcPr>
          <w:p>
            <w:pPr>
              <w:jc w:val="center"/>
              <w:rPr>
                <w:rFonts w:hint="default" w:ascii="Times New Roman" w:hAnsi="Times New Roman" w:cs="Times New Roman"/>
                <w:color w:val="000000"/>
                <w:sz w:val="24"/>
                <w:highlight w:val="none"/>
              </w:rPr>
            </w:pPr>
          </w:p>
        </w:tc>
        <w:tc>
          <w:tcPr>
            <w:tcW w:w="1541" w:type="dxa"/>
            <w:gridSpan w:val="2"/>
            <w:vAlign w:val="center"/>
          </w:tcPr>
          <w:p>
            <w:pPr>
              <w:jc w:val="center"/>
              <w:rPr>
                <w:rFonts w:hint="default" w:ascii="Times New Roman" w:hAnsi="Times New Roman" w:cs="Times New Roman"/>
                <w:color w:val="000000"/>
                <w:sz w:val="24"/>
                <w:highlight w:val="none"/>
              </w:rPr>
            </w:pPr>
          </w:p>
        </w:tc>
        <w:tc>
          <w:tcPr>
            <w:tcW w:w="1243" w:type="dxa"/>
            <w:gridSpan w:val="2"/>
            <w:vAlign w:val="center"/>
          </w:tcPr>
          <w:p>
            <w:pPr>
              <w:jc w:val="center"/>
              <w:rPr>
                <w:rFonts w:hint="default" w:ascii="Times New Roman" w:hAnsi="Times New Roman" w:cs="Times New Roman"/>
                <w:color w:val="000000"/>
                <w:sz w:val="24"/>
                <w:highlight w:val="none"/>
              </w:rPr>
            </w:pPr>
          </w:p>
        </w:tc>
        <w:tc>
          <w:tcPr>
            <w:tcW w:w="1463" w:type="dxa"/>
            <w:gridSpan w:val="2"/>
            <w:tcBorders>
              <w:right w:val="single" w:color="auto" w:sz="4" w:space="0"/>
            </w:tcBorders>
            <w:vAlign w:val="center"/>
          </w:tcPr>
          <w:p>
            <w:pPr>
              <w:jc w:val="center"/>
              <w:rPr>
                <w:rFonts w:hint="default" w:ascii="Times New Roman" w:hAnsi="Times New Roman" w:cs="Times New Roman"/>
                <w:color w:val="000000"/>
                <w:sz w:val="24"/>
                <w:highlight w:val="none"/>
              </w:rPr>
            </w:pPr>
          </w:p>
        </w:tc>
        <w:tc>
          <w:tcPr>
            <w:tcW w:w="1495" w:type="dxa"/>
            <w:gridSpan w:val="2"/>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c>
          <w:tcPr>
            <w:tcW w:w="1625" w:type="dxa"/>
            <w:tcBorders>
              <w:left w:val="single" w:color="auto" w:sz="4" w:space="0"/>
              <w:right w:val="single" w:color="auto" w:sz="4" w:space="0"/>
            </w:tcBorders>
            <w:vAlign w:val="center"/>
          </w:tcPr>
          <w:p>
            <w:pPr>
              <w:jc w:val="center"/>
              <w:rPr>
                <w:rFonts w:hint="default" w:ascii="Times New Roman" w:hAnsi="Times New Roman" w:cs="Times New Roman"/>
                <w:color w:val="000000"/>
                <w:sz w:val="24"/>
                <w:highlight w:val="none"/>
              </w:rPr>
            </w:pPr>
          </w:p>
        </w:tc>
      </w:tr>
    </w:tbl>
    <w:p>
      <w:pPr>
        <w:rPr>
          <w:rFonts w:hint="default" w:ascii="Times New Roman" w:hAnsi="Times New Roman" w:cs="Times New Roman"/>
          <w:highlight w:val="none"/>
          <w:lang w:val="en-US" w:eastAsia="zh-CN"/>
        </w:rPr>
      </w:pPr>
    </w:p>
    <w:p>
      <w:pPr>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注：</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谈判申请人须在后附上项目负责</w:t>
      </w:r>
      <w:r>
        <w:rPr>
          <w:rFonts w:hint="eastAsia" w:asciiTheme="minorEastAsia" w:hAnsiTheme="minorEastAsia" w:eastAsiaTheme="minorEastAsia" w:cstheme="minorEastAsia"/>
          <w:color w:val="000000"/>
          <w:sz w:val="24"/>
          <w:szCs w:val="24"/>
          <w:highlight w:val="none"/>
          <w:lang w:eastAsia="zh-CN"/>
        </w:rPr>
        <w:t>人</w:t>
      </w:r>
      <w:r>
        <w:rPr>
          <w:rFonts w:hint="eastAsia" w:asciiTheme="minorEastAsia" w:hAnsiTheme="minorEastAsia" w:eastAsiaTheme="minorEastAsia" w:cstheme="minorEastAsia"/>
          <w:color w:val="000000"/>
          <w:sz w:val="24"/>
          <w:szCs w:val="24"/>
          <w:highlight w:val="none"/>
        </w:rPr>
        <w:t>身份证</w:t>
      </w:r>
      <w:r>
        <w:rPr>
          <w:rFonts w:hint="eastAsia" w:asciiTheme="minorEastAsia" w:hAnsiTheme="minorEastAsia" w:eastAsiaTheme="minorEastAsia" w:cstheme="minorEastAsia"/>
          <w:color w:val="000000"/>
          <w:sz w:val="24"/>
          <w:szCs w:val="24"/>
          <w:highlight w:val="none"/>
          <w:lang w:eastAsia="zh-CN"/>
        </w:rPr>
        <w:t>及相关资格证、自</w:t>
      </w:r>
      <w:r>
        <w:rPr>
          <w:rFonts w:hint="eastAsia" w:asciiTheme="minorEastAsia" w:hAnsiTheme="minorEastAsia" w:eastAsiaTheme="minorEastAsia" w:cstheme="minorEastAsia"/>
          <w:color w:val="000000"/>
          <w:sz w:val="24"/>
          <w:szCs w:val="24"/>
          <w:highlight w:val="none"/>
          <w:lang w:val="en-US" w:eastAsia="zh-CN"/>
        </w:rPr>
        <w:t>2021年3月末</w:t>
      </w:r>
      <w:r>
        <w:rPr>
          <w:rFonts w:hint="eastAsia" w:asciiTheme="minorEastAsia" w:hAnsiTheme="minorEastAsia" w:eastAsiaTheme="minorEastAsia" w:cstheme="minorEastAsia"/>
          <w:color w:val="000000"/>
          <w:sz w:val="24"/>
          <w:szCs w:val="24"/>
          <w:highlight w:val="none"/>
        </w:rPr>
        <w:t>以来</w:t>
      </w:r>
      <w:r>
        <w:rPr>
          <w:rFonts w:hint="eastAsia" w:asciiTheme="minorEastAsia" w:hAnsiTheme="minorEastAsia" w:eastAsiaTheme="minorEastAsia" w:cstheme="minorEastAsia"/>
          <w:color w:val="000000"/>
          <w:sz w:val="24"/>
          <w:szCs w:val="24"/>
          <w:highlight w:val="none"/>
          <w:lang w:eastAsia="zh-CN"/>
        </w:rPr>
        <w:t>近三年类似项目业绩的相关证明材料</w:t>
      </w:r>
      <w:r>
        <w:rPr>
          <w:rFonts w:hint="eastAsia" w:asciiTheme="minorEastAsia" w:hAnsiTheme="minorEastAsia" w:eastAsiaTheme="minorEastAsia" w:cstheme="minorEastAsia"/>
          <w:color w:val="000000"/>
          <w:sz w:val="24"/>
          <w:szCs w:val="24"/>
          <w:highlight w:val="none"/>
        </w:rPr>
        <w:t>的复印件</w:t>
      </w:r>
      <w:r>
        <w:rPr>
          <w:rFonts w:hint="eastAsia" w:asciiTheme="minorEastAsia" w:hAnsiTheme="minorEastAsia" w:eastAsiaTheme="minorEastAsia" w:cstheme="minorEastAsia"/>
          <w:color w:val="000000"/>
          <w:sz w:val="24"/>
          <w:szCs w:val="24"/>
          <w:highlight w:val="none"/>
          <w:lang w:eastAsia="zh-CN"/>
        </w:rPr>
        <w:t>，业绩证明材料需可以识别合同签订时间、标的金额、代理人</w:t>
      </w:r>
      <w:r>
        <w:rPr>
          <w:rFonts w:hint="eastAsia" w:asciiTheme="minorEastAsia" w:hAnsiTheme="minorEastAsia" w:eastAsiaTheme="minorEastAsia" w:cstheme="minorEastAsia"/>
          <w:color w:val="000000"/>
          <w:sz w:val="24"/>
          <w:szCs w:val="24"/>
          <w:highlight w:val="none"/>
          <w:lang w:val="en-US" w:eastAsia="zh-CN"/>
        </w:rPr>
        <w:t>以及能体现本项目负责人参与相关工作所承担职务的信息</w:t>
      </w:r>
      <w:r>
        <w:rPr>
          <w:rFonts w:hint="eastAsia" w:asciiTheme="minorEastAsia" w:hAnsiTheme="minorEastAsia" w:eastAsiaTheme="minorEastAsia" w:cstheme="minorEastAsia"/>
          <w:color w:val="000000"/>
          <w:sz w:val="24"/>
          <w:szCs w:val="24"/>
          <w:highlight w:val="none"/>
          <w:lang w:eastAsia="zh-CN"/>
        </w:rPr>
        <w:t>。</w:t>
      </w:r>
    </w:p>
    <w:p>
      <w:pPr>
        <w:spacing w:after="100" w:afterAutospacing="1"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谈判申请人必须核实</w:t>
      </w:r>
      <w:r>
        <w:rPr>
          <w:rFonts w:hint="eastAsia" w:asciiTheme="minorEastAsia" w:hAnsiTheme="minorEastAsia" w:eastAsiaTheme="minorEastAsia" w:cstheme="minorEastAsia"/>
          <w:color w:val="000000"/>
          <w:sz w:val="24"/>
          <w:szCs w:val="24"/>
          <w:highlight w:val="none"/>
          <w:lang w:eastAsia="zh-CN"/>
        </w:rPr>
        <w:t>该</w:t>
      </w:r>
      <w:r>
        <w:rPr>
          <w:rFonts w:hint="eastAsia" w:asciiTheme="minorEastAsia" w:hAnsiTheme="minorEastAsia" w:eastAsiaTheme="minorEastAsia" w:cstheme="minorEastAsia"/>
          <w:color w:val="000000"/>
          <w:sz w:val="24"/>
          <w:szCs w:val="24"/>
          <w:highlight w:val="none"/>
        </w:rPr>
        <w:t>表的相关信息，对信息的真实性负责。</w:t>
      </w:r>
    </w:p>
    <w:p>
      <w:pPr>
        <w:spacing w:after="100" w:afterAutospacing="1"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谈判申请人全称（加盖公章）：</w:t>
      </w:r>
    </w:p>
    <w:p>
      <w:pPr>
        <w:spacing w:after="100" w:afterAutospacing="1"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法定代表人或委托代理人（签字）：</w:t>
      </w:r>
    </w:p>
    <w:p>
      <w:pPr>
        <w:spacing w:after="100" w:afterAutospacing="1"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sz w:val="24"/>
          <w:szCs w:val="24"/>
          <w:highlight w:val="none"/>
        </w:rPr>
        <w:t xml:space="preserve">    年    月    日</w:t>
      </w:r>
    </w:p>
    <w:p>
      <w:pPr>
        <w:pStyle w:val="6"/>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pStyle w:val="6"/>
        <w:rPr>
          <w:rFonts w:hint="eastAsia"/>
          <w:highlight w:val="none"/>
        </w:rPr>
      </w:pPr>
    </w:p>
    <w:p>
      <w:pPr>
        <w:pStyle w:val="4"/>
        <w:jc w:val="center"/>
        <w:rPr>
          <w:rFonts w:hint="default" w:ascii="Times New Roman" w:hAnsi="Times New Roman" w:eastAsia="楷体" w:cs="Times New Roman"/>
          <w:b w:val="0"/>
          <w:bCs w:val="0"/>
          <w:sz w:val="24"/>
          <w:szCs w:val="24"/>
          <w:highlight w:val="none"/>
          <w:lang w:val="en-US"/>
        </w:rPr>
      </w:pPr>
      <w:r>
        <w:rPr>
          <w:rFonts w:hint="eastAsia" w:ascii="Times New Roman" w:hAnsi="Times New Roman" w:eastAsia="楷体" w:cs="Times New Roman"/>
          <w:b w:val="0"/>
          <w:bCs w:val="0"/>
          <w:sz w:val="24"/>
          <w:szCs w:val="24"/>
          <w:highlight w:val="none"/>
          <w:lang w:eastAsia="zh-CN"/>
        </w:rPr>
        <w:t>（三）</w:t>
      </w:r>
      <w:r>
        <w:rPr>
          <w:rFonts w:hint="default" w:ascii="Times New Roman" w:hAnsi="Times New Roman" w:eastAsia="楷体" w:cs="Times New Roman"/>
          <w:b w:val="0"/>
          <w:bCs w:val="0"/>
          <w:sz w:val="24"/>
          <w:szCs w:val="24"/>
          <w:highlight w:val="none"/>
        </w:rPr>
        <w:t>项目</w:t>
      </w:r>
      <w:r>
        <w:rPr>
          <w:rFonts w:hint="eastAsia" w:ascii="Times New Roman" w:hAnsi="Times New Roman" w:eastAsia="楷体" w:cs="Times New Roman"/>
          <w:b w:val="0"/>
          <w:bCs w:val="0"/>
          <w:sz w:val="24"/>
          <w:szCs w:val="24"/>
          <w:highlight w:val="none"/>
          <w:lang w:eastAsia="zh-CN"/>
        </w:rPr>
        <w:t>组其他</w:t>
      </w:r>
      <w:r>
        <w:rPr>
          <w:rFonts w:hint="eastAsia" w:ascii="Times New Roman" w:hAnsi="Times New Roman" w:eastAsia="楷体" w:cs="Times New Roman"/>
          <w:b w:val="0"/>
          <w:bCs w:val="0"/>
          <w:sz w:val="24"/>
          <w:szCs w:val="24"/>
          <w:highlight w:val="none"/>
          <w:lang w:val="en-US" w:eastAsia="zh-CN"/>
        </w:rPr>
        <w:t>成员</w:t>
      </w:r>
      <w:r>
        <w:rPr>
          <w:rFonts w:hint="default" w:ascii="Times New Roman" w:hAnsi="Times New Roman" w:eastAsia="楷体" w:cs="Times New Roman"/>
          <w:b w:val="0"/>
          <w:bCs w:val="0"/>
          <w:sz w:val="24"/>
          <w:szCs w:val="24"/>
          <w:highlight w:val="none"/>
          <w:lang w:val="en-US" w:eastAsia="zh-CN"/>
        </w:rPr>
        <w:t>配置情况</w:t>
      </w:r>
      <w:r>
        <w:rPr>
          <w:rFonts w:hint="default" w:ascii="Times New Roman" w:hAnsi="Times New Roman" w:eastAsia="楷体" w:cs="Times New Roman"/>
          <w:b w:val="0"/>
          <w:bCs w:val="0"/>
          <w:sz w:val="24"/>
          <w:szCs w:val="24"/>
          <w:highlight w:val="none"/>
        </w:rPr>
        <w:t>表</w:t>
      </w:r>
      <w:bookmarkEnd w:id="163"/>
    </w:p>
    <w:tbl>
      <w:tblPr>
        <w:tblStyle w:val="9"/>
        <w:tblpPr w:leftFromText="180" w:rightFromText="180" w:vertAnchor="text" w:horzAnchor="page" w:tblpX="1597" w:tblpY="118"/>
        <w:tblOverlap w:val="never"/>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020"/>
        <w:gridCol w:w="1294"/>
        <w:gridCol w:w="296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070" w:type="dxa"/>
            <w:tcBorders>
              <w:tl2br w:val="single" w:color="auto" w:sz="4" w:space="0"/>
            </w:tcBorders>
            <w:noWrap w:val="0"/>
            <w:vAlign w:val="center"/>
          </w:tcPr>
          <w:p>
            <w:pPr>
              <w:jc w:val="center"/>
              <w:rPr>
                <w:rFonts w:hint="default" w:ascii="Times New Roman" w:hAnsi="Times New Roman" w:cs="Times New Roman"/>
                <w:color w:val="000000"/>
                <w:sz w:val="24"/>
                <w:highlight w:val="none"/>
                <w:lang w:eastAsia="zh-CN"/>
              </w:rPr>
            </w:pPr>
          </w:p>
          <w:p>
            <w:pPr>
              <w:jc w:val="center"/>
              <w:rPr>
                <w:rFonts w:hint="default" w:ascii="Times New Roman" w:hAnsi="Times New Roman" w:cs="Times New Roman"/>
                <w:color w:val="000000"/>
                <w:sz w:val="24"/>
                <w:highlight w:val="none"/>
                <w:lang w:val="en-US" w:eastAsia="zh-CN"/>
              </w:rPr>
            </w:pPr>
            <w:r>
              <w:rPr>
                <w:rFonts w:hint="eastAsia" w:cs="Times New Roman"/>
                <w:color w:val="000000"/>
                <w:sz w:val="24"/>
                <w:highlight w:val="none"/>
                <w:lang w:val="en-US" w:eastAsia="zh-CN"/>
              </w:rPr>
              <w:t xml:space="preserve">       </w:t>
            </w:r>
            <w:r>
              <w:rPr>
                <w:rFonts w:hint="default" w:ascii="Times New Roman" w:hAnsi="Times New Roman" w:cs="Times New Roman"/>
                <w:color w:val="000000"/>
                <w:sz w:val="24"/>
                <w:highlight w:val="none"/>
                <w:lang w:val="en-US" w:eastAsia="zh-CN"/>
              </w:rPr>
              <w:t>基本情况</w:t>
            </w:r>
          </w:p>
          <w:p>
            <w:pPr>
              <w:jc w:val="both"/>
              <w:rPr>
                <w:rFonts w:hint="default" w:ascii="Times New Roman" w:hAnsi="Times New Roman" w:cs="Times New Roman"/>
                <w:color w:val="000000"/>
                <w:sz w:val="24"/>
                <w:highlight w:val="none"/>
                <w:lang w:eastAsia="zh-CN"/>
              </w:rPr>
            </w:pPr>
            <w:r>
              <w:rPr>
                <w:rFonts w:hint="eastAsia" w:cs="Times New Roman"/>
                <w:color w:val="000000"/>
                <w:sz w:val="24"/>
                <w:highlight w:val="none"/>
                <w:lang w:val="en-US" w:eastAsia="zh-CN"/>
              </w:rPr>
              <w:t>人员</w:t>
            </w:r>
            <w:r>
              <w:rPr>
                <w:rFonts w:hint="default" w:ascii="Times New Roman" w:hAnsi="Times New Roman" w:cs="Times New Roman"/>
                <w:color w:val="000000"/>
                <w:sz w:val="24"/>
                <w:highlight w:val="none"/>
                <w:lang w:eastAsia="zh-CN"/>
              </w:rPr>
              <w:t>类别</w:t>
            </w:r>
          </w:p>
          <w:p>
            <w:pPr>
              <w:jc w:val="center"/>
              <w:rPr>
                <w:rFonts w:hint="default" w:ascii="Times New Roman" w:hAnsi="Times New Roman" w:cs="Times New Roman"/>
                <w:color w:val="000000"/>
                <w:sz w:val="24"/>
                <w:highlight w:val="none"/>
                <w:lang w:eastAsia="zh-CN"/>
              </w:rPr>
            </w:pPr>
          </w:p>
        </w:tc>
        <w:tc>
          <w:tcPr>
            <w:tcW w:w="1020" w:type="dxa"/>
            <w:noWrap w:val="0"/>
            <w:vAlign w:val="center"/>
          </w:tcPr>
          <w:p>
            <w:pPr>
              <w:jc w:val="center"/>
              <w:rPr>
                <w:rFonts w:hint="default" w:ascii="Times New Roman" w:hAnsi="Times New Roman" w:cs="Times New Roman"/>
                <w:color w:val="000000"/>
                <w:sz w:val="24"/>
                <w:highlight w:val="none"/>
                <w:lang w:eastAsia="zh-CN"/>
              </w:rPr>
            </w:pPr>
            <w:r>
              <w:rPr>
                <w:rFonts w:hint="default" w:ascii="Times New Roman" w:hAnsi="Times New Roman" w:cs="Times New Roman"/>
                <w:color w:val="000000"/>
                <w:sz w:val="24"/>
                <w:highlight w:val="none"/>
                <w:lang w:val="en-US" w:eastAsia="zh-CN"/>
              </w:rPr>
              <w:t>姓名</w:t>
            </w:r>
          </w:p>
        </w:tc>
        <w:tc>
          <w:tcPr>
            <w:tcW w:w="1294" w:type="dxa"/>
            <w:noWrap w:val="0"/>
            <w:vAlign w:val="center"/>
          </w:tcPr>
          <w:p>
            <w:pPr>
              <w:jc w:val="center"/>
              <w:rPr>
                <w:rFonts w:hint="default" w:ascii="Times New Roman" w:hAnsi="Times New Roman" w:cs="Times New Roman"/>
                <w:color w:val="000000"/>
                <w:sz w:val="24"/>
                <w:highlight w:val="none"/>
                <w:lang w:val="en-US" w:eastAsia="zh-CN"/>
              </w:rPr>
            </w:pPr>
            <w:r>
              <w:rPr>
                <w:rFonts w:hint="eastAsia" w:cs="Times New Roman"/>
                <w:color w:val="000000"/>
                <w:sz w:val="24"/>
                <w:highlight w:val="none"/>
                <w:lang w:val="en-US" w:eastAsia="zh-CN"/>
              </w:rPr>
              <w:t>从业</w:t>
            </w:r>
            <w:r>
              <w:rPr>
                <w:rFonts w:hint="default" w:ascii="Times New Roman" w:hAnsi="Times New Roman" w:cs="Times New Roman"/>
                <w:color w:val="000000"/>
                <w:sz w:val="24"/>
                <w:highlight w:val="none"/>
                <w:lang w:val="en-US" w:eastAsia="zh-CN"/>
              </w:rPr>
              <w:t>年限</w:t>
            </w:r>
          </w:p>
        </w:tc>
        <w:tc>
          <w:tcPr>
            <w:tcW w:w="2963" w:type="dxa"/>
            <w:noWrap w:val="0"/>
            <w:vAlign w:val="center"/>
          </w:tcPr>
          <w:p>
            <w:pPr>
              <w:jc w:val="center"/>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自202</w:t>
            </w:r>
            <w:r>
              <w:rPr>
                <w:rFonts w:hint="eastAsia" w:cs="Times New Roman"/>
                <w:color w:val="000000"/>
                <w:sz w:val="24"/>
                <w:highlight w:val="none"/>
                <w:lang w:val="en-US" w:eastAsia="zh-CN"/>
              </w:rPr>
              <w:t>1</w:t>
            </w:r>
            <w:r>
              <w:rPr>
                <w:rFonts w:hint="eastAsia" w:ascii="Times New Roman" w:hAnsi="Times New Roman" w:cs="Times New Roman"/>
                <w:color w:val="000000"/>
                <w:sz w:val="24"/>
                <w:highlight w:val="none"/>
                <w:lang w:val="en-US" w:eastAsia="zh-CN"/>
              </w:rPr>
              <w:t>年</w:t>
            </w:r>
            <w:r>
              <w:rPr>
                <w:rFonts w:hint="eastAsia" w:cs="Times New Roman"/>
                <w:color w:val="000000"/>
                <w:sz w:val="24"/>
                <w:highlight w:val="none"/>
                <w:lang w:val="en-US" w:eastAsia="zh-CN"/>
              </w:rPr>
              <w:t>3月末至今（三年内）</w:t>
            </w:r>
            <w:r>
              <w:rPr>
                <w:rFonts w:hint="default" w:ascii="Times New Roman" w:hAnsi="Times New Roman" w:cs="Times New Roman"/>
                <w:color w:val="000000"/>
                <w:sz w:val="24"/>
                <w:highlight w:val="none"/>
                <w:lang w:val="en-US" w:eastAsia="zh-CN"/>
              </w:rPr>
              <w:t>类似项目业绩</w:t>
            </w:r>
          </w:p>
        </w:tc>
        <w:tc>
          <w:tcPr>
            <w:tcW w:w="1107" w:type="dxa"/>
            <w:noWrap w:val="0"/>
            <w:vAlign w:val="center"/>
          </w:tcPr>
          <w:p>
            <w:pPr>
              <w:jc w:val="center"/>
              <w:rPr>
                <w:rFonts w:hint="default" w:ascii="Times New Roman" w:hAnsi="Times New Roman" w:cs="Times New Roman"/>
                <w:color w:val="000000"/>
                <w:sz w:val="24"/>
                <w:highlight w:val="none"/>
                <w:lang w:eastAsia="zh-CN"/>
              </w:rPr>
            </w:pPr>
            <w:r>
              <w:rPr>
                <w:rFonts w:hint="eastAsia" w:cs="Times New Roman"/>
                <w:color w:val="00000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29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29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29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r>
    </w:tbl>
    <w:p>
      <w:pPr>
        <w:numPr>
          <w:ilvl w:val="0"/>
          <w:numId w:val="0"/>
        </w:numPr>
        <w:ind w:firstLine="480" w:firstLineChars="200"/>
        <w:rPr>
          <w:rFonts w:hint="eastAsia" w:eastAsia="方正仿宋_GBK"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注：1.主要业绩叙述项目简况，合同签订时间、完成情况；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谈判申请人须在后附上项目成员身份证、资格证（如有）、自2021年3月末至今（三年内）类似项目业绩的相关证明材料的复印件，业绩证明材料需可以识别合同签订时间、标的金额以及能证明从业年限的相关资料。</w:t>
      </w:r>
    </w:p>
    <w:p>
      <w:pPr>
        <w:pStyle w:val="6"/>
        <w:rPr>
          <w:rFonts w:hint="default" w:ascii="Times New Roman" w:hAnsi="Times New Roman" w:eastAsia="方正仿宋_GBK" w:cs="Times New Roman"/>
          <w:b/>
          <w:bCs/>
          <w:sz w:val="24"/>
          <w:szCs w:val="24"/>
          <w:highlight w:val="none"/>
          <w:lang w:val="en-US" w:eastAsia="zh-CN"/>
        </w:rPr>
      </w:pPr>
    </w:p>
    <w:p>
      <w:pPr>
        <w:spacing w:after="100" w:afterAutospacing="1" w:line="360" w:lineRule="auto"/>
        <w:ind w:firstLine="42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谈判申请人全称（加盖公章）： </w:t>
      </w:r>
    </w:p>
    <w:p>
      <w:pPr>
        <w:spacing w:after="100" w:afterAutospacing="1" w:line="360" w:lineRule="auto"/>
        <w:ind w:firstLine="42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法定代表人或委托代理人（签字）： </w:t>
      </w:r>
    </w:p>
    <w:p>
      <w:pPr>
        <w:spacing w:after="100" w:afterAutospacing="1" w:line="360" w:lineRule="auto"/>
        <w:ind w:firstLine="42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日期：</w:t>
      </w:r>
      <w:r>
        <w:rPr>
          <w:rFonts w:hint="default" w:ascii="Times New Roman" w:hAnsi="Times New Roman" w:cs="Times New Roman" w:eastAsiaTheme="minorEastAsia"/>
          <w:sz w:val="24"/>
          <w:highlight w:val="none"/>
        </w:rPr>
        <w:t xml:space="preserve">    年    月    日</w:t>
      </w:r>
    </w:p>
    <w:p>
      <w:pPr>
        <w:pStyle w:val="3"/>
        <w:rPr>
          <w:rFonts w:hint="default" w:ascii="Times New Roman" w:hAnsi="Times New Roman" w:cs="Times New Roman"/>
          <w:highlight w:val="none"/>
          <w:lang w:val="en-US" w:eastAsia="zh-CN"/>
        </w:rPr>
        <w:sectPr>
          <w:headerReference r:id="rId5" w:type="first"/>
          <w:footerReference r:id="rId7" w:type="first"/>
          <w:headerReference r:id="rId4" w:type="default"/>
          <w:footerReference r:id="rId6" w:type="default"/>
          <w:pgSz w:w="11906" w:h="16838"/>
          <w:pgMar w:top="1134" w:right="1418" w:bottom="1134" w:left="1418" w:header="510" w:footer="680" w:gutter="0"/>
          <w:pgBorders>
            <w:top w:val="none" w:sz="0" w:space="0"/>
            <w:left w:val="none" w:sz="0" w:space="0"/>
            <w:bottom w:val="none" w:sz="0" w:space="0"/>
            <w:right w:val="none" w:sz="0" w:space="0"/>
          </w:pgBorders>
          <w:cols w:space="720" w:num="1"/>
          <w:titlePg/>
          <w:docGrid w:type="linesAndChars" w:linePitch="312" w:charSpace="0"/>
        </w:sectPr>
      </w:pPr>
    </w:p>
    <w:p>
      <w:pPr>
        <w:pStyle w:val="8"/>
        <w:spacing w:before="0" w:after="0" w:line="480" w:lineRule="auto"/>
        <w:jc w:val="center"/>
        <w:rPr>
          <w:rFonts w:hint="default" w:ascii="Times New Roman" w:hAnsi="Times New Roman" w:cs="Times New Roman"/>
          <w:sz w:val="28"/>
          <w:szCs w:val="28"/>
          <w:highlight w:val="none"/>
        </w:rPr>
      </w:pPr>
      <w:bookmarkStart w:id="164" w:name="_Toc11759962"/>
      <w:r>
        <w:rPr>
          <w:rFonts w:hint="default" w:ascii="Times New Roman" w:hAnsi="Times New Roman" w:cs="Times New Roman"/>
          <w:sz w:val="28"/>
          <w:szCs w:val="28"/>
          <w:highlight w:val="none"/>
        </w:rPr>
        <w:t>八、</w:t>
      </w:r>
      <w:r>
        <w:rPr>
          <w:rFonts w:hint="default" w:ascii="Times New Roman" w:hAnsi="Times New Roman" w:cs="Times New Roman"/>
          <w:sz w:val="28"/>
          <w:szCs w:val="28"/>
          <w:highlight w:val="none"/>
          <w:lang w:val="en-US" w:eastAsia="zh-CN"/>
        </w:rPr>
        <w:t>服务</w:t>
      </w:r>
      <w:r>
        <w:rPr>
          <w:rFonts w:hint="default" w:ascii="Times New Roman" w:hAnsi="Times New Roman" w:cs="Times New Roman"/>
          <w:sz w:val="28"/>
          <w:szCs w:val="28"/>
          <w:highlight w:val="none"/>
        </w:rPr>
        <w:t>方案</w:t>
      </w:r>
      <w:bookmarkEnd w:id="164"/>
    </w:p>
    <w:p>
      <w:pPr>
        <w:adjustRightInd w:val="0"/>
        <w:snapToGrid w:val="0"/>
        <w:spacing w:line="360" w:lineRule="auto"/>
        <w:ind w:firstLine="482" w:firstLineChars="200"/>
        <w:rPr>
          <w:rFonts w:hint="eastAsia" w:asciiTheme="minorEastAsia" w:hAnsiTheme="minorEastAsia" w:eastAsiaTheme="minorEastAsia" w:cstheme="minorEastAsia"/>
          <w:b/>
          <w:sz w:val="24"/>
          <w:szCs w:val="24"/>
          <w:highlight w:val="none"/>
        </w:rPr>
      </w:pPr>
    </w:p>
    <w:p>
      <w:pPr>
        <w:adjustRightInd w:val="0"/>
        <w:snapToGrid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服务</w:t>
      </w:r>
      <w:r>
        <w:rPr>
          <w:rFonts w:hint="eastAsia" w:asciiTheme="minorEastAsia" w:hAnsiTheme="minorEastAsia" w:eastAsiaTheme="minorEastAsia" w:cstheme="minorEastAsia"/>
          <w:b w:val="0"/>
          <w:bCs/>
          <w:sz w:val="24"/>
          <w:szCs w:val="24"/>
          <w:highlight w:val="none"/>
        </w:rPr>
        <w:t>包括不限于以下部分：</w:t>
      </w:r>
    </w:p>
    <w:p>
      <w:pPr>
        <w:numPr>
          <w:ilvl w:val="0"/>
          <w:numId w:val="0"/>
        </w:numPr>
        <w:adjustRightInd w:val="0"/>
        <w:snapToGrid w:val="0"/>
        <w:spacing w:line="360" w:lineRule="auto"/>
        <w:ind w:leftChars="0"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1.项目实施方案（包括但不限于工作内容、工作成果、预计工作时间进度、</w:t>
      </w:r>
      <w:r>
        <w:rPr>
          <w:rFonts w:hint="default" w:ascii="Times New Roman" w:hAnsi="Times New Roman" w:cs="Times New Roman"/>
          <w:color w:val="000000"/>
          <w:sz w:val="24"/>
          <w:highlight w:val="none"/>
        </w:rPr>
        <w:t>项目实施思路、方法</w:t>
      </w:r>
      <w:r>
        <w:rPr>
          <w:rFonts w:hint="default" w:ascii="Times New Roman" w:hAnsi="Times New Roman" w:cs="Times New Roman"/>
          <w:color w:val="000000"/>
          <w:sz w:val="24"/>
          <w:highlight w:val="none"/>
          <w:lang w:eastAsia="zh-CN"/>
        </w:rPr>
        <w:t>，项目建议</w:t>
      </w:r>
      <w:r>
        <w:rPr>
          <w:rFonts w:hint="eastAsia" w:asciiTheme="minorEastAsia" w:hAnsiTheme="minorEastAsia" w:eastAsiaTheme="minorEastAsia" w:cstheme="minorEastAsia"/>
          <w:b w:val="0"/>
          <w:bCs/>
          <w:sz w:val="24"/>
          <w:szCs w:val="24"/>
          <w:highlight w:val="none"/>
          <w:lang w:val="en-US" w:eastAsia="zh-CN"/>
        </w:rPr>
        <w:t>）</w:t>
      </w:r>
      <w:r>
        <w:rPr>
          <w:rFonts w:hint="eastAsia" w:asciiTheme="minorEastAsia" w:hAnsiTheme="minorEastAsia" w:eastAsiaTheme="minorEastAsia" w:cstheme="minorEastAsia"/>
          <w:b w:val="0"/>
          <w:bCs/>
          <w:sz w:val="24"/>
          <w:szCs w:val="24"/>
          <w:highlight w:val="none"/>
        </w:rPr>
        <w:t>；</w:t>
      </w:r>
    </w:p>
    <w:p>
      <w:pPr>
        <w:numPr>
          <w:ilvl w:val="0"/>
          <w:numId w:val="0"/>
        </w:numPr>
        <w:adjustRightInd w:val="0"/>
        <w:snapToGrid w:val="0"/>
        <w:spacing w:line="360" w:lineRule="auto"/>
        <w:ind w:left="480" w:leftChars="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rPr>
        <w:t>服务</w:t>
      </w:r>
      <w:r>
        <w:rPr>
          <w:rFonts w:hint="eastAsia" w:asciiTheme="minorEastAsia" w:hAnsiTheme="minorEastAsia" w:eastAsiaTheme="minorEastAsia" w:cstheme="minorEastAsia"/>
          <w:b w:val="0"/>
          <w:bCs/>
          <w:sz w:val="24"/>
          <w:szCs w:val="24"/>
          <w:highlight w:val="none"/>
          <w:lang w:val="en-US" w:eastAsia="zh-CN"/>
        </w:rPr>
        <w:t>廉洁</w:t>
      </w:r>
      <w:r>
        <w:rPr>
          <w:rFonts w:hint="eastAsia" w:asciiTheme="minorEastAsia" w:hAnsiTheme="minorEastAsia" w:eastAsiaTheme="minorEastAsia" w:cstheme="minorEastAsia"/>
          <w:b w:val="0"/>
          <w:bCs/>
          <w:sz w:val="24"/>
          <w:szCs w:val="24"/>
          <w:highlight w:val="none"/>
        </w:rPr>
        <w:t>承诺</w:t>
      </w:r>
      <w:r>
        <w:rPr>
          <w:rFonts w:hint="eastAsia" w:asciiTheme="minorEastAsia" w:hAnsiTheme="minorEastAsia" w:eastAsiaTheme="minorEastAsia" w:cstheme="minorEastAsia"/>
          <w:b w:val="0"/>
          <w:bCs/>
          <w:sz w:val="24"/>
          <w:szCs w:val="24"/>
          <w:highlight w:val="none"/>
          <w:lang w:eastAsia="zh-CN"/>
        </w:rPr>
        <w:t>及保障；</w:t>
      </w:r>
    </w:p>
    <w:p>
      <w:pPr>
        <w:numPr>
          <w:ilvl w:val="0"/>
          <w:numId w:val="0"/>
        </w:numPr>
        <w:adjustRightInd w:val="0"/>
        <w:snapToGrid w:val="0"/>
        <w:spacing w:line="360" w:lineRule="auto"/>
        <w:ind w:left="480" w:leftChars="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服务</w:t>
      </w:r>
      <w:r>
        <w:rPr>
          <w:rFonts w:hint="eastAsia" w:asciiTheme="minorEastAsia" w:hAnsiTheme="minorEastAsia" w:eastAsiaTheme="minorEastAsia" w:cstheme="minorEastAsia"/>
          <w:b w:val="0"/>
          <w:bCs/>
          <w:sz w:val="24"/>
          <w:szCs w:val="24"/>
          <w:highlight w:val="none"/>
          <w:lang w:val="en-US" w:eastAsia="zh-CN"/>
        </w:rPr>
        <w:t>质量</w:t>
      </w:r>
      <w:r>
        <w:rPr>
          <w:rFonts w:hint="eastAsia" w:asciiTheme="minorEastAsia" w:hAnsiTheme="minorEastAsia" w:eastAsiaTheme="minorEastAsia" w:cstheme="minorEastAsia"/>
          <w:b w:val="0"/>
          <w:bCs/>
          <w:sz w:val="24"/>
          <w:szCs w:val="24"/>
          <w:highlight w:val="none"/>
        </w:rPr>
        <w:t>承诺</w:t>
      </w:r>
      <w:r>
        <w:rPr>
          <w:rFonts w:hint="eastAsia" w:asciiTheme="minorEastAsia" w:hAnsiTheme="minorEastAsia" w:eastAsiaTheme="minorEastAsia" w:cstheme="minorEastAsia"/>
          <w:b w:val="0"/>
          <w:bCs/>
          <w:sz w:val="24"/>
          <w:szCs w:val="24"/>
          <w:highlight w:val="none"/>
          <w:lang w:eastAsia="zh-CN"/>
        </w:rPr>
        <w:t>及保障</w:t>
      </w:r>
      <w:r>
        <w:rPr>
          <w:rFonts w:hint="eastAsia" w:asciiTheme="minorEastAsia" w:hAnsiTheme="minorEastAsia" w:eastAsiaTheme="minorEastAsia" w:cstheme="minorEastAsia"/>
          <w:b w:val="0"/>
          <w:bCs/>
          <w:sz w:val="24"/>
          <w:szCs w:val="24"/>
          <w:highlight w:val="none"/>
        </w:rPr>
        <w:t>。</w:t>
      </w:r>
    </w:p>
    <w:p>
      <w:pPr>
        <w:adjustRightInd w:val="0"/>
        <w:snapToGrid w:val="0"/>
        <w:spacing w:line="360" w:lineRule="auto"/>
        <w:ind w:firstLine="482" w:firstLineChars="200"/>
        <w:jc w:val="left"/>
        <w:rPr>
          <w:rFonts w:hint="default" w:ascii="Times New Roman" w:hAnsi="Times New Roman" w:cs="Times New Roman" w:eastAsiaTheme="minorEastAsia"/>
          <w:b/>
          <w:bCs/>
          <w:snapToGrid w:val="0"/>
          <w:kern w:val="0"/>
          <w:sz w:val="24"/>
          <w:highlight w:val="none"/>
        </w:rPr>
      </w:pPr>
      <w:r>
        <w:rPr>
          <w:rFonts w:hint="default" w:ascii="Times New Roman" w:hAnsi="Times New Roman" w:cs="Times New Roman" w:eastAsiaTheme="minorEastAsia"/>
          <w:b/>
          <w:bCs/>
          <w:snapToGrid w:val="0"/>
          <w:kern w:val="0"/>
          <w:sz w:val="24"/>
          <w:highlight w:val="none"/>
        </w:rPr>
        <w:br w:type="page"/>
      </w:r>
    </w:p>
    <w:p>
      <w:pPr>
        <w:pStyle w:val="8"/>
        <w:spacing w:before="0" w:after="0" w:line="480" w:lineRule="auto"/>
        <w:rPr>
          <w:rFonts w:hint="default" w:ascii="Times New Roman" w:hAnsi="Times New Roman" w:cs="Times New Roman"/>
          <w:sz w:val="28"/>
          <w:szCs w:val="28"/>
          <w:highlight w:val="none"/>
        </w:rPr>
      </w:pPr>
      <w:bookmarkStart w:id="165" w:name="_Toc386046247"/>
      <w:bookmarkStart w:id="166" w:name="_Toc364351267"/>
      <w:bookmarkStart w:id="167" w:name="_Toc11759963"/>
      <w:bookmarkStart w:id="168" w:name="_Toc535415630"/>
      <w:r>
        <w:rPr>
          <w:rFonts w:hint="default" w:ascii="Times New Roman" w:hAnsi="Times New Roman" w:cs="Times New Roman"/>
          <w:sz w:val="28"/>
          <w:szCs w:val="28"/>
          <w:highlight w:val="none"/>
        </w:rPr>
        <w:t>九、增值服务承诺</w:t>
      </w:r>
    </w:p>
    <w:p>
      <w:pPr>
        <w:pStyle w:val="8"/>
        <w:spacing w:before="0" w:after="0" w:line="480" w:lineRule="auto"/>
        <w:jc w:val="lef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致：（招标人名称）：</w:t>
      </w:r>
    </w:p>
    <w:p>
      <w:pPr>
        <w:pStyle w:val="8"/>
        <w:spacing w:before="0" w:after="0" w:line="480" w:lineRule="auto"/>
        <w:jc w:val="left"/>
        <w:rPr>
          <w:rFonts w:hint="default" w:ascii="Times New Roman" w:hAnsi="Times New Roman" w:cs="Times New Roman"/>
          <w:b w:val="0"/>
          <w:bCs w:val="0"/>
          <w:sz w:val="28"/>
          <w:szCs w:val="28"/>
          <w:highlight w:val="none"/>
        </w:rPr>
      </w:pPr>
    </w:p>
    <w:p>
      <w:pPr>
        <w:pStyle w:val="8"/>
        <w:spacing w:before="0" w:after="0" w:line="480" w:lineRule="auto"/>
        <w:jc w:val="left"/>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此部分不提供格式，谈判申请人须针对项目实际需求提出切实可行的增值服务承诺，格式自拟。</w:t>
      </w:r>
    </w:p>
    <w:p>
      <w:pPr>
        <w:pStyle w:val="8"/>
        <w:spacing w:before="0" w:after="0" w:line="480" w:lineRule="auto"/>
        <w:rPr>
          <w:rFonts w:hint="default" w:ascii="Times New Roman" w:hAnsi="Times New Roman" w:cs="Times New Roman"/>
          <w:b w:val="0"/>
          <w:bCs w:val="0"/>
          <w:sz w:val="24"/>
          <w:szCs w:val="24"/>
          <w:highlight w:val="none"/>
        </w:rPr>
      </w:pPr>
    </w:p>
    <w:p>
      <w:pPr>
        <w:pStyle w:val="8"/>
        <w:spacing w:before="0" w:after="0" w:line="480" w:lineRule="auto"/>
        <w:rPr>
          <w:rFonts w:hint="default" w:ascii="Times New Roman" w:hAnsi="Times New Roman" w:cs="Times New Roman"/>
          <w:b w:val="0"/>
          <w:bCs w:val="0"/>
          <w:sz w:val="24"/>
          <w:szCs w:val="24"/>
          <w:highlight w:val="none"/>
        </w:rPr>
      </w:pPr>
    </w:p>
    <w:p>
      <w:pPr>
        <w:pStyle w:val="8"/>
        <w:spacing w:before="0" w:after="0" w:line="480" w:lineRule="auto"/>
        <w:rPr>
          <w:rFonts w:hint="default" w:ascii="Times New Roman" w:hAnsi="Times New Roman" w:cs="Times New Roman"/>
          <w:b w:val="0"/>
          <w:bCs w:val="0"/>
          <w:sz w:val="24"/>
          <w:szCs w:val="24"/>
          <w:highlight w:val="none"/>
        </w:rPr>
      </w:pPr>
    </w:p>
    <w:p>
      <w:pPr>
        <w:pStyle w:val="8"/>
        <w:spacing w:before="0" w:after="0" w:line="480" w:lineRule="auto"/>
        <w:jc w:val="left"/>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谈判申请人： （盖章）</w:t>
      </w:r>
    </w:p>
    <w:p>
      <w:pPr>
        <w:pStyle w:val="8"/>
        <w:spacing w:before="0" w:after="0" w:line="480" w:lineRule="auto"/>
        <w:jc w:val="left"/>
        <w:rPr>
          <w:rFonts w:hint="default" w:ascii="Times New Roman" w:hAnsi="Times New Roman" w:cs="Times New Roman"/>
          <w:b w:val="0"/>
          <w:bCs w:val="0"/>
          <w:sz w:val="24"/>
          <w:szCs w:val="24"/>
          <w:highlight w:val="none"/>
        </w:rPr>
      </w:pPr>
    </w:p>
    <w:p>
      <w:pPr>
        <w:pStyle w:val="8"/>
        <w:spacing w:before="0" w:after="0" w:line="480" w:lineRule="auto"/>
        <w:jc w:val="left"/>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法人代表人或其授权代表人：（签字或盖章）</w:t>
      </w:r>
    </w:p>
    <w:p>
      <w:pPr>
        <w:pStyle w:val="8"/>
        <w:spacing w:before="0" w:after="0" w:line="480" w:lineRule="auto"/>
        <w:rPr>
          <w:rFonts w:hint="default" w:ascii="Times New Roman" w:hAnsi="Times New Roman" w:cs="Times New Roman"/>
          <w:sz w:val="28"/>
          <w:szCs w:val="28"/>
          <w:highlight w:val="none"/>
        </w:rPr>
      </w:pPr>
    </w:p>
    <w:bookmarkEnd w:id="165"/>
    <w:bookmarkEnd w:id="166"/>
    <w:bookmarkEnd w:id="167"/>
    <w:bookmarkEnd w:id="168"/>
    <w:p>
      <w:pPr>
        <w:adjustRightInd w:val="0"/>
        <w:snapToGrid w:val="0"/>
        <w:spacing w:line="360" w:lineRule="auto"/>
        <w:rPr>
          <w:rFonts w:hint="default" w:ascii="Times New Roman" w:hAnsi="Times New Roman" w:cs="Times New Roman" w:eastAsiaTheme="minorEastAsia"/>
          <w:kern w:val="0"/>
          <w:sz w:val="24"/>
          <w:highlight w:val="none"/>
        </w:rPr>
      </w:pPr>
    </w:p>
    <w:p>
      <w:pPr>
        <w:adjustRightInd w:val="0"/>
        <w:snapToGrid w:val="0"/>
        <w:spacing w:line="360" w:lineRule="auto"/>
        <w:ind w:firstLine="482" w:firstLineChars="200"/>
        <w:jc w:val="left"/>
        <w:rPr>
          <w:rFonts w:hint="default" w:ascii="Times New Roman" w:hAnsi="Times New Roman" w:cs="Times New Roman" w:eastAsiaTheme="minorEastAsia"/>
          <w:b/>
          <w:bCs/>
          <w:kern w:val="0"/>
          <w:sz w:val="24"/>
          <w:highlight w:val="none"/>
        </w:rPr>
      </w:pPr>
    </w:p>
    <w:p>
      <w:pPr>
        <w:adjustRightInd w:val="0"/>
        <w:snapToGrid w:val="0"/>
        <w:spacing w:line="360" w:lineRule="auto"/>
        <w:ind w:firstLine="480" w:firstLineChars="200"/>
        <w:rPr>
          <w:rFonts w:hint="default" w:ascii="Times New Roman" w:hAnsi="Times New Roman" w:cs="Times New Roman" w:eastAsiaTheme="minorEastAsia"/>
          <w:b/>
          <w:kern w:val="0"/>
          <w:sz w:val="24"/>
          <w:highlight w:val="none"/>
        </w:rPr>
      </w:pPr>
      <w:bookmarkStart w:id="169" w:name="_Toc370221726"/>
      <w:bookmarkStart w:id="170" w:name="_Toc373844198"/>
      <w:bookmarkStart w:id="171" w:name="_Toc209516069"/>
      <w:bookmarkStart w:id="172" w:name="_Toc185539626"/>
      <w:bookmarkStart w:id="173" w:name="_Toc386046248"/>
      <w:bookmarkStart w:id="174" w:name="_Toc347234419"/>
      <w:bookmarkStart w:id="175" w:name="_Toc191546057"/>
      <w:bookmarkStart w:id="176" w:name="_Toc183075179"/>
      <w:bookmarkStart w:id="177" w:name="_Toc370221912"/>
      <w:bookmarkStart w:id="178" w:name="_Toc373844131"/>
      <w:bookmarkStart w:id="179" w:name="_Toc370221822"/>
      <w:r>
        <w:rPr>
          <w:rFonts w:hint="default" w:ascii="Times New Roman" w:hAnsi="Times New Roman" w:cs="Times New Roman" w:eastAsiaTheme="minorEastAsia"/>
          <w:kern w:val="0"/>
          <w:sz w:val="24"/>
          <w:highlight w:val="none"/>
        </w:rPr>
        <w:br w:type="page"/>
      </w:r>
      <w:bookmarkEnd w:id="169"/>
      <w:bookmarkEnd w:id="170"/>
      <w:bookmarkEnd w:id="171"/>
      <w:bookmarkEnd w:id="172"/>
      <w:bookmarkEnd w:id="173"/>
      <w:bookmarkEnd w:id="174"/>
      <w:bookmarkEnd w:id="175"/>
      <w:bookmarkEnd w:id="176"/>
      <w:bookmarkEnd w:id="177"/>
      <w:bookmarkEnd w:id="178"/>
      <w:bookmarkEnd w:id="179"/>
    </w:p>
    <w:p>
      <w:pPr>
        <w:pStyle w:val="8"/>
        <w:spacing w:before="0" w:after="0" w:line="480" w:lineRule="auto"/>
        <w:rPr>
          <w:rFonts w:hint="default" w:ascii="Times New Roman" w:hAnsi="Times New Roman" w:cs="Times New Roman"/>
          <w:color w:val="auto"/>
          <w:sz w:val="28"/>
          <w:szCs w:val="28"/>
          <w:highlight w:val="none"/>
        </w:rPr>
      </w:pPr>
      <w:r>
        <w:rPr>
          <w:rFonts w:hint="default" w:ascii="Times New Roman" w:hAnsi="Times New Roman" w:cs="Times New Roman" w:eastAsiaTheme="minorEastAsia"/>
          <w:b/>
          <w:bCs/>
          <w:sz w:val="24"/>
          <w:highlight w:val="none"/>
        </w:rPr>
        <w:t>十、</w:t>
      </w:r>
      <w:r>
        <w:rPr>
          <w:rFonts w:hint="default" w:ascii="Times New Roman" w:hAnsi="Times New Roman" w:cs="Times New Roman"/>
          <w:sz w:val="28"/>
          <w:szCs w:val="28"/>
          <w:highlight w:val="none"/>
        </w:rPr>
        <w:t>谈判申请</w:t>
      </w:r>
      <w:r>
        <w:rPr>
          <w:rFonts w:hint="default" w:ascii="Times New Roman" w:hAnsi="Times New Roman" w:cs="Times New Roman"/>
          <w:color w:val="auto"/>
          <w:sz w:val="28"/>
          <w:szCs w:val="28"/>
          <w:highlight w:val="none"/>
        </w:rPr>
        <w:t>单位认为有必要提供的其他资料</w:t>
      </w:r>
    </w:p>
    <w:p>
      <w:pPr>
        <w:adjustRightInd w:val="0"/>
        <w:snapToGrid w:val="0"/>
        <w:spacing w:line="360" w:lineRule="auto"/>
        <w:ind w:left="0" w:leftChars="0" w:firstLine="0" w:firstLineChars="0"/>
        <w:jc w:val="center"/>
        <w:rPr>
          <w:rFonts w:hint="default" w:ascii="Times New Roman" w:hAnsi="Times New Roman" w:cs="Times New Roman" w:eastAsiaTheme="minorEastAsia"/>
          <w:color w:val="auto"/>
          <w:kern w:val="0"/>
          <w:sz w:val="24"/>
          <w:highlight w:val="none"/>
        </w:rPr>
      </w:pPr>
      <w:r>
        <w:rPr>
          <w:rFonts w:hint="default" w:ascii="Times New Roman" w:hAnsi="Times New Roman" w:eastAsia="仿宋_GB2312" w:cs="Times New Roman"/>
          <w:b/>
          <w:bCs/>
          <w:color w:val="auto"/>
          <w:sz w:val="21"/>
          <w:szCs w:val="21"/>
          <w:highlight w:val="none"/>
        </w:rPr>
        <w:t>（内容、格式自拟）</w:t>
      </w:r>
    </w:p>
    <w:p>
      <w:pPr>
        <w:adjustRightInd w:val="0"/>
        <w:snapToGrid w:val="0"/>
        <w:spacing w:line="360" w:lineRule="auto"/>
        <w:rPr>
          <w:rFonts w:hint="default" w:ascii="Times New Roman" w:hAnsi="Times New Roman" w:cs="Times New Roman" w:eastAsiaTheme="minorEastAsia"/>
          <w:kern w:val="0"/>
          <w:sz w:val="24"/>
          <w:highlight w:val="none"/>
        </w:rPr>
      </w:pPr>
    </w:p>
    <w:p>
      <w:pPr>
        <w:autoSpaceDE w:val="0"/>
        <w:autoSpaceDN w:val="0"/>
        <w:adjustRightInd w:val="0"/>
        <w:snapToGrid w:val="0"/>
        <w:spacing w:line="360" w:lineRule="auto"/>
        <w:ind w:firstLine="482" w:firstLineChars="200"/>
        <w:jc w:val="center"/>
        <w:rPr>
          <w:rFonts w:hint="default" w:ascii="Times New Roman" w:hAnsi="Times New Roman" w:cs="Times New Roman" w:eastAsiaTheme="minorEastAsia"/>
          <w:b/>
          <w:bCs/>
          <w:sz w:val="24"/>
          <w:highlight w:val="none"/>
        </w:rPr>
      </w:pPr>
    </w:p>
    <w:p>
      <w:pPr>
        <w:widowControl/>
        <w:jc w:val="left"/>
        <w:rPr>
          <w:rFonts w:hint="default" w:ascii="Times New Roman" w:hAnsi="Times New Roman" w:cs="Times New Roman" w:eastAsiaTheme="minorEastAsia"/>
          <w:b/>
          <w:bCs/>
          <w:sz w:val="24"/>
          <w:highlight w:val="none"/>
        </w:rPr>
      </w:pPr>
      <w:bookmarkStart w:id="180" w:name="_Toc425405521"/>
      <w:bookmarkStart w:id="181" w:name="_Toc299972701"/>
      <w:bookmarkStart w:id="182" w:name="_Toc490599285"/>
      <w:bookmarkStart w:id="183" w:name="_Toc398574708"/>
      <w:bookmarkStart w:id="184" w:name="_Toc535415632"/>
      <w:bookmarkStart w:id="185" w:name="_Toc436512343"/>
      <w:r>
        <w:rPr>
          <w:rFonts w:hint="default" w:ascii="Times New Roman" w:hAnsi="Times New Roman" w:cs="Times New Roman" w:eastAsiaTheme="minorEastAsia"/>
          <w:b/>
          <w:bCs/>
          <w:sz w:val="24"/>
          <w:highlight w:val="none"/>
        </w:rPr>
        <w:br w:type="page"/>
      </w:r>
    </w:p>
    <w:bookmarkEnd w:id="180"/>
    <w:bookmarkEnd w:id="181"/>
    <w:bookmarkEnd w:id="182"/>
    <w:bookmarkEnd w:id="183"/>
    <w:bookmarkEnd w:id="184"/>
    <w:bookmarkEnd w:id="185"/>
    <w:p>
      <w:pPr>
        <w:adjustRightInd w:val="0"/>
        <w:snapToGrid w:val="0"/>
        <w:spacing w:before="156" w:beforeLines="50" w:after="156" w:afterLines="50" w:line="360" w:lineRule="auto"/>
        <w:jc w:val="center"/>
        <w:outlineLvl w:val="0"/>
        <w:rPr>
          <w:rFonts w:hint="default" w:ascii="Times New Roman" w:hAnsi="Times New Roman" w:cs="Times New Roman" w:eastAsiaTheme="minorEastAsia"/>
          <w:b/>
          <w:bCs/>
          <w:kern w:val="0"/>
          <w:sz w:val="32"/>
          <w:szCs w:val="20"/>
          <w:highlight w:val="none"/>
        </w:rPr>
      </w:pPr>
      <w:bookmarkStart w:id="186" w:name="_Toc86124091"/>
      <w:bookmarkStart w:id="187" w:name="_Toc535415633"/>
      <w:bookmarkStart w:id="188" w:name="_Toc490599286"/>
      <w:r>
        <w:rPr>
          <w:rFonts w:hint="default" w:ascii="Times New Roman" w:hAnsi="Times New Roman" w:cs="Times New Roman" w:eastAsiaTheme="minorEastAsia"/>
          <w:b/>
          <w:bCs/>
          <w:kern w:val="0"/>
          <w:sz w:val="32"/>
          <w:szCs w:val="20"/>
          <w:highlight w:val="none"/>
        </w:rPr>
        <w:t>第</w:t>
      </w:r>
      <w:r>
        <w:rPr>
          <w:rFonts w:hint="eastAsia" w:cs="Times New Roman" w:eastAsiaTheme="minorEastAsia"/>
          <w:b/>
          <w:bCs/>
          <w:kern w:val="0"/>
          <w:sz w:val="32"/>
          <w:szCs w:val="20"/>
          <w:highlight w:val="none"/>
          <w:lang w:val="en-US" w:eastAsia="zh-CN"/>
        </w:rPr>
        <w:t>四</w:t>
      </w:r>
      <w:r>
        <w:rPr>
          <w:rFonts w:hint="default" w:ascii="Times New Roman" w:hAnsi="Times New Roman" w:cs="Times New Roman" w:eastAsiaTheme="minorEastAsia"/>
          <w:b/>
          <w:bCs/>
          <w:kern w:val="0"/>
          <w:sz w:val="32"/>
          <w:szCs w:val="20"/>
          <w:highlight w:val="none"/>
        </w:rPr>
        <w:t>章 项目需求及要求</w:t>
      </w:r>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textAlignment w:val="auto"/>
        <w:rPr>
          <w:rFonts w:hint="eastAsia" w:ascii="黑体" w:hAnsi="黑体" w:eastAsia="黑体" w:cs="黑体"/>
          <w:i w:val="0"/>
          <w:caps w:val="0"/>
          <w:color w:val="333333"/>
          <w:spacing w:val="0"/>
          <w:sz w:val="24"/>
          <w:szCs w:val="24"/>
          <w:highlight w:val="none"/>
          <w:lang w:eastAsia="zh-CN"/>
        </w:rPr>
      </w:pPr>
      <w:bookmarkStart w:id="189" w:name="_Toc490599302"/>
      <w:bookmarkStart w:id="190" w:name="_Toc535415634"/>
      <w:bookmarkStart w:id="191" w:name="_Toc86124092"/>
      <w:r>
        <w:rPr>
          <w:rFonts w:hint="eastAsia" w:ascii="黑体" w:hAnsi="黑体" w:eastAsia="黑体" w:cs="黑体"/>
          <w:i w:val="0"/>
          <w:caps w:val="0"/>
          <w:color w:val="333333"/>
          <w:spacing w:val="0"/>
          <w:sz w:val="24"/>
          <w:szCs w:val="24"/>
          <w:highlight w:val="none"/>
          <w:lang w:eastAsia="zh-CN"/>
        </w:rPr>
        <w:t>一、项目需求</w:t>
      </w:r>
    </w:p>
    <w:p>
      <w:pPr>
        <w:numPr>
          <w:ilvl w:val="0"/>
          <w:numId w:val="0"/>
        </w:numPr>
        <w:spacing w:beforeLines="-2147483648" w:afterLines="-2147483648" w:line="360" w:lineRule="auto"/>
        <w:ind w:firstLine="480" w:firstLineChars="200"/>
        <w:rPr>
          <w:rFonts w:hint="eastAsia" w:asciiTheme="minorEastAsia" w:hAnsiTheme="minorEastAsia" w:eastAsiaTheme="minorEastAsia" w:cstheme="minorEastAsia"/>
          <w:b w:val="0"/>
          <w:color w:val="auto"/>
          <w:kern w:val="2"/>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eastAsia="zh-CN"/>
        </w:rPr>
        <w:t>根据《中央企业全面风险管理指引》、《中央企业重大经营风险事件报告工作规则》、《关于加强中央企业内部控制体系建设与监督工作的实施意见》等文件要求，</w:t>
      </w:r>
      <w:r>
        <w:rPr>
          <w:rFonts w:hint="eastAsia" w:asciiTheme="minorEastAsia" w:hAnsiTheme="minorEastAsia" w:eastAsiaTheme="minorEastAsia" w:cstheme="minorEastAsia"/>
          <w:color w:val="auto"/>
          <w:sz w:val="24"/>
          <w:szCs w:val="24"/>
          <w:highlight w:val="none"/>
          <w:lang w:val="en-US" w:eastAsia="zh-CN"/>
        </w:rPr>
        <w:t>企业需“</w:t>
      </w:r>
      <w:r>
        <w:rPr>
          <w:rFonts w:hint="eastAsia" w:asciiTheme="minorEastAsia" w:hAnsiTheme="minorEastAsia" w:eastAsiaTheme="minorEastAsia" w:cstheme="minorEastAsia"/>
          <w:color w:val="auto"/>
          <w:sz w:val="24"/>
          <w:szCs w:val="24"/>
          <w:highlight w:val="none"/>
          <w:lang w:eastAsia="zh-CN"/>
        </w:rPr>
        <w:t>建立健全以风险管理为导向、合规管理监督为重点，严格、规范、全面、有效的内控体系，实现强内控、防风险、促合规的管控目标”。通过建立全面风险管理体系，以防控集团未来3至5年</w:t>
      </w:r>
      <w:r>
        <w:rPr>
          <w:rFonts w:hint="eastAsia" w:asciiTheme="minorEastAsia" w:hAnsiTheme="minorEastAsia" w:eastAsiaTheme="minorEastAsia" w:cstheme="minorEastAsia"/>
          <w:color w:val="auto"/>
          <w:sz w:val="24"/>
          <w:szCs w:val="24"/>
          <w:highlight w:val="none"/>
          <w:lang w:val="en-US" w:eastAsia="zh-CN"/>
        </w:rPr>
        <w:t>的重要领域、</w:t>
      </w:r>
      <w:r>
        <w:rPr>
          <w:rFonts w:hint="eastAsia" w:asciiTheme="minorEastAsia" w:hAnsiTheme="minorEastAsia" w:eastAsiaTheme="minorEastAsia" w:cstheme="minorEastAsia"/>
          <w:color w:val="auto"/>
          <w:sz w:val="24"/>
          <w:szCs w:val="24"/>
          <w:highlight w:val="none"/>
          <w:lang w:eastAsia="zh-CN"/>
        </w:rPr>
        <w:t>可能面临的重</w:t>
      </w:r>
      <w:r>
        <w:rPr>
          <w:rFonts w:hint="eastAsia" w:asciiTheme="minorEastAsia" w:hAnsiTheme="minorEastAsia" w:eastAsiaTheme="minorEastAsia" w:cstheme="minorEastAsia"/>
          <w:color w:val="auto"/>
          <w:sz w:val="24"/>
          <w:szCs w:val="24"/>
          <w:highlight w:val="none"/>
          <w:lang w:val="en-US" w:eastAsia="zh-CN"/>
        </w:rPr>
        <w:t>大</w:t>
      </w:r>
      <w:r>
        <w:rPr>
          <w:rFonts w:hint="eastAsia" w:asciiTheme="minorEastAsia" w:hAnsiTheme="minorEastAsia" w:eastAsiaTheme="minorEastAsia" w:cstheme="minorEastAsia"/>
          <w:color w:val="auto"/>
          <w:sz w:val="24"/>
          <w:szCs w:val="24"/>
          <w:highlight w:val="none"/>
          <w:lang w:eastAsia="zh-CN"/>
        </w:rPr>
        <w:t>风险，实现风险“可预警、可量化、可防范和可控制”的目标；</w:t>
      </w:r>
      <w:r>
        <w:rPr>
          <w:rFonts w:hint="eastAsia" w:asciiTheme="minorEastAsia" w:hAnsiTheme="minorEastAsia" w:eastAsiaTheme="minorEastAsia" w:cstheme="minorEastAsia"/>
          <w:color w:val="auto"/>
          <w:sz w:val="24"/>
          <w:szCs w:val="24"/>
          <w:highlight w:val="none"/>
          <w:lang w:val="en-US" w:eastAsia="zh-CN"/>
        </w:rPr>
        <w:t>同时，在风险管理体系搭建的基础上，将风险点和合规“三张清单”嵌入内控流程，</w:t>
      </w:r>
      <w:r>
        <w:rPr>
          <w:rFonts w:hint="eastAsia" w:asciiTheme="minorEastAsia" w:hAnsiTheme="minorEastAsia" w:eastAsiaTheme="minorEastAsia" w:cstheme="minorEastAsia"/>
          <w:b w:val="0"/>
          <w:color w:val="auto"/>
          <w:kern w:val="2"/>
          <w:sz w:val="24"/>
          <w:szCs w:val="24"/>
          <w:highlight w:val="none"/>
          <w:lang w:val="en-US" w:eastAsia="zh-CN" w:bidi="ar"/>
        </w:rPr>
        <w:t>加强合规、风控、内控和制度的协同运作。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二、服务要求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风险管理组织架构建设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搭建集团总部风险管理组织体系，明确各组织机构风险管理职责和“三道防线”划分，落实风险管理职责分工，实现风险管理的边界界定</w:t>
      </w:r>
      <w:r>
        <w:rPr>
          <w:rFonts w:hint="eastAsia" w:asciiTheme="minorEastAsia" w:hAnsiTheme="minorEastAsia" w:eastAsiaTheme="minorEastAsia" w:cstheme="minorEastAsia"/>
          <w:color w:val="auto"/>
          <w:sz w:val="24"/>
          <w:szCs w:val="24"/>
          <w:highlight w:val="none"/>
          <w:lang w:eastAsia="zh-CN"/>
        </w:rPr>
        <w:t>。</w:t>
      </w:r>
    </w:p>
    <w:p>
      <w:pPr>
        <w:numPr>
          <w:ilvl w:val="0"/>
          <w:numId w:val="0"/>
        </w:numPr>
        <w:adjustRightInd/>
        <w:snapToGrid/>
        <w:spacing w:before="0" w:beforeLines="-2147483648" w:after="0" w:afterLines="-2147483648" w:line="360" w:lineRule="auto"/>
        <w:ind w:firstLine="480" w:firstLineChars="200"/>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2.风险管理运行机制搭建。</w:t>
      </w:r>
    </w:p>
    <w:p>
      <w:pPr>
        <w:numPr>
          <w:ilvl w:val="0"/>
          <w:numId w:val="0"/>
        </w:numPr>
        <w:adjustRightInd/>
        <w:snapToGrid/>
        <w:spacing w:before="0" w:beforeLines="-2147483648" w:after="0" w:afterLines="-2147483648"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lang w:val="en-US" w:eastAsia="zh-CN"/>
        </w:rPr>
        <w:t>1</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风控现状诊断。通过评估集团风控管理现状，分析风险管理成熟度、对标集团所处行业标杆企业，提出风险管理建设与能力提升建议，形成《风险管理现状诊断报告》。</w:t>
      </w:r>
    </w:p>
    <w:p>
      <w:pPr>
        <w:numPr>
          <w:ilvl w:val="0"/>
          <w:numId w:val="0"/>
        </w:numPr>
        <w:adjustRightInd/>
        <w:snapToGrid/>
        <w:spacing w:before="0" w:beforeLines="-2147483648" w:after="0" w:afterLines="-2147483648"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风险识别与评估。通过各个业务部门风险点的梳理、行业风险信息的收集，确定风险评估标准，分析重大事风险成因，开展风险评估和排序；绘制风险热力图，分析评估差异和评估结果，建立完善集团《风险数据库》，完成《风险评估报告》。</w:t>
      </w:r>
    </w:p>
    <w:p>
      <w:pPr>
        <w:numPr>
          <w:ilvl w:val="0"/>
          <w:numId w:val="0"/>
        </w:numPr>
        <w:adjustRightInd/>
        <w:snapToGrid/>
        <w:spacing w:before="0" w:beforeLines="-2147483648" w:after="0" w:afterLines="-2147483648"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风险管理手册。建立风险收集、评估、应对、监控预警、风险报告、重大风险解决方案、风险工作考核等流程和机制，细化风险管理工作流程，形成《全面风险管理手册》，并完善风险管理基本制度。</w:t>
      </w:r>
    </w:p>
    <w:p>
      <w:pPr>
        <w:numPr>
          <w:ilvl w:val="0"/>
          <w:numId w:val="0"/>
        </w:numPr>
        <w:adjustRightInd/>
        <w:snapToGrid/>
        <w:spacing w:before="0" w:beforeLines="-2147483648" w:after="0" w:afterLines="-2147483648"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风险应对。结合前期工作成果，针对风险评估确定的前十</w:t>
      </w:r>
      <w:r>
        <w:rPr>
          <w:rFonts w:hint="eastAsia" w:asciiTheme="minorEastAsia" w:hAnsiTheme="minorEastAsia" w:eastAsiaTheme="minorEastAsia" w:cstheme="minorEastAsia"/>
          <w:color w:val="auto"/>
          <w:sz w:val="24"/>
          <w:szCs w:val="24"/>
          <w:highlight w:val="none"/>
          <w:lang w:val="en-US" w:eastAsia="zh-CN"/>
        </w:rPr>
        <w:t>大</w:t>
      </w:r>
      <w:r>
        <w:rPr>
          <w:rFonts w:hint="eastAsia" w:asciiTheme="minorEastAsia" w:hAnsiTheme="minorEastAsia" w:eastAsiaTheme="minorEastAsia" w:cstheme="minorEastAsia"/>
          <w:color w:val="auto"/>
          <w:sz w:val="24"/>
          <w:szCs w:val="24"/>
          <w:highlight w:val="none"/>
        </w:rPr>
        <w:t>风险，提出风险应对策略建议，编制《集团关注的前10</w:t>
      </w:r>
      <w:r>
        <w:rPr>
          <w:rFonts w:hint="eastAsia" w:asciiTheme="minorEastAsia" w:hAnsiTheme="minorEastAsia" w:eastAsiaTheme="minorEastAsia" w:cstheme="minorEastAsia"/>
          <w:color w:val="auto"/>
          <w:sz w:val="24"/>
          <w:szCs w:val="24"/>
          <w:highlight w:val="none"/>
          <w:lang w:val="en-US" w:eastAsia="zh-CN"/>
        </w:rPr>
        <w:t>大</w:t>
      </w:r>
      <w:r>
        <w:rPr>
          <w:rFonts w:hint="eastAsia" w:asciiTheme="minorEastAsia" w:hAnsiTheme="minorEastAsia" w:eastAsiaTheme="minorEastAsia" w:cstheme="minorEastAsia"/>
          <w:color w:val="auto"/>
          <w:sz w:val="24"/>
          <w:szCs w:val="24"/>
          <w:highlight w:val="none"/>
        </w:rPr>
        <w:t>风险分析及应对策略建议》。</w:t>
      </w:r>
    </w:p>
    <w:p>
      <w:pPr>
        <w:keepNext w:val="0"/>
        <w:keepLines w:val="0"/>
        <w:widowControl/>
        <w:numPr>
          <w:ilvl w:val="0"/>
          <w:numId w:val="0"/>
        </w:numPr>
        <w:suppressLineNumbers w:val="0"/>
        <w:adjustRightInd/>
        <w:snapToGrid/>
        <w:spacing w:before="0" w:beforeLines="-2147483648" w:beforeAutospacing="0" w:after="0" w:afterLines="-2147483648" w:afterAutospacing="0" w:line="360" w:lineRule="auto"/>
        <w:ind w:left="0" w:right="0" w:firstLine="480" w:firstLineChars="200"/>
        <w:jc w:val="left"/>
        <w:rPr>
          <w:rFonts w:hint="eastAsia" w:asciiTheme="minorEastAsia" w:hAnsiTheme="minorEastAsia" w:eastAsiaTheme="minorEastAsia" w:cstheme="minorEastAsia"/>
          <w:i w:val="0"/>
          <w:caps w:val="0"/>
          <w:color w:val="auto"/>
          <w:spacing w:val="0"/>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
        </w:rPr>
        <w:t>（5）风险数据库常态化更新：</w:t>
      </w:r>
      <w:r>
        <w:rPr>
          <w:rFonts w:hint="eastAsia" w:asciiTheme="minorEastAsia" w:hAnsiTheme="minorEastAsia" w:eastAsiaTheme="minorEastAsia" w:cstheme="minorEastAsia"/>
          <w:i w:val="0"/>
          <w:caps w:val="0"/>
          <w:color w:val="auto"/>
          <w:spacing w:val="0"/>
          <w:kern w:val="2"/>
          <w:sz w:val="24"/>
          <w:szCs w:val="24"/>
          <w:highlight w:val="none"/>
          <w:lang w:val="en-US" w:eastAsia="zh-CN" w:bidi="ar"/>
        </w:rPr>
        <w:t>持续开展风险评估并检查风险评估结果和风险控制效果，</w:t>
      </w:r>
      <w:r>
        <w:rPr>
          <w:rFonts w:hint="eastAsia" w:asciiTheme="minorEastAsia" w:hAnsiTheme="minorEastAsia" w:eastAsiaTheme="minorEastAsia" w:cstheme="minorEastAsia"/>
          <w:i w:val="0"/>
          <w:caps w:val="0"/>
          <w:color w:val="auto"/>
          <w:spacing w:val="0"/>
          <w:kern w:val="2"/>
          <w:sz w:val="24"/>
          <w:szCs w:val="24"/>
          <w:highlight w:val="none"/>
          <w:lang w:eastAsia="zh-CN" w:bidi="ar"/>
        </w:rPr>
        <w:t>定期</w:t>
      </w:r>
      <w:r>
        <w:rPr>
          <w:rFonts w:hint="eastAsia" w:asciiTheme="minorEastAsia" w:hAnsiTheme="minorEastAsia" w:eastAsiaTheme="minorEastAsia" w:cstheme="minorEastAsia"/>
          <w:i w:val="0"/>
          <w:caps w:val="0"/>
          <w:color w:val="auto"/>
          <w:spacing w:val="0"/>
          <w:kern w:val="2"/>
          <w:sz w:val="24"/>
          <w:szCs w:val="24"/>
          <w:highlight w:val="none"/>
          <w:lang w:val="en-US" w:eastAsia="zh-CN" w:bidi="ar"/>
        </w:rPr>
        <w:t>更新风险数据库并调整风险应对策略</w:t>
      </w:r>
      <w:r>
        <w:rPr>
          <w:rFonts w:hint="eastAsia" w:asciiTheme="minorEastAsia" w:hAnsiTheme="minorEastAsia" w:eastAsiaTheme="minorEastAsia" w:cstheme="minorEastAsia"/>
          <w:i w:val="0"/>
          <w:caps w:val="0"/>
          <w:color w:val="auto"/>
          <w:spacing w:val="0"/>
          <w:kern w:val="2"/>
          <w:sz w:val="24"/>
          <w:szCs w:val="24"/>
          <w:highlight w:val="none"/>
          <w:shd w:val="clear"/>
          <w:lang w:val="en-US" w:eastAsia="zh-CN" w:bidi="ar"/>
        </w:rPr>
        <w:t>，确保</w:t>
      </w:r>
      <w:r>
        <w:rPr>
          <w:rFonts w:hint="eastAsia" w:asciiTheme="minorEastAsia" w:hAnsiTheme="minorEastAsia" w:eastAsiaTheme="minorEastAsia" w:cstheme="minorEastAsia"/>
          <w:i w:val="0"/>
          <w:caps w:val="0"/>
          <w:color w:val="auto"/>
          <w:spacing w:val="0"/>
          <w:kern w:val="2"/>
          <w:sz w:val="24"/>
          <w:szCs w:val="24"/>
          <w:highlight w:val="none"/>
          <w:lang w:val="en-US" w:eastAsia="zh-CN" w:bidi="ar"/>
        </w:rPr>
        <w:t>风险识别准确、应对及时、措施有效。</w:t>
      </w:r>
    </w:p>
    <w:p>
      <w:pPr>
        <w:numPr>
          <w:ilvl w:val="0"/>
          <w:numId w:val="0"/>
        </w:numPr>
        <w:spacing w:before="0" w:beforeLines="-2147483648" w:after="0" w:afterLines="-2147483648" w:line="360" w:lineRule="auto"/>
        <w:ind w:firstLine="480" w:firstLineChars="200"/>
        <w:jc w:val="left"/>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
        </w:rPr>
        <w:t>（6）风险报告。形成定期和不定期相结合的风险报告机制，对于重大风险，建立应急处置机制；同时，形成风险管理考核机制，对风险进行闭环管理。</w:t>
      </w:r>
    </w:p>
    <w:p>
      <w:pPr>
        <w:numPr>
          <w:ilvl w:val="0"/>
          <w:numId w:val="0"/>
        </w:numPr>
        <w:spacing w:beforeLines="-2147483648" w:afterLines="-2147483648"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3.协助配合将风险点和合规“三张清单”嵌入内控流程，</w:t>
      </w:r>
      <w:r>
        <w:rPr>
          <w:rFonts w:hint="eastAsia" w:asciiTheme="minorEastAsia" w:hAnsiTheme="minorEastAsia" w:eastAsiaTheme="minorEastAsia" w:cstheme="minorEastAsia"/>
          <w:b w:val="0"/>
          <w:color w:val="auto"/>
          <w:kern w:val="2"/>
          <w:sz w:val="24"/>
          <w:szCs w:val="24"/>
          <w:highlight w:val="none"/>
          <w:lang w:val="en-US" w:eastAsia="zh-CN" w:bidi="ar"/>
        </w:rPr>
        <w:t>加强合规、风控、内控和制度的协同运作。</w:t>
      </w:r>
    </w:p>
    <w:p>
      <w:pPr>
        <w:numPr>
          <w:ilvl w:val="0"/>
          <w:numId w:val="0"/>
        </w:numPr>
        <w:spacing w:line="360" w:lineRule="auto"/>
        <w:ind w:firstLine="480"/>
        <w:jc w:val="left"/>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4.成果汇报及其他本项目所需的咨询、宣贯服务。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黑体" w:hAnsi="黑体" w:eastAsia="黑体" w:cs="黑体"/>
          <w:b w:val="0"/>
          <w:color w:val="auto"/>
          <w:sz w:val="24"/>
          <w:szCs w:val="24"/>
          <w:highlight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本项目谈判评审小组按综合评分由高到低进行排名，推荐综合排名第1的单位作为成交候选人。</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p>
    <w:p>
      <w:pPr>
        <w:keepNext/>
        <w:autoSpaceDE w:val="0"/>
        <w:autoSpaceDN w:val="0"/>
        <w:adjustRightInd w:val="0"/>
        <w:jc w:val="center"/>
        <w:outlineLvl w:val="0"/>
        <w:rPr>
          <w:rFonts w:hint="default" w:ascii="Times New Roman" w:hAnsi="Times New Roman" w:cs="Times New Roman"/>
          <w:sz w:val="36"/>
          <w:szCs w:val="32"/>
          <w:highlight w:val="none"/>
        </w:rPr>
      </w:pPr>
      <w:r>
        <w:rPr>
          <w:rFonts w:hint="default" w:ascii="Times New Roman" w:hAnsi="Times New Roman" w:cs="Times New Roman" w:eastAsiaTheme="minorEastAsia"/>
          <w:b/>
          <w:bCs/>
          <w:kern w:val="0"/>
          <w:sz w:val="32"/>
          <w:szCs w:val="20"/>
          <w:highlight w:val="none"/>
        </w:rPr>
        <w:t>第</w:t>
      </w:r>
      <w:r>
        <w:rPr>
          <w:rFonts w:hint="eastAsia" w:cs="Times New Roman" w:eastAsiaTheme="minorEastAsia"/>
          <w:b/>
          <w:bCs/>
          <w:kern w:val="0"/>
          <w:sz w:val="32"/>
          <w:szCs w:val="20"/>
          <w:highlight w:val="none"/>
          <w:lang w:val="en-US" w:eastAsia="zh-CN"/>
        </w:rPr>
        <w:t>五</w:t>
      </w:r>
      <w:r>
        <w:rPr>
          <w:rFonts w:hint="default" w:ascii="Times New Roman" w:hAnsi="Times New Roman" w:cs="Times New Roman" w:eastAsiaTheme="minorEastAsia"/>
          <w:b/>
          <w:bCs/>
          <w:kern w:val="0"/>
          <w:sz w:val="32"/>
          <w:szCs w:val="20"/>
          <w:highlight w:val="none"/>
        </w:rPr>
        <w:t xml:space="preserve">章 </w:t>
      </w:r>
      <w:bookmarkEnd w:id="189"/>
      <w:bookmarkEnd w:id="190"/>
      <w:bookmarkEnd w:id="191"/>
      <w:bookmarkStart w:id="192" w:name="_Toc378499751"/>
      <w:bookmarkStart w:id="193" w:name="_Toc347849270"/>
      <w:bookmarkStart w:id="194" w:name="_Toc86124095"/>
      <w:r>
        <w:rPr>
          <w:rFonts w:hint="default" w:ascii="Times New Roman" w:hAnsi="Times New Roman" w:cs="Times New Roman"/>
          <w:b/>
          <w:bCs/>
          <w:kern w:val="0"/>
          <w:sz w:val="32"/>
          <w:szCs w:val="32"/>
          <w:highlight w:val="none"/>
        </w:rPr>
        <w:t>谈判程序和评审方法</w:t>
      </w:r>
    </w:p>
    <w:p>
      <w:pPr>
        <w:keepNext/>
        <w:keepLines/>
        <w:spacing w:after="120" w:line="360" w:lineRule="auto"/>
        <w:outlineLvl w:val="1"/>
        <w:rPr>
          <w:rFonts w:hint="default" w:ascii="Times New Roman" w:hAnsi="Times New Roman" w:cs="Times New Roman"/>
          <w:b/>
          <w:bCs/>
          <w:sz w:val="24"/>
          <w:highlight w:val="none"/>
        </w:rPr>
      </w:pPr>
      <w:bookmarkStart w:id="195" w:name="_Toc347849269"/>
      <w:bookmarkStart w:id="196" w:name="_Toc519163266"/>
      <w:bookmarkStart w:id="197" w:name="_Toc130564944"/>
      <w:bookmarkStart w:id="198" w:name="_Toc490599303"/>
      <w:bookmarkStart w:id="199" w:name="_Toc378499750"/>
      <w:r>
        <w:rPr>
          <w:rFonts w:hint="default" w:ascii="Times New Roman" w:hAnsi="Times New Roman" w:cs="Times New Roman"/>
          <w:b/>
          <w:bCs/>
          <w:sz w:val="24"/>
          <w:highlight w:val="none"/>
        </w:rPr>
        <w:t>一、谈判方法</w:t>
      </w:r>
      <w:bookmarkEnd w:id="195"/>
      <w:bookmarkEnd w:id="196"/>
      <w:bookmarkEnd w:id="197"/>
      <w:bookmarkEnd w:id="198"/>
      <w:bookmarkEnd w:id="199"/>
    </w:p>
    <w:p>
      <w:pPr>
        <w:spacing w:line="360" w:lineRule="auto"/>
        <w:ind w:firstLine="420" w:firstLineChars="200"/>
        <w:rPr>
          <w:rFonts w:hint="default" w:ascii="Times New Roman" w:hAnsi="Times New Roman" w:cs="Times New Roman"/>
          <w:szCs w:val="21"/>
          <w:highlight w:val="none"/>
        </w:rPr>
      </w:pPr>
      <w:bookmarkStart w:id="200" w:name="_Toc519163267"/>
      <w:r>
        <w:rPr>
          <w:rFonts w:hint="default" w:ascii="Times New Roman" w:hAnsi="Times New Roman" w:cs="Times New Roman"/>
          <w:szCs w:val="21"/>
          <w:highlight w:val="none"/>
        </w:rPr>
        <w:t>本次谈判原则为：</w:t>
      </w:r>
      <w:r>
        <w:rPr>
          <w:rFonts w:hint="default" w:ascii="Times New Roman" w:hAnsi="Times New Roman" w:cs="Times New Roman"/>
          <w:szCs w:val="21"/>
          <w:highlight w:val="none"/>
          <w:lang w:val="en-US" w:eastAsia="zh-CN"/>
        </w:rPr>
        <w:t>根据技术、商务</w:t>
      </w:r>
      <w:r>
        <w:rPr>
          <w:rFonts w:hint="eastAsia" w:cs="Times New Roman"/>
          <w:szCs w:val="21"/>
          <w:highlight w:val="none"/>
          <w:lang w:val="en-US" w:eastAsia="zh-CN"/>
        </w:rPr>
        <w:t>、报价</w:t>
      </w:r>
      <w:r>
        <w:rPr>
          <w:rFonts w:hint="default" w:ascii="Times New Roman" w:hAnsi="Times New Roman" w:cs="Times New Roman"/>
          <w:szCs w:val="21"/>
          <w:highlight w:val="none"/>
          <w:lang w:val="en-US" w:eastAsia="zh-CN"/>
        </w:rPr>
        <w:t>综合评估打分由高到低的顺序进行排名，推荐成交候选人（综合得分相同时，</w:t>
      </w:r>
      <w:r>
        <w:rPr>
          <w:rFonts w:hint="eastAsia" w:cs="Times New Roman"/>
          <w:szCs w:val="21"/>
          <w:highlight w:val="none"/>
          <w:lang w:val="en-US" w:eastAsia="zh-CN"/>
        </w:rPr>
        <w:t>以报价低者优先；报价相同时，</w:t>
      </w:r>
      <w:r>
        <w:rPr>
          <w:rFonts w:hint="default" w:ascii="Times New Roman" w:hAnsi="Times New Roman" w:cs="Times New Roman"/>
          <w:szCs w:val="21"/>
          <w:highlight w:val="none"/>
          <w:lang w:val="en-US" w:eastAsia="zh-CN"/>
        </w:rPr>
        <w:t>以技术得分高者优先</w:t>
      </w:r>
      <w:r>
        <w:rPr>
          <w:rFonts w:hint="eastAsia" w:cs="Times New Roman"/>
          <w:szCs w:val="21"/>
          <w:highlight w:val="none"/>
          <w:lang w:val="en-US" w:eastAsia="zh-CN"/>
        </w:rPr>
        <w:t>；技术得分也相同时，由谈判小组投票表决，得票多者优先</w:t>
      </w:r>
      <w:r>
        <w:rPr>
          <w:rFonts w:hint="default" w:ascii="Times New Roman" w:hAnsi="Times New Roman" w:cs="Times New Roman"/>
          <w:szCs w:val="21"/>
          <w:highlight w:val="none"/>
          <w:lang w:val="en-US" w:eastAsia="zh-CN"/>
        </w:rPr>
        <w:t>）。</w:t>
      </w:r>
      <w:bookmarkEnd w:id="200"/>
    </w:p>
    <w:p>
      <w:pPr>
        <w:keepNext/>
        <w:keepLines/>
        <w:spacing w:after="120" w:line="360" w:lineRule="auto"/>
        <w:outlineLvl w:val="1"/>
        <w:rPr>
          <w:rFonts w:hint="default" w:ascii="Times New Roman" w:hAnsi="Times New Roman" w:cs="Times New Roman"/>
          <w:b/>
          <w:bCs/>
          <w:sz w:val="24"/>
          <w:highlight w:val="none"/>
        </w:rPr>
      </w:pPr>
      <w:bookmarkStart w:id="201" w:name="_Toc130564945"/>
      <w:bookmarkStart w:id="202" w:name="_Toc519163268"/>
      <w:r>
        <w:rPr>
          <w:rFonts w:hint="default" w:ascii="Times New Roman" w:hAnsi="Times New Roman" w:cs="Times New Roman"/>
          <w:b/>
          <w:bCs/>
          <w:sz w:val="24"/>
          <w:highlight w:val="none"/>
        </w:rPr>
        <w:t>二、谈判标准</w:t>
      </w:r>
      <w:bookmarkEnd w:id="201"/>
      <w:bookmarkEnd w:id="202"/>
    </w:p>
    <w:p>
      <w:pPr>
        <w:keepNext/>
        <w:keepLines/>
        <w:tabs>
          <w:tab w:val="left" w:pos="900"/>
        </w:tabs>
        <w:spacing w:after="120" w:line="360" w:lineRule="auto"/>
        <w:jc w:val="left"/>
        <w:outlineLvl w:val="2"/>
        <w:rPr>
          <w:rFonts w:hint="default" w:ascii="Times New Roman" w:hAnsi="Times New Roman" w:cs="Times New Roman"/>
          <w:b/>
          <w:bCs/>
          <w:sz w:val="24"/>
          <w:highlight w:val="none"/>
        </w:rPr>
      </w:pPr>
      <w:bookmarkStart w:id="203" w:name="_Toc86124096"/>
      <w:bookmarkStart w:id="204" w:name="_Toc385344498"/>
      <w:bookmarkStart w:id="205" w:name="_Toc191374449"/>
      <w:bookmarkStart w:id="206" w:name="_Toc519163269"/>
      <w:bookmarkStart w:id="207" w:name="_Toc490599306"/>
      <w:bookmarkStart w:id="208" w:name="_Toc347849271"/>
      <w:bookmarkStart w:id="209" w:name="_Toc130564946"/>
      <w:bookmarkStart w:id="210" w:name="_Toc107864058"/>
      <w:bookmarkStart w:id="211" w:name="_Toc329810237"/>
      <w:bookmarkStart w:id="212" w:name="_Toc130564379"/>
      <w:bookmarkStart w:id="213" w:name="_Toc378499752"/>
      <w:bookmarkStart w:id="214" w:name="_Toc48271429"/>
      <w:r>
        <w:rPr>
          <w:rFonts w:hint="default" w:ascii="Times New Roman" w:hAnsi="Times New Roman" w:cs="Times New Roman"/>
          <w:b/>
          <w:bCs/>
          <w:sz w:val="24"/>
          <w:highlight w:val="none"/>
        </w:rPr>
        <w:t>2.1</w:t>
      </w:r>
      <w:r>
        <w:rPr>
          <w:rFonts w:hint="default" w:ascii="Times New Roman" w:hAnsi="Times New Roman" w:cs="Times New Roman"/>
          <w:b/>
          <w:bCs/>
          <w:sz w:val="24"/>
          <w:szCs w:val="21"/>
          <w:highlight w:val="none"/>
        </w:rPr>
        <w:t>实质性要求</w:t>
      </w:r>
      <w:r>
        <w:rPr>
          <w:rFonts w:hint="default" w:ascii="Times New Roman" w:hAnsi="Times New Roman" w:cs="Times New Roman"/>
          <w:b/>
          <w:bCs/>
          <w:sz w:val="24"/>
          <w:highlight w:val="none"/>
        </w:rPr>
        <w:t>审查标准</w:t>
      </w:r>
      <w:bookmarkEnd w:id="203"/>
      <w:bookmarkEnd w:id="204"/>
      <w:bookmarkEnd w:id="205"/>
      <w:bookmarkEnd w:id="206"/>
      <w:bookmarkEnd w:id="207"/>
      <w:bookmarkEnd w:id="208"/>
      <w:bookmarkEnd w:id="209"/>
      <w:bookmarkEnd w:id="210"/>
      <w:bookmarkEnd w:id="211"/>
      <w:bookmarkEnd w:id="212"/>
      <w:bookmarkEnd w:id="213"/>
      <w:bookmarkEnd w:id="214"/>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73"/>
        <w:gridCol w:w="1534"/>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blHeader/>
          <w:jc w:val="center"/>
        </w:trPr>
        <w:tc>
          <w:tcPr>
            <w:tcW w:w="1773" w:type="dxa"/>
            <w:gridSpan w:val="2"/>
            <w:vAlign w:val="center"/>
          </w:tcPr>
          <w:p>
            <w:pPr>
              <w:spacing w:before="100" w:beforeAutospacing="1" w:after="100" w:afterAutospacing="1"/>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条款号</w:t>
            </w:r>
          </w:p>
        </w:tc>
        <w:tc>
          <w:tcPr>
            <w:tcW w:w="1534" w:type="dxa"/>
            <w:vAlign w:val="center"/>
          </w:tcPr>
          <w:p>
            <w:pPr>
              <w:spacing w:before="100" w:beforeAutospacing="1" w:after="100" w:afterAutospacing="1"/>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审 查 内 容</w:t>
            </w:r>
          </w:p>
        </w:tc>
        <w:tc>
          <w:tcPr>
            <w:tcW w:w="5215" w:type="dxa"/>
            <w:vAlign w:val="center"/>
          </w:tcPr>
          <w:p>
            <w:pPr>
              <w:spacing w:before="100" w:beforeAutospacing="1" w:after="100" w:afterAutospacing="1"/>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审 查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00" w:type="dxa"/>
            <w:vMerge w:val="restart"/>
            <w:vAlign w:val="center"/>
          </w:tcPr>
          <w:p>
            <w:pPr>
              <w:spacing w:before="100" w:beforeAutospacing="1" w:after="100" w:afterAutospacing="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2.1</w:t>
            </w:r>
          </w:p>
        </w:tc>
        <w:tc>
          <w:tcPr>
            <w:tcW w:w="973" w:type="dxa"/>
            <w:vMerge w:val="restart"/>
            <w:vAlign w:val="center"/>
          </w:tcPr>
          <w:p>
            <w:pPr>
              <w:spacing w:before="100" w:beforeAutospacing="1" w:after="100" w:afterAutospacing="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实质性要求审查标准</w:t>
            </w:r>
          </w:p>
        </w:tc>
        <w:tc>
          <w:tcPr>
            <w:tcW w:w="1534" w:type="dxa"/>
            <w:vAlign w:val="center"/>
          </w:tcPr>
          <w:p>
            <w:pPr>
              <w:spacing w:before="100" w:beforeAutospacing="1" w:after="100" w:afterAutospacing="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资格条件</w:t>
            </w:r>
          </w:p>
        </w:tc>
        <w:tc>
          <w:tcPr>
            <w:tcW w:w="5215" w:type="dxa"/>
            <w:vAlign w:val="center"/>
          </w:tcPr>
          <w:p>
            <w:pPr>
              <w:spacing w:before="100" w:beforeAutospacing="1" w:after="100" w:afterAutospacing="1"/>
              <w:jc w:val="center"/>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rPr>
              <w:t>符合</w:t>
            </w:r>
            <w:r>
              <w:rPr>
                <w:rFonts w:hint="default" w:ascii="Times New Roman" w:hAnsi="Times New Roman" w:cs="Times New Roman"/>
                <w:szCs w:val="21"/>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00" w:type="dxa"/>
            <w:vMerge w:val="continue"/>
            <w:vAlign w:val="center"/>
          </w:tcPr>
          <w:p>
            <w:pPr>
              <w:spacing w:before="100" w:beforeAutospacing="1" w:after="100" w:afterAutospacing="1"/>
              <w:jc w:val="center"/>
              <w:rPr>
                <w:rFonts w:hint="default" w:ascii="Times New Roman" w:hAnsi="Times New Roman" w:cs="Times New Roman"/>
                <w:szCs w:val="21"/>
                <w:highlight w:val="none"/>
              </w:rPr>
            </w:pPr>
          </w:p>
        </w:tc>
        <w:tc>
          <w:tcPr>
            <w:tcW w:w="973" w:type="dxa"/>
            <w:vMerge w:val="continue"/>
            <w:vAlign w:val="center"/>
          </w:tcPr>
          <w:p>
            <w:pPr>
              <w:spacing w:before="100" w:beforeAutospacing="1" w:after="100" w:afterAutospacing="1"/>
              <w:jc w:val="center"/>
              <w:rPr>
                <w:rFonts w:hint="default" w:ascii="Times New Roman" w:hAnsi="Times New Roman" w:cs="Times New Roman"/>
                <w:szCs w:val="21"/>
                <w:highlight w:val="none"/>
              </w:rPr>
            </w:pPr>
          </w:p>
        </w:tc>
        <w:tc>
          <w:tcPr>
            <w:tcW w:w="1534" w:type="dxa"/>
            <w:vAlign w:val="center"/>
          </w:tcPr>
          <w:p>
            <w:pPr>
              <w:spacing w:before="100" w:beforeAutospacing="1" w:after="100" w:afterAutospacing="1"/>
              <w:jc w:val="center"/>
              <w:rPr>
                <w:rFonts w:hint="default" w:ascii="Times New Roman" w:hAnsi="Times New Roman" w:cs="Times New Roman"/>
                <w:szCs w:val="21"/>
                <w:highlight w:val="none"/>
              </w:rPr>
            </w:pPr>
            <w:r>
              <w:rPr>
                <w:rFonts w:hint="eastAsia" w:cs="Times New Roman"/>
                <w:szCs w:val="21"/>
                <w:highlight w:val="none"/>
                <w:lang w:eastAsia="zh-CN"/>
              </w:rPr>
              <w:t>营业执照或</w:t>
            </w:r>
            <w:r>
              <w:rPr>
                <w:rFonts w:hint="default" w:ascii="Times New Roman" w:hAnsi="Times New Roman" w:cs="Times New Roman"/>
                <w:szCs w:val="21"/>
                <w:highlight w:val="none"/>
              </w:rPr>
              <w:t>执业许可证</w:t>
            </w:r>
          </w:p>
        </w:tc>
        <w:tc>
          <w:tcPr>
            <w:tcW w:w="5215" w:type="dxa"/>
            <w:vAlign w:val="center"/>
          </w:tcPr>
          <w:p>
            <w:pPr>
              <w:spacing w:before="100" w:beforeAutospacing="1" w:after="100" w:afterAutospacing="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与投标名称一致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0"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973"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1534" w:type="dxa"/>
            <w:vAlign w:val="center"/>
          </w:tcPr>
          <w:p>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法定代表人身份证明书</w:t>
            </w:r>
          </w:p>
        </w:tc>
        <w:tc>
          <w:tcPr>
            <w:tcW w:w="5215" w:type="dxa"/>
            <w:vAlign w:val="center"/>
          </w:tcPr>
          <w:p>
            <w:pPr>
              <w:rPr>
                <w:rFonts w:hint="default" w:ascii="Times New Roman" w:hAnsi="Times New Roman" w:cs="Times New Roman"/>
                <w:szCs w:val="21"/>
                <w:highlight w:val="none"/>
              </w:rPr>
            </w:pPr>
            <w:r>
              <w:rPr>
                <w:rFonts w:hint="default" w:ascii="Times New Roman" w:hAnsi="Times New Roman" w:cs="Times New Roman"/>
                <w:szCs w:val="21"/>
                <w:highlight w:val="none"/>
              </w:rPr>
              <w:t>符合谈判文件规定格式及内容，并盖单位章；资格证明文件文件正本中法定代表人身份证明书为原件。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00"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973"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1534" w:type="dxa"/>
            <w:vAlign w:val="center"/>
          </w:tcPr>
          <w:p>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法定代表人授权委托书</w:t>
            </w:r>
          </w:p>
        </w:tc>
        <w:tc>
          <w:tcPr>
            <w:tcW w:w="5215" w:type="dxa"/>
            <w:vAlign w:val="center"/>
          </w:tcPr>
          <w:p>
            <w:pPr>
              <w:rPr>
                <w:rFonts w:hint="default" w:ascii="Times New Roman" w:hAnsi="Times New Roman" w:cs="Times New Roman"/>
                <w:szCs w:val="21"/>
                <w:highlight w:val="none"/>
              </w:rPr>
            </w:pPr>
            <w:r>
              <w:rPr>
                <w:rFonts w:hint="default" w:ascii="Times New Roman" w:hAnsi="Times New Roman" w:cs="Times New Roman"/>
                <w:szCs w:val="21"/>
                <w:highlight w:val="none"/>
              </w:rPr>
              <w:t>有法定代表人及其委托代理人签字或盖章，并盖单位章；符合谈判文件规定格式及内容；资格证明文件正本中法定代表人授权委托书为原件。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00"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973"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1534" w:type="dxa"/>
            <w:vAlign w:val="center"/>
          </w:tcPr>
          <w:p>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响应文件格式</w:t>
            </w:r>
          </w:p>
        </w:tc>
        <w:tc>
          <w:tcPr>
            <w:tcW w:w="5215" w:type="dxa"/>
            <w:vAlign w:val="center"/>
          </w:tcPr>
          <w:p>
            <w:pPr>
              <w:rPr>
                <w:rFonts w:hint="default" w:ascii="Times New Roman" w:hAnsi="Times New Roman" w:cs="Times New Roman"/>
                <w:szCs w:val="21"/>
                <w:highlight w:val="none"/>
              </w:rPr>
            </w:pPr>
            <w:r>
              <w:rPr>
                <w:rFonts w:hint="default" w:ascii="Times New Roman" w:hAnsi="Times New Roman" w:cs="Times New Roman"/>
                <w:szCs w:val="21"/>
                <w:highlight w:val="none"/>
              </w:rPr>
              <w:t>符合谈判文件格式要求，其他资料按“谈判申请人须知”前附表9.1（8）提供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exact"/>
          <w:jc w:val="center"/>
        </w:trPr>
        <w:tc>
          <w:tcPr>
            <w:tcW w:w="800"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973" w:type="dxa"/>
            <w:vMerge w:val="continue"/>
            <w:vAlign w:val="center"/>
          </w:tcPr>
          <w:p>
            <w:pPr>
              <w:spacing w:before="100" w:beforeAutospacing="1" w:after="100" w:afterAutospacing="1"/>
              <w:rPr>
                <w:rFonts w:hint="default" w:ascii="Times New Roman" w:hAnsi="Times New Roman" w:cs="Times New Roman"/>
                <w:szCs w:val="21"/>
                <w:highlight w:val="none"/>
              </w:rPr>
            </w:pPr>
          </w:p>
        </w:tc>
        <w:tc>
          <w:tcPr>
            <w:tcW w:w="1534" w:type="dxa"/>
            <w:vAlign w:val="center"/>
          </w:tcPr>
          <w:p>
            <w:pPr>
              <w:spacing w:before="100" w:beforeAutospacing="1" w:after="100" w:afterAutospacing="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其它实质性要求</w:t>
            </w:r>
          </w:p>
        </w:tc>
        <w:tc>
          <w:tcPr>
            <w:tcW w:w="5215" w:type="dxa"/>
            <w:vAlign w:val="center"/>
          </w:tcPr>
          <w:p>
            <w:pPr>
              <w:numPr>
                <w:ilvl w:val="0"/>
                <w:numId w:val="3"/>
              </w:numPr>
              <w:rPr>
                <w:rFonts w:hint="default" w:ascii="Times New Roman" w:hAnsi="Times New Roman" w:cs="Times New Roman"/>
                <w:bCs/>
                <w:szCs w:val="21"/>
                <w:highlight w:val="none"/>
              </w:rPr>
            </w:pPr>
            <w:r>
              <w:rPr>
                <w:rFonts w:hint="default" w:ascii="Times New Roman" w:hAnsi="Times New Roman" w:cs="Times New Roman"/>
                <w:bCs/>
                <w:szCs w:val="21"/>
                <w:highlight w:val="none"/>
              </w:rPr>
              <w:t>质量标准及要求；</w:t>
            </w:r>
          </w:p>
          <w:p>
            <w:pPr>
              <w:numPr>
                <w:ilvl w:val="0"/>
                <w:numId w:val="3"/>
              </w:numPr>
              <w:rPr>
                <w:rFonts w:hint="default" w:ascii="Times New Roman" w:hAnsi="Times New Roman" w:cs="Times New Roman"/>
                <w:szCs w:val="21"/>
                <w:highlight w:val="none"/>
              </w:rPr>
            </w:pPr>
            <w:r>
              <w:rPr>
                <w:rFonts w:hint="default" w:ascii="Times New Roman" w:hAnsi="Times New Roman" w:cs="Times New Roman"/>
                <w:szCs w:val="21"/>
                <w:highlight w:val="none"/>
              </w:rPr>
              <w:t>响应文件中附有招标人不可接受条款的；</w:t>
            </w:r>
          </w:p>
          <w:p>
            <w:pPr>
              <w:numPr>
                <w:ilvl w:val="0"/>
                <w:numId w:val="3"/>
              </w:numPr>
              <w:rPr>
                <w:rFonts w:hint="default" w:ascii="Times New Roman" w:hAnsi="Times New Roman" w:cs="Times New Roman"/>
                <w:szCs w:val="21"/>
                <w:highlight w:val="none"/>
              </w:rPr>
            </w:pPr>
            <w:r>
              <w:rPr>
                <w:rFonts w:hint="default" w:ascii="Times New Roman" w:hAnsi="Times New Roman" w:cs="Times New Roman"/>
                <w:szCs w:val="21"/>
                <w:highlight w:val="none"/>
              </w:rPr>
              <w:t>法律法规或竞争性谈判文件要求的其他条款。</w:t>
            </w:r>
          </w:p>
        </w:tc>
      </w:tr>
    </w:tbl>
    <w:p>
      <w:pPr>
        <w:keepNext/>
        <w:keepLines/>
        <w:tabs>
          <w:tab w:val="left" w:pos="900"/>
        </w:tabs>
        <w:spacing w:after="120" w:line="360" w:lineRule="auto"/>
        <w:jc w:val="left"/>
        <w:outlineLvl w:val="2"/>
        <w:rPr>
          <w:rFonts w:hint="default" w:ascii="Times New Roman" w:hAnsi="Times New Roman" w:cs="Times New Roman"/>
          <w:b/>
          <w:bCs/>
          <w:sz w:val="24"/>
          <w:highlight w:val="none"/>
        </w:rPr>
      </w:pPr>
      <w:bookmarkStart w:id="215" w:name="_Toc519163270"/>
      <w:bookmarkStart w:id="216" w:name="_Toc107864059"/>
      <w:bookmarkStart w:id="217" w:name="_Toc130564380"/>
      <w:bookmarkStart w:id="218" w:name="_Toc130564947"/>
      <w:r>
        <w:rPr>
          <w:rFonts w:hint="default" w:ascii="Times New Roman" w:hAnsi="Times New Roman" w:cs="Times New Roman"/>
          <w:b/>
          <w:bCs/>
          <w:sz w:val="24"/>
          <w:highlight w:val="none"/>
        </w:rPr>
        <w:t>2.2 谈判标准</w:t>
      </w:r>
      <w:bookmarkEnd w:id="215"/>
      <w:bookmarkEnd w:id="216"/>
      <w:bookmarkEnd w:id="217"/>
      <w:bookmarkEnd w:id="218"/>
    </w:p>
    <w:p>
      <w:pPr>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谈判小组</w:t>
      </w:r>
      <w:r>
        <w:rPr>
          <w:rFonts w:hint="default" w:ascii="Times New Roman" w:hAnsi="Times New Roman" w:cs="Times New Roman"/>
          <w:kern w:val="0"/>
          <w:szCs w:val="21"/>
          <w:highlight w:val="none"/>
        </w:rPr>
        <w:t>按谈判文件中规定的谈判方法和标准，对</w:t>
      </w:r>
      <w:r>
        <w:rPr>
          <w:rFonts w:hint="default" w:ascii="Times New Roman" w:hAnsi="Times New Roman" w:cs="Times New Roman"/>
          <w:szCs w:val="21"/>
          <w:highlight w:val="none"/>
        </w:rPr>
        <w:t>实质性要求</w:t>
      </w:r>
      <w:r>
        <w:rPr>
          <w:rFonts w:hint="default" w:ascii="Times New Roman" w:hAnsi="Times New Roman" w:cs="Times New Roman"/>
          <w:highlight w:val="none"/>
        </w:rPr>
        <w:t>审查</w:t>
      </w:r>
      <w:r>
        <w:rPr>
          <w:rFonts w:hint="default" w:ascii="Times New Roman" w:hAnsi="Times New Roman" w:cs="Times New Roman"/>
          <w:kern w:val="0"/>
          <w:szCs w:val="21"/>
          <w:highlight w:val="none"/>
        </w:rPr>
        <w:t>合格的响应文件进行综合评估比较与评价</w:t>
      </w:r>
      <w:r>
        <w:rPr>
          <w:rFonts w:hint="default" w:ascii="Times New Roman" w:hAnsi="Times New Roman" w:cs="Times New Roman"/>
          <w:szCs w:val="21"/>
          <w:highlight w:val="none"/>
        </w:rPr>
        <w:t>，按照得分由高到低的顺序提出</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rPr>
        <w:t>名成交候选人。</w:t>
      </w:r>
    </w:p>
    <w:p>
      <w:pPr>
        <w:keepNext/>
        <w:keepLines/>
        <w:spacing w:after="120" w:line="360" w:lineRule="auto"/>
        <w:outlineLvl w:val="1"/>
        <w:rPr>
          <w:rFonts w:hint="default" w:ascii="Times New Roman" w:hAnsi="Times New Roman" w:cs="Times New Roman"/>
          <w:b/>
          <w:bCs/>
          <w:sz w:val="24"/>
          <w:highlight w:val="none"/>
        </w:rPr>
      </w:pPr>
      <w:bookmarkStart w:id="219" w:name="_Toc130564948"/>
      <w:bookmarkStart w:id="220" w:name="_Toc519163271"/>
      <w:r>
        <w:rPr>
          <w:rFonts w:hint="default" w:ascii="Times New Roman" w:hAnsi="Times New Roman" w:cs="Times New Roman"/>
          <w:b/>
          <w:bCs/>
          <w:sz w:val="24"/>
          <w:highlight w:val="none"/>
        </w:rPr>
        <w:t>三、谈判程序</w:t>
      </w:r>
      <w:bookmarkEnd w:id="219"/>
      <w:bookmarkEnd w:id="220"/>
    </w:p>
    <w:p>
      <w:pPr>
        <w:keepNext/>
        <w:keepLines/>
        <w:tabs>
          <w:tab w:val="left" w:pos="900"/>
        </w:tabs>
        <w:spacing w:after="120" w:line="360" w:lineRule="auto"/>
        <w:jc w:val="left"/>
        <w:outlineLvl w:val="2"/>
        <w:rPr>
          <w:rFonts w:hint="default" w:ascii="Times New Roman" w:hAnsi="Times New Roman" w:cs="Times New Roman"/>
          <w:b/>
          <w:bCs/>
          <w:sz w:val="24"/>
          <w:highlight w:val="none"/>
        </w:rPr>
      </w:pPr>
      <w:bookmarkStart w:id="221" w:name="_Toc107864061"/>
      <w:bookmarkStart w:id="222" w:name="_Toc130564949"/>
      <w:bookmarkStart w:id="223" w:name="_Toc519163272"/>
      <w:r>
        <w:rPr>
          <w:rFonts w:hint="default" w:ascii="Times New Roman" w:hAnsi="Times New Roman" w:cs="Times New Roman"/>
          <w:b/>
          <w:bCs/>
          <w:sz w:val="24"/>
          <w:highlight w:val="none"/>
        </w:rPr>
        <w:t xml:space="preserve">3.1 </w:t>
      </w:r>
      <w:r>
        <w:rPr>
          <w:rFonts w:hint="default" w:ascii="Times New Roman" w:hAnsi="Times New Roman" w:cs="Times New Roman"/>
          <w:b/>
          <w:bCs/>
          <w:sz w:val="24"/>
          <w:szCs w:val="21"/>
          <w:highlight w:val="none"/>
        </w:rPr>
        <w:t>实质性要求</w:t>
      </w:r>
      <w:r>
        <w:rPr>
          <w:rFonts w:hint="default" w:ascii="Times New Roman" w:hAnsi="Times New Roman" w:cs="Times New Roman"/>
          <w:b/>
          <w:bCs/>
          <w:sz w:val="24"/>
          <w:highlight w:val="none"/>
        </w:rPr>
        <w:t>审查</w:t>
      </w:r>
      <w:bookmarkEnd w:id="221"/>
      <w:bookmarkEnd w:id="222"/>
      <w:bookmarkEnd w:id="223"/>
    </w:p>
    <w:p>
      <w:pPr>
        <w:spacing w:line="360" w:lineRule="auto"/>
        <w:ind w:left="210" w:leftChars="100" w:firstLine="420" w:firstLineChars="200"/>
        <w:jc w:val="left"/>
        <w:rPr>
          <w:rFonts w:hint="default" w:ascii="Times New Roman" w:hAnsi="Times New Roman" w:cs="Times New Roman"/>
          <w:bCs/>
          <w:szCs w:val="21"/>
          <w:highlight w:val="none"/>
        </w:rPr>
      </w:pPr>
      <w:r>
        <w:rPr>
          <w:rFonts w:hint="default" w:ascii="Times New Roman" w:hAnsi="Times New Roman" w:cs="Times New Roman"/>
          <w:szCs w:val="21"/>
          <w:highlight w:val="none"/>
        </w:rPr>
        <w:t>3.1.1谈判小组依据本章第2.1项规定的标准对响应文件进行实质性要求审查。</w:t>
      </w:r>
      <w:r>
        <w:rPr>
          <w:rFonts w:hint="default" w:ascii="Times New Roman" w:hAnsi="Times New Roman" w:cs="Times New Roman"/>
          <w:bCs/>
          <w:szCs w:val="21"/>
          <w:highlight w:val="none"/>
        </w:rPr>
        <w:t>有一项不符合谈判标准的，不通过</w:t>
      </w:r>
      <w:r>
        <w:rPr>
          <w:rFonts w:hint="default" w:ascii="Times New Roman" w:hAnsi="Times New Roman" w:cs="Times New Roman"/>
          <w:szCs w:val="21"/>
          <w:highlight w:val="none"/>
        </w:rPr>
        <w:t>实质性要求</w:t>
      </w:r>
      <w:r>
        <w:rPr>
          <w:rFonts w:hint="default" w:ascii="Times New Roman" w:hAnsi="Times New Roman" w:cs="Times New Roman"/>
          <w:highlight w:val="none"/>
        </w:rPr>
        <w:t>审查</w:t>
      </w:r>
      <w:r>
        <w:rPr>
          <w:rFonts w:hint="default" w:ascii="Times New Roman" w:hAnsi="Times New Roman" w:cs="Times New Roman"/>
          <w:bCs/>
          <w:szCs w:val="21"/>
          <w:highlight w:val="none"/>
        </w:rPr>
        <w:t>，不再参与谈判。</w:t>
      </w:r>
    </w:p>
    <w:p>
      <w:pPr>
        <w:spacing w:line="360" w:lineRule="auto"/>
        <w:ind w:left="210" w:leftChars="100" w:firstLine="420" w:firstLineChars="200"/>
        <w:jc w:val="left"/>
        <w:rPr>
          <w:rFonts w:hint="default" w:ascii="Times New Roman" w:hAnsi="Times New Roman" w:cs="Times New Roman"/>
          <w:b/>
          <w:szCs w:val="21"/>
          <w:highlight w:val="none"/>
        </w:rPr>
      </w:pPr>
      <w:r>
        <w:rPr>
          <w:rFonts w:hint="default" w:ascii="Times New Roman" w:hAnsi="Times New Roman" w:cs="Times New Roman"/>
          <w:bCs/>
          <w:szCs w:val="21"/>
          <w:highlight w:val="none"/>
        </w:rPr>
        <w:t>3.1.2</w:t>
      </w:r>
      <w:r>
        <w:rPr>
          <w:rFonts w:hint="default" w:ascii="Times New Roman" w:hAnsi="Times New Roman" w:cs="Times New Roman"/>
          <w:szCs w:val="21"/>
          <w:highlight w:val="none"/>
        </w:rPr>
        <w:t>其它实质性要求审查以谈判文件及谈判申请人提供的响应文件为准进行审查；响应文件中未提供相应技术支持资料或所提供技术资料不全，</w:t>
      </w:r>
      <w:r>
        <w:rPr>
          <w:rFonts w:hint="eastAsia" w:cs="Times New Roman"/>
          <w:b w:val="0"/>
          <w:bCs/>
          <w:szCs w:val="21"/>
          <w:highlight w:val="none"/>
          <w:u w:val="none"/>
          <w:lang w:eastAsia="zh-CN"/>
        </w:rPr>
        <w:t>或</w:t>
      </w:r>
      <w:r>
        <w:rPr>
          <w:rFonts w:hint="default" w:ascii="Times New Roman" w:hAnsi="Times New Roman" w:cs="Times New Roman"/>
          <w:szCs w:val="21"/>
          <w:highlight w:val="none"/>
        </w:rPr>
        <w:t>响应文件中所提供的内容有严重偏离或达不到项目需求，</w:t>
      </w:r>
      <w:r>
        <w:rPr>
          <w:rFonts w:hint="default" w:ascii="Times New Roman" w:hAnsi="Times New Roman" w:cs="Times New Roman"/>
          <w:b/>
          <w:szCs w:val="21"/>
          <w:highlight w:val="none"/>
          <w:u w:val="single"/>
        </w:rPr>
        <w:t>按不实质性响应谈判文件处理</w:t>
      </w:r>
      <w:r>
        <w:rPr>
          <w:rFonts w:hint="default" w:ascii="Times New Roman" w:hAnsi="Times New Roman" w:cs="Times New Roman"/>
          <w:b/>
          <w:szCs w:val="21"/>
          <w:highlight w:val="none"/>
        </w:rPr>
        <w:t>。</w:t>
      </w:r>
    </w:p>
    <w:p>
      <w:pPr>
        <w:spacing w:line="360" w:lineRule="auto"/>
        <w:ind w:left="210" w:leftChars="100" w:firstLine="420" w:firstLineChars="200"/>
        <w:jc w:val="left"/>
        <w:rPr>
          <w:rFonts w:hint="default" w:ascii="Times New Roman" w:hAnsi="Times New Roman" w:cs="Times New Roman"/>
          <w:bCs/>
          <w:szCs w:val="21"/>
          <w:highlight w:val="none"/>
        </w:rPr>
      </w:pPr>
      <w:r>
        <w:rPr>
          <w:rFonts w:hint="default" w:ascii="Times New Roman" w:hAnsi="Times New Roman" w:cs="Times New Roman"/>
          <w:bCs/>
          <w:szCs w:val="21"/>
          <w:highlight w:val="none"/>
        </w:rPr>
        <w:t>3.1.3有效响应文件不足三个的情形</w:t>
      </w:r>
    </w:p>
    <w:p>
      <w:pPr>
        <w:spacing w:line="360" w:lineRule="auto"/>
        <w:ind w:left="210" w:leftChars="100" w:firstLine="420" w:firstLineChars="200"/>
        <w:jc w:val="left"/>
        <w:rPr>
          <w:rFonts w:hint="default" w:ascii="Times New Roman" w:hAnsi="Times New Roman" w:cs="Times New Roman"/>
          <w:bCs/>
          <w:szCs w:val="21"/>
          <w:highlight w:val="none"/>
        </w:rPr>
      </w:pPr>
      <w:r>
        <w:rPr>
          <w:rFonts w:hint="default" w:ascii="Times New Roman" w:hAnsi="Times New Roman" w:cs="Times New Roman"/>
          <w:bCs/>
          <w:szCs w:val="21"/>
          <w:highlight w:val="none"/>
        </w:rPr>
        <w:t>谈判小组根据竞争性谈判文件的规定，否决不合格投标后，因为有效响应文件不足三个使得投标明显缺乏竞争的，谈判小组可以否决全部投标。若有效投标不足三个，且谈判小组经评审认为投标仍具有竞争力时，可以按评审办法继续评审或进行综合评议推荐成交候选人。</w:t>
      </w:r>
    </w:p>
    <w:p>
      <w:pPr>
        <w:keepNext/>
        <w:keepLines/>
        <w:tabs>
          <w:tab w:val="left" w:pos="900"/>
        </w:tabs>
        <w:spacing w:after="120" w:line="360" w:lineRule="auto"/>
        <w:jc w:val="left"/>
        <w:outlineLvl w:val="2"/>
        <w:rPr>
          <w:rFonts w:hint="default" w:ascii="Times New Roman" w:hAnsi="Times New Roman" w:cs="Times New Roman"/>
          <w:b/>
          <w:bCs/>
          <w:sz w:val="24"/>
          <w:highlight w:val="none"/>
        </w:rPr>
      </w:pPr>
      <w:bookmarkStart w:id="224" w:name="_Toc130564950"/>
      <w:bookmarkStart w:id="225" w:name="_Toc107864062"/>
      <w:bookmarkStart w:id="226" w:name="_Toc519163273"/>
      <w:r>
        <w:rPr>
          <w:rFonts w:hint="default" w:ascii="Times New Roman" w:hAnsi="Times New Roman" w:cs="Times New Roman"/>
          <w:b/>
          <w:bCs/>
          <w:sz w:val="24"/>
          <w:highlight w:val="none"/>
        </w:rPr>
        <w:t>3.2 谈判、比较与评审</w:t>
      </w:r>
      <w:bookmarkEnd w:id="224"/>
      <w:bookmarkEnd w:id="225"/>
      <w:bookmarkEnd w:id="226"/>
    </w:p>
    <w:p>
      <w:pPr>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3.2.1谈判采用背对背的谈判方式，谈判小组所有成员集中与通过实质性审查的单一谈判申请人分别进行谈判。在谈判中，谈判的任何一方不得透露与谈判有关的其他谈判申请人的技术资料、价格、折扣和其他信息。</w:t>
      </w:r>
    </w:p>
    <w:p>
      <w:pPr>
        <w:adjustRightInd w:val="0"/>
        <w:spacing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3.2.2谈判文件有实质性变动的，谈判小组将经招标人代表确认后，以书面形式通知所有参加谈判的谈判申请人。但不得对涉及竞争的公平、公正性内容进行修改、变动。</w:t>
      </w:r>
    </w:p>
    <w:p>
      <w:pPr>
        <w:adjustRightInd w:val="0"/>
        <w:spacing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3.2.3为有助于对响应文件的详细审查、评价和比较，谈判小组可要求对谈判申请人分别进行技术询问、澄清，有关要求和答复均现场进行。</w:t>
      </w:r>
    </w:p>
    <w:p>
      <w:pPr>
        <w:adjustRightInd w:val="0"/>
        <w:spacing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3.2.4谈判小组在对响应文件的有效性、完整性和响应程度进行审查时，可以要求谈判申请人对响应文件中含义不明确、同类问题表述不一致或者有明显文字和计算错误的内容等作出必要的澄清、说明或者更正。谈判申请人的澄清、说明或者更正不得超出响应文件的范围或者改变响应文件的实质性内容。</w:t>
      </w:r>
    </w:p>
    <w:p>
      <w:pPr>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谈判小组要求谈判申请人澄清、说明或者更正响应文件应当以书面形式作出。谈判申请人的澄清、说明或者更正应当由法定代表人或其授权代表签字或者加盖公章。由授权代表签字的，应当附法定代表人授权书。谈判申请人为自然人的，应当由本人签字并附身份证明。</w:t>
      </w:r>
    </w:p>
    <w:p>
      <w:pPr>
        <w:spacing w:line="360" w:lineRule="auto"/>
        <w:ind w:firstLine="315" w:firstLineChars="15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3.2.5谈判小组对谈判申请人提交的澄清、说明有疑问的，可以要求谈判申请人进一步澄清、说明。谈判小组求谈判申请人澄清、说明或者更正响应文件应当以书面形式作出。谈判申请人的澄清、说明或者更正应当由法定代表人或其授权代表签字或者加盖公章。</w:t>
      </w:r>
    </w:p>
    <w:p>
      <w:pPr>
        <w:adjustRightInd w:val="0"/>
        <w:spacing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3.2.6谈判结束后，谈判小组将要求所有继续参加谈判的谈判申请人在规定时间内提交最终报价。</w:t>
      </w:r>
    </w:p>
    <w:p>
      <w:pPr>
        <w:adjustRightInd w:val="0"/>
        <w:spacing w:line="360" w:lineRule="auto"/>
        <w:ind w:firstLine="413" w:firstLineChars="196"/>
        <w:rPr>
          <w:rFonts w:hint="default" w:ascii="Times New Roman" w:hAnsi="Times New Roman" w:cs="Times New Roman"/>
          <w:b/>
          <w:szCs w:val="21"/>
          <w:highlight w:val="none"/>
        </w:rPr>
      </w:pPr>
      <w:r>
        <w:rPr>
          <w:rFonts w:hint="default" w:ascii="Times New Roman" w:hAnsi="Times New Roman" w:cs="Times New Roman"/>
          <w:b/>
          <w:szCs w:val="21"/>
          <w:highlight w:val="none"/>
        </w:rPr>
        <w:t>3.2.7评审内容</w:t>
      </w:r>
    </w:p>
    <w:p>
      <w:pPr>
        <w:adjustRightInd w:val="0"/>
        <w:spacing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谈判小组和所有谈判申请人谈判结束后，谈判小组成员根据谈判申请人的响应文件、承诺事项分别对技术、商务</w:t>
      </w:r>
      <w:r>
        <w:rPr>
          <w:rFonts w:hint="eastAsia" w:cs="Times New Roman"/>
          <w:szCs w:val="21"/>
          <w:highlight w:val="none"/>
          <w:lang w:eastAsia="zh-CN"/>
        </w:rPr>
        <w:t>、报价</w:t>
      </w:r>
      <w:r>
        <w:rPr>
          <w:rFonts w:hint="default" w:ascii="Times New Roman" w:hAnsi="Times New Roman" w:cs="Times New Roman"/>
          <w:szCs w:val="21"/>
          <w:highlight w:val="none"/>
        </w:rPr>
        <w:t>进行综合评估打分。</w:t>
      </w:r>
    </w:p>
    <w:p>
      <w:pPr>
        <w:adjustRightInd w:val="0"/>
        <w:spacing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详细评审采用百制评分法，即</w:t>
      </w:r>
      <w:r>
        <w:rPr>
          <w:rFonts w:hint="default" w:ascii="Times New Roman" w:hAnsi="Times New Roman" w:cs="Times New Roman"/>
          <w:b/>
          <w:szCs w:val="21"/>
          <w:highlight w:val="none"/>
        </w:rPr>
        <w:t>商务部分</w:t>
      </w:r>
      <w:r>
        <w:rPr>
          <w:rFonts w:hint="eastAsia" w:cs="Times New Roman"/>
          <w:b/>
          <w:szCs w:val="21"/>
          <w:highlight w:val="none"/>
          <w:lang w:val="en-US" w:eastAsia="zh-CN"/>
        </w:rPr>
        <w:t>20</w:t>
      </w:r>
      <w:r>
        <w:rPr>
          <w:rFonts w:hint="default" w:ascii="Times New Roman" w:hAnsi="Times New Roman" w:cs="Times New Roman"/>
          <w:b/>
          <w:szCs w:val="21"/>
          <w:highlight w:val="none"/>
        </w:rPr>
        <w:t>分，技术部分</w:t>
      </w:r>
      <w:r>
        <w:rPr>
          <w:rFonts w:hint="eastAsia" w:cs="Times New Roman"/>
          <w:b/>
          <w:szCs w:val="21"/>
          <w:highlight w:val="none"/>
          <w:lang w:val="en-US" w:eastAsia="zh-CN"/>
        </w:rPr>
        <w:t>55</w:t>
      </w:r>
      <w:r>
        <w:rPr>
          <w:rFonts w:hint="default" w:ascii="Times New Roman" w:hAnsi="Times New Roman" w:cs="Times New Roman"/>
          <w:b/>
          <w:szCs w:val="21"/>
          <w:highlight w:val="none"/>
        </w:rPr>
        <w:t>分</w:t>
      </w:r>
      <w:r>
        <w:rPr>
          <w:rFonts w:hint="default" w:ascii="Times New Roman" w:hAnsi="Times New Roman" w:cs="Times New Roman"/>
          <w:b/>
          <w:szCs w:val="21"/>
          <w:highlight w:val="none"/>
          <w:lang w:eastAsia="zh-CN"/>
        </w:rPr>
        <w:t>，报价部分</w:t>
      </w:r>
      <w:r>
        <w:rPr>
          <w:rFonts w:hint="eastAsia" w:cs="Times New Roman"/>
          <w:b/>
          <w:szCs w:val="21"/>
          <w:highlight w:val="none"/>
          <w:lang w:val="en-US" w:eastAsia="zh-CN"/>
        </w:rPr>
        <w:t>25</w:t>
      </w:r>
      <w:r>
        <w:rPr>
          <w:rFonts w:hint="default" w:ascii="Times New Roman" w:hAnsi="Times New Roman" w:cs="Times New Roman"/>
          <w:b/>
          <w:szCs w:val="21"/>
          <w:highlight w:val="none"/>
          <w:lang w:val="en-US" w:eastAsia="zh-CN"/>
        </w:rPr>
        <w:t>分</w:t>
      </w:r>
      <w:r>
        <w:rPr>
          <w:rFonts w:hint="default" w:ascii="Times New Roman" w:hAnsi="Times New Roman" w:cs="Times New Roman"/>
          <w:szCs w:val="21"/>
          <w:highlight w:val="none"/>
        </w:rPr>
        <w:t>；最终按三部分的得分累加出总得分。各部分评标因素如下：</w:t>
      </w:r>
    </w:p>
    <w:p>
      <w:pPr>
        <w:pStyle w:val="6"/>
        <w:rPr>
          <w:rFonts w:hint="default"/>
          <w:highlight w:val="none"/>
        </w:rPr>
      </w:pPr>
    </w:p>
    <w:p>
      <w:pPr>
        <w:adjustRightInd w:val="0"/>
        <w:snapToGrid w:val="0"/>
        <w:spacing w:line="360" w:lineRule="auto"/>
        <w:ind w:firstLine="480" w:firstLineChars="200"/>
        <w:jc w:val="left"/>
        <w:rPr>
          <w:rFonts w:hint="default" w:ascii="Times New Roman" w:hAnsi="Times New Roman" w:cs="Times New Roman" w:eastAsiaTheme="minorEastAsia"/>
          <w:sz w:val="24"/>
          <w:highlight w:val="none"/>
        </w:rPr>
      </w:pPr>
    </w:p>
    <w:bookmarkEnd w:id="192"/>
    <w:bookmarkEnd w:id="193"/>
    <w:bookmarkEnd w:id="194"/>
    <w:tbl>
      <w:tblPr>
        <w:tblStyle w:val="9"/>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93"/>
        <w:gridCol w:w="1801"/>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3094" w:type="dxa"/>
            <w:gridSpan w:val="2"/>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b/>
                <w:bCs/>
                <w:kern w:val="0"/>
                <w:szCs w:val="21"/>
                <w:highlight w:val="none"/>
              </w:rPr>
            </w:pPr>
            <w:bookmarkStart w:id="227" w:name="_Toc535415638"/>
            <w:bookmarkStart w:id="228" w:name="_Toc378499753"/>
            <w:bookmarkStart w:id="229" w:name="_Toc490599307"/>
            <w:bookmarkStart w:id="230" w:name="_Toc86124097"/>
            <w:bookmarkStart w:id="231" w:name="_Toc385344499"/>
            <w:bookmarkStart w:id="232" w:name="_Toc347849272"/>
            <w:bookmarkStart w:id="233" w:name="_Toc329810238"/>
            <w:bookmarkStart w:id="234" w:name="_Toc48271430"/>
            <w:r>
              <w:rPr>
                <w:rFonts w:hint="default" w:ascii="Times New Roman" w:hAnsi="Times New Roman" w:cs="Times New Roman"/>
                <w:b/>
                <w:bCs/>
                <w:kern w:val="0"/>
                <w:szCs w:val="21"/>
                <w:highlight w:val="none"/>
              </w:rPr>
              <w:t>条款内容</w:t>
            </w:r>
          </w:p>
        </w:tc>
        <w:tc>
          <w:tcPr>
            <w:tcW w:w="5213" w:type="dxa"/>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3094" w:type="dxa"/>
            <w:gridSpan w:val="2"/>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eastAsia="宋体" w:cs="Times New Roman"/>
                <w:kern w:val="0"/>
                <w:szCs w:val="21"/>
                <w:highlight w:val="none"/>
                <w:lang w:eastAsia="zh-CN"/>
              </w:rPr>
            </w:pPr>
            <w:r>
              <w:rPr>
                <w:rFonts w:hint="default" w:ascii="Times New Roman" w:hAnsi="Times New Roman" w:cs="Times New Roman"/>
                <w:kern w:val="0"/>
                <w:szCs w:val="21"/>
                <w:highlight w:val="none"/>
                <w:lang w:eastAsia="zh-CN"/>
              </w:rPr>
              <w:t>评审总得分</w:t>
            </w:r>
          </w:p>
        </w:tc>
        <w:tc>
          <w:tcPr>
            <w:tcW w:w="5213" w:type="dxa"/>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谈判申请人评审总得分满分100分，评审总得分Z= A+B+C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1.A、B、C分别为商务部分的汇总得分</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技术部分的汇总得分</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报价计算得分；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2.分值：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商务</w:t>
            </w:r>
            <w:r>
              <w:rPr>
                <w:rFonts w:hint="default" w:ascii="Times New Roman" w:hAnsi="Times New Roman" w:cs="Times New Roman"/>
                <w:szCs w:val="21"/>
                <w:highlight w:val="none"/>
              </w:rPr>
              <w:t>部分A：满分为</w:t>
            </w:r>
            <w:r>
              <w:rPr>
                <w:rFonts w:hint="eastAsia" w:cs="Times New Roman"/>
                <w:szCs w:val="21"/>
                <w:highlight w:val="none"/>
                <w:lang w:val="en-US" w:eastAsia="zh-CN"/>
              </w:rPr>
              <w:t>20</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技术</w:t>
            </w:r>
            <w:r>
              <w:rPr>
                <w:rFonts w:hint="default" w:ascii="Times New Roman" w:hAnsi="Times New Roman" w:cs="Times New Roman"/>
                <w:szCs w:val="21"/>
                <w:highlight w:val="none"/>
              </w:rPr>
              <w:t>部分B：满分为</w:t>
            </w:r>
            <w:r>
              <w:rPr>
                <w:rFonts w:hint="eastAsia" w:cs="Times New Roman"/>
                <w:szCs w:val="21"/>
                <w:highlight w:val="none"/>
                <w:lang w:val="en-US" w:eastAsia="zh-CN"/>
              </w:rPr>
              <w:t>55</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报价</w:t>
            </w:r>
            <w:r>
              <w:rPr>
                <w:rFonts w:hint="default" w:ascii="Times New Roman" w:hAnsi="Times New Roman" w:cs="Times New Roman"/>
                <w:szCs w:val="21"/>
                <w:highlight w:val="none"/>
              </w:rPr>
              <w:t>部分C：满分为</w:t>
            </w:r>
            <w:r>
              <w:rPr>
                <w:rFonts w:hint="eastAsia" w:cs="Times New Roman"/>
                <w:szCs w:val="21"/>
                <w:highlight w:val="none"/>
                <w:lang w:val="en-US" w:eastAsia="zh-CN"/>
              </w:rPr>
              <w:t>25</w:t>
            </w:r>
            <w:r>
              <w:rPr>
                <w:rFonts w:hint="default" w:ascii="Times New Roman" w:hAnsi="Times New Roman" w:cs="Times New Roman"/>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宋体" w:cs="Times New Roman"/>
                <w:kern w:val="0"/>
                <w:szCs w:val="21"/>
                <w:highlight w:val="none"/>
                <w:lang w:eastAsia="zh-CN"/>
              </w:rPr>
            </w:pPr>
            <w:r>
              <w:rPr>
                <w:rFonts w:hint="default" w:ascii="Times New Roman" w:hAnsi="Times New Roman" w:cs="Times New Roman"/>
                <w:szCs w:val="21"/>
                <w:highlight w:val="none"/>
              </w:rPr>
              <w:t>竞争性谈判小组将按照最后得分由高至低的顺序推荐成交候选人，如最后得分相同时按技术部分得分由高到低顺序推荐。如有其它特殊情况，由竞争性谈判小组采用记名投票的方式确定。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19" w:hRule="atLeast"/>
          <w:tblHeader/>
        </w:trPr>
        <w:tc>
          <w:tcPr>
            <w:tcW w:w="1293" w:type="dxa"/>
            <w:vMerge w:val="restart"/>
            <w:noWrap w:val="0"/>
            <w:tcMar>
              <w:top w:w="28" w:type="dxa"/>
              <w:left w:w="28" w:type="dxa"/>
              <w:bottom w:w="28" w:type="dxa"/>
              <w:right w:w="28" w:type="dxa"/>
            </w:tcMar>
            <w:vAlign w:val="center"/>
          </w:tcPr>
          <w:p>
            <w:pPr>
              <w:keepNext w:val="0"/>
              <w:keepLines w:val="0"/>
              <w:pageBreakBefore w:val="0"/>
              <w:wordWrap/>
              <w:topLinePunct w:val="0"/>
              <w:bidi w:val="0"/>
              <w:snapToGrid/>
              <w:spacing w:line="300" w:lineRule="exact"/>
              <w:jc w:val="center"/>
              <w:textAlignment w:val="auto"/>
              <w:rPr>
                <w:rFonts w:hint="default" w:ascii="Times New Roman" w:hAnsi="Times New Roman" w:cs="Times New Roman"/>
                <w:b/>
                <w:szCs w:val="21"/>
                <w:highlight w:val="none"/>
              </w:rPr>
            </w:pPr>
            <w:r>
              <w:rPr>
                <w:rFonts w:hint="default" w:ascii="Times New Roman" w:hAnsi="Times New Roman" w:eastAsia="宋体" w:cs="Times New Roman"/>
                <w:color w:val="auto"/>
                <w:highlight w:val="none"/>
                <w:lang w:val="en-US" w:eastAsia="zh-CN"/>
              </w:rPr>
              <w:t>商务部分</w:t>
            </w:r>
            <w:r>
              <w:rPr>
                <w:rFonts w:hint="default" w:ascii="Times New Roman" w:hAnsi="Times New Roman" w:cs="Times New Roman"/>
                <w:kern w:val="0"/>
                <w:szCs w:val="21"/>
                <w:highlight w:val="none"/>
              </w:rPr>
              <w:t xml:space="preserve">     （满分</w:t>
            </w:r>
            <w:r>
              <w:rPr>
                <w:rFonts w:hint="eastAsia" w:cs="Times New Roman"/>
                <w:kern w:val="0"/>
                <w:szCs w:val="21"/>
                <w:highlight w:val="none"/>
                <w:lang w:val="en-US" w:eastAsia="zh-CN"/>
              </w:rPr>
              <w:t>20</w:t>
            </w:r>
            <w:r>
              <w:rPr>
                <w:rFonts w:hint="default" w:ascii="Times New Roman" w:hAnsi="Times New Roman" w:cs="Times New Roman"/>
                <w:kern w:val="0"/>
                <w:szCs w:val="21"/>
                <w:highlight w:val="none"/>
              </w:rPr>
              <w:t>分）</w:t>
            </w:r>
          </w:p>
        </w:tc>
        <w:tc>
          <w:tcPr>
            <w:tcW w:w="1801" w:type="dxa"/>
            <w:noWrap w:val="0"/>
            <w:tcMar>
              <w:top w:w="28" w:type="dxa"/>
              <w:left w:w="28" w:type="dxa"/>
              <w:bottom w:w="28" w:type="dxa"/>
              <w:right w:w="28" w:type="dxa"/>
            </w:tcMar>
            <w:vAlign w:val="center"/>
          </w:tcPr>
          <w:p>
            <w:pPr>
              <w:keepNext w:val="0"/>
              <w:keepLines w:val="0"/>
              <w:pageBreakBefore w:val="0"/>
              <w:numPr>
                <w:ilvl w:val="0"/>
                <w:numId w:val="0"/>
              </w:numPr>
              <w:wordWrap/>
              <w:topLinePunct w:val="0"/>
              <w:bidi w:val="0"/>
              <w:snapToGrid/>
              <w:spacing w:line="300" w:lineRule="exact"/>
              <w:jc w:val="center"/>
              <w:textAlignment w:val="auto"/>
              <w:rPr>
                <w:rFonts w:hint="default" w:ascii="Times New Roman" w:hAnsi="Times New Roman" w:cs="Times New Roman"/>
                <w:bCs/>
                <w:szCs w:val="21"/>
                <w:highlight w:val="none"/>
                <w:lang w:val="en-US" w:eastAsia="zh-CN"/>
              </w:rPr>
            </w:pPr>
            <w:r>
              <w:rPr>
                <w:rFonts w:hint="eastAsia" w:cs="Times New Roman"/>
                <w:bCs/>
                <w:szCs w:val="21"/>
                <w:highlight w:val="none"/>
                <w:lang w:val="en-US" w:eastAsia="zh-CN"/>
              </w:rPr>
              <w:t>1.机构</w:t>
            </w:r>
            <w:r>
              <w:rPr>
                <w:rFonts w:hint="default" w:ascii="Times New Roman" w:hAnsi="Times New Roman" w:cs="Times New Roman"/>
                <w:bCs/>
                <w:szCs w:val="21"/>
                <w:highlight w:val="none"/>
                <w:lang w:val="en-US" w:eastAsia="zh-CN"/>
              </w:rPr>
              <w:t>综合实力</w:t>
            </w:r>
          </w:p>
          <w:p>
            <w:pPr>
              <w:keepNext w:val="0"/>
              <w:keepLines w:val="0"/>
              <w:pageBreakBefore w:val="0"/>
              <w:numPr>
                <w:ilvl w:val="0"/>
                <w:numId w:val="0"/>
              </w:numPr>
              <w:wordWrap/>
              <w:topLinePunct w:val="0"/>
              <w:bidi w:val="0"/>
              <w:snapToGrid/>
              <w:spacing w:line="300" w:lineRule="exact"/>
              <w:jc w:val="center"/>
              <w:textAlignment w:val="auto"/>
              <w:rPr>
                <w:rFonts w:hint="default" w:ascii="Times New Roman" w:hAnsi="Times New Roman" w:eastAsia="宋体" w:cs="Times New Roman"/>
                <w:bCs/>
                <w:szCs w:val="21"/>
                <w:highlight w:val="none"/>
                <w:lang w:val="en-US" w:eastAsia="zh-CN"/>
              </w:rPr>
            </w:pPr>
            <w:r>
              <w:rPr>
                <w:rFonts w:hint="default" w:ascii="Times New Roman" w:hAnsi="Times New Roman" w:cs="Times New Roman"/>
                <w:bCs/>
                <w:szCs w:val="21"/>
                <w:highlight w:val="none"/>
                <w:lang w:val="en-US" w:eastAsia="zh-CN"/>
              </w:rPr>
              <w:t>（满分</w:t>
            </w:r>
            <w:r>
              <w:rPr>
                <w:rFonts w:hint="eastAsia" w:cs="Times New Roman"/>
                <w:bCs/>
                <w:szCs w:val="21"/>
                <w:highlight w:val="none"/>
                <w:lang w:val="en-US" w:eastAsia="zh-CN"/>
              </w:rPr>
              <w:t>5</w:t>
            </w:r>
            <w:r>
              <w:rPr>
                <w:rFonts w:hint="default" w:ascii="Times New Roman" w:hAnsi="Times New Roman" w:cs="Times New Roman"/>
                <w:bCs/>
                <w:szCs w:val="21"/>
                <w:highlight w:val="none"/>
                <w:lang w:val="en-US" w:eastAsia="zh-CN"/>
              </w:rPr>
              <w:t>分）</w:t>
            </w:r>
          </w:p>
        </w:tc>
        <w:tc>
          <w:tcPr>
            <w:tcW w:w="5213" w:type="dxa"/>
            <w:noWrap w:val="0"/>
            <w:tcMar>
              <w:top w:w="28" w:type="dxa"/>
              <w:left w:w="28" w:type="dxa"/>
              <w:bottom w:w="28" w:type="dxa"/>
              <w:right w:w="28" w:type="dxa"/>
            </w:tcMar>
            <w:vAlign w:val="center"/>
          </w:tcPr>
          <w:p>
            <w:pPr>
              <w:keepNext w:val="0"/>
              <w:keepLines w:val="0"/>
              <w:pageBreakBefore w:val="0"/>
              <w:wordWrap/>
              <w:topLinePunct w:val="0"/>
              <w:autoSpaceDE w:val="0"/>
              <w:autoSpaceDN w:val="0"/>
              <w:bidi w:val="0"/>
              <w:adjustRightInd w:val="0"/>
              <w:snapToGrid/>
              <w:spacing w:line="300" w:lineRule="exact"/>
              <w:ind w:firstLine="0" w:firstLineChars="0"/>
              <w:jc w:val="left"/>
              <w:textAlignment w:val="auto"/>
              <w:rPr>
                <w:rFonts w:hint="default" w:ascii="Times New Roman" w:hAnsi="Times New Roman" w:cs="Times New Roman"/>
                <w:szCs w:val="21"/>
                <w:highlight w:val="none"/>
                <w:lang w:eastAsia="zh-CN"/>
              </w:rPr>
            </w:pPr>
            <w:r>
              <w:rPr>
                <w:rFonts w:hint="default" w:ascii="Times New Roman" w:hAnsi="Times New Roman" w:cs="Times New Roman"/>
                <w:szCs w:val="21"/>
                <w:highlight w:val="none"/>
              </w:rPr>
              <w:t>根据</w:t>
            </w:r>
            <w:r>
              <w:rPr>
                <w:rFonts w:hint="default" w:ascii="Times New Roman" w:hAnsi="Times New Roman" w:cs="Times New Roman"/>
                <w:szCs w:val="21"/>
                <w:highlight w:val="none"/>
                <w:lang w:eastAsia="zh-CN"/>
              </w:rPr>
              <w:t>谈判申请人项目经验、市场竞争力、</w:t>
            </w:r>
            <w:r>
              <w:rPr>
                <w:rFonts w:hint="eastAsia" w:cs="Times New Roman"/>
                <w:szCs w:val="21"/>
                <w:highlight w:val="none"/>
                <w:lang w:val="en-US" w:eastAsia="zh-CN"/>
              </w:rPr>
              <w:t>服务对象</w:t>
            </w:r>
            <w:r>
              <w:rPr>
                <w:rFonts w:hint="default" w:ascii="Times New Roman" w:hAnsi="Times New Roman" w:cs="Times New Roman"/>
                <w:szCs w:val="21"/>
                <w:highlight w:val="none"/>
                <w:lang w:eastAsia="zh-CN"/>
              </w:rPr>
              <w:t>、资源优势</w:t>
            </w:r>
            <w:r>
              <w:rPr>
                <w:rFonts w:hint="default" w:ascii="Times New Roman" w:hAnsi="Times New Roman" w:cs="Times New Roman"/>
                <w:szCs w:val="21"/>
                <w:highlight w:val="none"/>
              </w:rPr>
              <w:t>等综合实力</w:t>
            </w:r>
            <w:r>
              <w:rPr>
                <w:rFonts w:hint="default" w:ascii="Times New Roman" w:hAnsi="Times New Roman" w:cs="Times New Roman"/>
                <w:szCs w:val="21"/>
                <w:highlight w:val="none"/>
                <w:lang w:eastAsia="zh-CN"/>
              </w:rPr>
              <w:t>评分：</w:t>
            </w:r>
          </w:p>
          <w:p>
            <w:pPr>
              <w:keepNext w:val="0"/>
              <w:keepLines w:val="0"/>
              <w:pageBreakBefore w:val="0"/>
              <w:wordWrap/>
              <w:topLinePunct w:val="0"/>
              <w:autoSpaceDE w:val="0"/>
              <w:autoSpaceDN w:val="0"/>
              <w:bidi w:val="0"/>
              <w:adjustRightInd w:val="0"/>
              <w:snapToGrid/>
              <w:spacing w:line="300" w:lineRule="exact"/>
              <w:ind w:firstLine="0" w:firstLineChars="0"/>
              <w:jc w:val="left"/>
              <w:textAlignment w:val="auto"/>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（1）综合实力横向对比评价最优计</w:t>
            </w:r>
            <w:r>
              <w:rPr>
                <w:rFonts w:hint="eastAsia" w:cs="Times New Roman"/>
                <w:szCs w:val="21"/>
                <w:highlight w:val="none"/>
                <w:lang w:val="en-US" w:eastAsia="zh-CN"/>
              </w:rPr>
              <w:t>4-5</w:t>
            </w:r>
            <w:r>
              <w:rPr>
                <w:rFonts w:hint="default" w:ascii="Times New Roman" w:hAnsi="Times New Roman" w:cs="Times New Roman"/>
                <w:szCs w:val="21"/>
                <w:highlight w:val="none"/>
                <w:lang w:val="en-US" w:eastAsia="zh-CN"/>
              </w:rPr>
              <w:t>分；</w:t>
            </w:r>
          </w:p>
          <w:p>
            <w:pPr>
              <w:keepNext w:val="0"/>
              <w:keepLines w:val="0"/>
              <w:pageBreakBefore w:val="0"/>
              <w:wordWrap/>
              <w:topLinePunct w:val="0"/>
              <w:autoSpaceDE w:val="0"/>
              <w:autoSpaceDN w:val="0"/>
              <w:bidi w:val="0"/>
              <w:adjustRightInd w:val="0"/>
              <w:snapToGrid/>
              <w:spacing w:line="300" w:lineRule="exact"/>
              <w:ind w:firstLine="0" w:firstLineChars="0"/>
              <w:jc w:val="left"/>
              <w:textAlignment w:val="auto"/>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（2）综合实力横向对比评价一般计</w:t>
            </w:r>
            <w:r>
              <w:rPr>
                <w:rFonts w:hint="eastAsia" w:cs="Times New Roman"/>
                <w:szCs w:val="21"/>
                <w:highlight w:val="none"/>
                <w:lang w:val="en-US" w:eastAsia="zh-CN"/>
              </w:rPr>
              <w:t>2-3</w:t>
            </w:r>
            <w:r>
              <w:rPr>
                <w:rFonts w:hint="default" w:ascii="Times New Roman" w:hAnsi="Times New Roman" w:cs="Times New Roman"/>
                <w:szCs w:val="21"/>
                <w:highlight w:val="none"/>
                <w:lang w:val="en-US" w:eastAsia="zh-CN"/>
              </w:rPr>
              <w:t>分；</w:t>
            </w:r>
          </w:p>
          <w:p>
            <w:pPr>
              <w:keepNext w:val="0"/>
              <w:keepLines w:val="0"/>
              <w:pageBreakBefore w:val="0"/>
              <w:wordWrap/>
              <w:topLinePunct w:val="0"/>
              <w:autoSpaceDE w:val="0"/>
              <w:autoSpaceDN w:val="0"/>
              <w:bidi w:val="0"/>
              <w:adjustRightInd w:val="0"/>
              <w:snapToGrid/>
              <w:spacing w:line="300" w:lineRule="exact"/>
              <w:ind w:firstLine="0" w:firstLineChars="0"/>
              <w:jc w:val="lef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（3）综合实力横向对比评价较差计</w:t>
            </w:r>
            <w:r>
              <w:rPr>
                <w:rFonts w:hint="eastAsia" w:cs="Times New Roman"/>
                <w:szCs w:val="21"/>
                <w:highlight w:val="none"/>
                <w:lang w:val="en-US" w:eastAsia="zh-CN"/>
              </w:rPr>
              <w:t>0-1</w:t>
            </w:r>
            <w:r>
              <w:rPr>
                <w:rFonts w:hint="default" w:ascii="Times New Roman" w:hAnsi="Times New Roman" w:cs="Times New Roman"/>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1293" w:type="dxa"/>
            <w:vMerge w:val="continue"/>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kern w:val="0"/>
                <w:szCs w:val="21"/>
                <w:highlight w:val="none"/>
              </w:rPr>
            </w:pPr>
          </w:p>
        </w:tc>
        <w:tc>
          <w:tcPr>
            <w:tcW w:w="1801" w:type="dxa"/>
            <w:noWrap w:val="0"/>
            <w:tcMar>
              <w:top w:w="28" w:type="dxa"/>
              <w:left w:w="28" w:type="dxa"/>
              <w:bottom w:w="28" w:type="dxa"/>
              <w:right w:w="28" w:type="dxa"/>
            </w:tcMar>
            <w:vAlign w:val="center"/>
          </w:tcPr>
          <w:p>
            <w:pPr>
              <w:keepNext w:val="0"/>
              <w:keepLines w:val="0"/>
              <w:pageBreakBefore w:val="0"/>
              <w:widowControl/>
              <w:numPr>
                <w:ilvl w:val="0"/>
                <w:numId w:val="0"/>
              </w:numPr>
              <w:wordWrap/>
              <w:topLinePunct w:val="0"/>
              <w:bidi w:val="0"/>
              <w:snapToGrid/>
              <w:spacing w:line="300" w:lineRule="exact"/>
              <w:jc w:val="center"/>
              <w:textAlignment w:val="auto"/>
              <w:rPr>
                <w:rFonts w:hint="eastAsia" w:ascii="Times New Roman" w:hAnsi="Times New Roman" w:cs="Times New Roman"/>
                <w:bCs/>
                <w:kern w:val="2"/>
                <w:szCs w:val="21"/>
                <w:highlight w:val="none"/>
              </w:rPr>
            </w:pPr>
            <w:r>
              <w:rPr>
                <w:rFonts w:hint="eastAsia" w:cs="Times New Roman"/>
                <w:bCs/>
                <w:kern w:val="2"/>
                <w:szCs w:val="21"/>
                <w:highlight w:val="none"/>
                <w:lang w:val="en-US" w:eastAsia="zh-CN"/>
              </w:rPr>
              <w:t>2</w:t>
            </w:r>
            <w:r>
              <w:rPr>
                <w:rFonts w:hint="eastAsia" w:ascii="Times New Roman" w:hAnsi="Times New Roman" w:cs="Times New Roman"/>
                <w:bCs/>
                <w:kern w:val="2"/>
                <w:szCs w:val="21"/>
                <w:highlight w:val="none"/>
                <w:lang w:val="en-US" w:eastAsia="zh-CN"/>
              </w:rPr>
              <w:t>.</w:t>
            </w:r>
            <w:r>
              <w:rPr>
                <w:rFonts w:hint="eastAsia" w:cs="Times New Roman"/>
                <w:bCs/>
                <w:kern w:val="2"/>
                <w:szCs w:val="21"/>
                <w:highlight w:val="none"/>
                <w:lang w:val="en-US" w:eastAsia="zh-CN"/>
              </w:rPr>
              <w:t>机构</w:t>
            </w:r>
            <w:r>
              <w:rPr>
                <w:rFonts w:hint="eastAsia" w:ascii="Times New Roman" w:hAnsi="Times New Roman" w:cs="Times New Roman"/>
                <w:bCs/>
                <w:kern w:val="2"/>
                <w:szCs w:val="21"/>
                <w:highlight w:val="none"/>
              </w:rPr>
              <w:t>承担的类似项目业绩             （</w:t>
            </w:r>
            <w:r>
              <w:rPr>
                <w:rFonts w:hint="eastAsia" w:cs="Times New Roman"/>
                <w:bCs/>
                <w:kern w:val="2"/>
                <w:szCs w:val="21"/>
                <w:highlight w:val="none"/>
                <w:lang w:eastAsia="zh-CN"/>
              </w:rPr>
              <w:t>满分</w:t>
            </w:r>
            <w:r>
              <w:rPr>
                <w:rFonts w:hint="eastAsia" w:cs="Times New Roman"/>
                <w:bCs/>
                <w:kern w:val="2"/>
                <w:szCs w:val="21"/>
                <w:highlight w:val="none"/>
                <w:lang w:val="en-US" w:eastAsia="zh-CN"/>
              </w:rPr>
              <w:t>15</w:t>
            </w:r>
            <w:r>
              <w:rPr>
                <w:rFonts w:hint="eastAsia" w:ascii="Times New Roman" w:hAnsi="Times New Roman" w:cs="Times New Roman"/>
                <w:bCs/>
                <w:kern w:val="2"/>
                <w:szCs w:val="21"/>
                <w:highlight w:val="none"/>
              </w:rPr>
              <w:t>分）</w:t>
            </w:r>
          </w:p>
        </w:tc>
        <w:tc>
          <w:tcPr>
            <w:tcW w:w="5213" w:type="dxa"/>
            <w:noWrap w:val="0"/>
            <w:vAlign w:val="center"/>
          </w:tcPr>
          <w:p>
            <w:pPr>
              <w:keepNext w:val="0"/>
              <w:keepLines w:val="0"/>
              <w:pageBreakBefore w:val="0"/>
              <w:numPr>
                <w:ilvl w:val="0"/>
                <w:numId w:val="0"/>
              </w:numPr>
              <w:wordWrap/>
              <w:topLinePunct w:val="0"/>
              <w:bidi w:val="0"/>
              <w:snapToGrid/>
              <w:spacing w:line="300" w:lineRule="exact"/>
              <w:ind w:firstLine="0" w:firstLineChars="0"/>
              <w:jc w:val="left"/>
              <w:textAlignment w:val="auto"/>
              <w:rPr>
                <w:rFonts w:hint="eastAsia" w:ascii="Times New Roman" w:hAnsi="Times New Roman" w:cs="Times New Roman"/>
                <w:bCs/>
                <w:kern w:val="2"/>
                <w:szCs w:val="21"/>
                <w:highlight w:val="none"/>
                <w:lang w:val="en-US"/>
              </w:rPr>
            </w:pPr>
            <w:r>
              <w:rPr>
                <w:rFonts w:hint="default" w:ascii="Times New Roman" w:cs="Times New Roman"/>
                <w:bCs/>
                <w:color w:val="auto"/>
                <w:szCs w:val="21"/>
                <w:highlight w:val="none"/>
                <w:lang w:val="en-US" w:eastAsia="zh-CN"/>
              </w:rPr>
              <w:t>申请竞谈机构</w:t>
            </w:r>
            <w:r>
              <w:rPr>
                <w:rFonts w:hint="default" w:eastAsia="宋体" w:cs="Times New Roman"/>
                <w:bCs/>
                <w:sz w:val="21"/>
                <w:szCs w:val="21"/>
                <w:highlight w:val="none"/>
                <w:lang w:val="en-US" w:eastAsia="zh-CN"/>
              </w:rPr>
              <w:t>（以分公司投标的，不得使用母公司及其他分公司业绩）</w:t>
            </w:r>
            <w:r>
              <w:rPr>
                <w:rFonts w:hint="default" w:ascii="Times New Roman" w:cs="Times New Roman"/>
                <w:bCs/>
                <w:szCs w:val="21"/>
                <w:highlight w:val="none"/>
                <w:lang w:val="en-US" w:eastAsia="zh-CN"/>
              </w:rPr>
              <w:t>202</w:t>
            </w:r>
            <w:r>
              <w:rPr>
                <w:rFonts w:hint="default" w:cs="Times New Roman"/>
                <w:bCs/>
                <w:szCs w:val="21"/>
                <w:highlight w:val="none"/>
                <w:lang w:val="en-US" w:eastAsia="zh-CN"/>
              </w:rPr>
              <w:t>1</w:t>
            </w:r>
            <w:r>
              <w:rPr>
                <w:rFonts w:hint="default" w:ascii="Times New Roman" w:cs="Times New Roman"/>
                <w:bCs/>
                <w:szCs w:val="21"/>
                <w:highlight w:val="none"/>
                <w:lang w:val="en-US" w:eastAsia="zh-CN"/>
              </w:rPr>
              <w:t>年</w:t>
            </w:r>
            <w:r>
              <w:rPr>
                <w:rFonts w:hint="default" w:cs="Times New Roman"/>
                <w:bCs/>
                <w:szCs w:val="21"/>
                <w:highlight w:val="none"/>
                <w:lang w:val="en-US" w:eastAsia="zh-CN"/>
              </w:rPr>
              <w:t>3</w:t>
            </w:r>
            <w:r>
              <w:rPr>
                <w:rFonts w:hint="default" w:ascii="Times New Roman" w:cs="Times New Roman"/>
                <w:bCs/>
                <w:szCs w:val="21"/>
                <w:highlight w:val="none"/>
                <w:lang w:val="en-US" w:eastAsia="zh-CN"/>
              </w:rPr>
              <w:t>月末</w:t>
            </w:r>
            <w:r>
              <w:rPr>
                <w:rFonts w:hint="eastAsia" w:ascii="Times New Roman" w:hAnsi="Times New Roman" w:cs="Times New Roman"/>
                <w:bCs/>
                <w:szCs w:val="21"/>
                <w:highlight w:val="none"/>
              </w:rPr>
              <w:t>以来</w:t>
            </w:r>
            <w:r>
              <w:rPr>
                <w:rFonts w:hint="default" w:cs="Times New Roman"/>
                <w:bCs/>
                <w:szCs w:val="21"/>
                <w:highlight w:val="none"/>
                <w:lang w:eastAsia="zh-CN"/>
              </w:rPr>
              <w:t>近三年</w:t>
            </w:r>
            <w:r>
              <w:rPr>
                <w:rFonts w:hint="eastAsia" w:ascii="Times New Roman" w:hAnsi="Times New Roman" w:cs="Times New Roman"/>
                <w:bCs/>
                <w:szCs w:val="21"/>
                <w:highlight w:val="none"/>
              </w:rPr>
              <w:t>类似项目</w:t>
            </w:r>
            <w:r>
              <w:rPr>
                <w:rFonts w:hint="default" w:ascii="Times New Roman" w:cs="Times New Roman"/>
                <w:bCs/>
                <w:color w:val="auto"/>
                <w:szCs w:val="21"/>
                <w:highlight w:val="none"/>
                <w:lang w:val="en-US" w:eastAsia="zh-CN"/>
              </w:rPr>
              <w:t>业绩数量评分，</w:t>
            </w:r>
            <w:r>
              <w:rPr>
                <w:rFonts w:hint="eastAsia" w:cs="Times New Roman"/>
                <w:bCs/>
                <w:color w:val="auto"/>
                <w:szCs w:val="21"/>
                <w:highlight w:val="none"/>
                <w:lang w:val="en-US" w:eastAsia="zh-CN"/>
              </w:rPr>
              <w:t>1</w:t>
            </w:r>
            <w:r>
              <w:rPr>
                <w:rFonts w:hint="default" w:ascii="Times New Roman" w:cs="Times New Roman"/>
                <w:bCs/>
                <w:color w:val="auto"/>
                <w:szCs w:val="21"/>
                <w:highlight w:val="none"/>
                <w:lang w:val="en-US" w:eastAsia="zh-CN"/>
              </w:rPr>
              <w:t>个类似项目服务业绩不得分，</w:t>
            </w:r>
            <w:r>
              <w:rPr>
                <w:rFonts w:hint="eastAsia" w:cs="Times New Roman"/>
                <w:bCs/>
                <w:color w:val="auto"/>
                <w:szCs w:val="21"/>
                <w:highlight w:val="none"/>
                <w:lang w:val="en-US" w:eastAsia="zh-CN"/>
              </w:rPr>
              <w:t>1</w:t>
            </w:r>
            <w:r>
              <w:rPr>
                <w:rFonts w:hint="default" w:ascii="Times New Roman" w:cs="Times New Roman"/>
                <w:bCs/>
                <w:color w:val="auto"/>
                <w:szCs w:val="21"/>
                <w:highlight w:val="none"/>
                <w:lang w:val="en-US" w:eastAsia="zh-CN"/>
              </w:rPr>
              <w:t>个以上（不含本数）类似项目服务业绩加分，每增加1家央企、省属国企或500强企业（不含子企业）加3分。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1293" w:type="dxa"/>
            <w:vMerge w:val="restart"/>
            <w:tcBorders>
              <w:top w:val="single" w:color="000000" w:sz="4" w:space="0"/>
            </w:tcBorders>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技术部分</w:t>
            </w:r>
          </w:p>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kern w:val="0"/>
                <w:szCs w:val="21"/>
                <w:highlight w:val="none"/>
              </w:rPr>
            </w:pPr>
            <w:r>
              <w:rPr>
                <w:rFonts w:hint="default" w:ascii="Times New Roman" w:hAnsi="Times New Roman" w:eastAsia="宋体" w:cs="Times New Roman"/>
                <w:color w:val="auto"/>
                <w:highlight w:val="none"/>
              </w:rPr>
              <w:t>（满分</w:t>
            </w:r>
            <w:r>
              <w:rPr>
                <w:rFonts w:hint="eastAsia" w:cs="Times New Roman"/>
                <w:color w:val="auto"/>
                <w:highlight w:val="none"/>
                <w:lang w:val="en-US" w:eastAsia="zh-CN"/>
              </w:rPr>
              <w:t>55</w:t>
            </w:r>
            <w:r>
              <w:rPr>
                <w:rFonts w:hint="default" w:ascii="Times New Roman" w:hAnsi="Times New Roman" w:eastAsia="宋体" w:cs="Times New Roman"/>
                <w:color w:val="auto"/>
                <w:highlight w:val="none"/>
              </w:rPr>
              <w:t>分）</w:t>
            </w:r>
          </w:p>
        </w:tc>
        <w:tc>
          <w:tcPr>
            <w:tcW w:w="1801" w:type="dxa"/>
            <w:tcBorders>
              <w:top w:val="single" w:color="000000" w:sz="4" w:space="0"/>
            </w:tcBorders>
            <w:noWrap w:val="0"/>
            <w:tcMar>
              <w:top w:w="28" w:type="dxa"/>
              <w:left w:w="28" w:type="dxa"/>
              <w:bottom w:w="28" w:type="dxa"/>
              <w:right w:w="28" w:type="dxa"/>
            </w:tcMar>
            <w:vAlign w:val="center"/>
          </w:tcPr>
          <w:p>
            <w:pPr>
              <w:pStyle w:val="6"/>
              <w:keepNext w:val="0"/>
              <w:keepLines w:val="0"/>
              <w:pageBreakBefore w:val="0"/>
              <w:wordWrap/>
              <w:topLinePunct w:val="0"/>
              <w:bidi w:val="0"/>
              <w:snapToGrid/>
              <w:spacing w:line="300" w:lineRule="exact"/>
              <w:jc w:val="center"/>
              <w:textAlignment w:val="auto"/>
              <w:rPr>
                <w:rFonts w:hint="default" w:ascii="Times New Roman" w:hAnsi="Times New Roman" w:cs="Times New Roman"/>
                <w:kern w:val="0"/>
                <w:szCs w:val="21"/>
                <w:highlight w:val="none"/>
                <w:lang w:val="en-US" w:eastAsia="zh-CN"/>
              </w:rPr>
            </w:pPr>
            <w:r>
              <w:rPr>
                <w:rFonts w:hint="eastAsia" w:cs="Times New Roman"/>
                <w:kern w:val="0"/>
                <w:szCs w:val="21"/>
                <w:highlight w:val="none"/>
                <w:lang w:val="en-US" w:eastAsia="zh-CN"/>
              </w:rPr>
              <w:t>1.</w:t>
            </w:r>
            <w:r>
              <w:rPr>
                <w:rFonts w:hint="default" w:ascii="Times New Roman" w:hAnsi="Times New Roman" w:cs="Times New Roman"/>
                <w:kern w:val="0"/>
                <w:szCs w:val="21"/>
                <w:highlight w:val="none"/>
                <w:lang w:val="en-US" w:eastAsia="zh-CN"/>
              </w:rPr>
              <w:t>服务方案</w:t>
            </w:r>
          </w:p>
          <w:p>
            <w:pPr>
              <w:pStyle w:val="6"/>
              <w:keepNext w:val="0"/>
              <w:keepLines w:val="0"/>
              <w:pageBreakBefore w:val="0"/>
              <w:wordWrap/>
              <w:topLinePunct w:val="0"/>
              <w:bidi w:val="0"/>
              <w:snapToGrid/>
              <w:spacing w:line="300" w:lineRule="exact"/>
              <w:jc w:val="center"/>
              <w:textAlignment w:val="auto"/>
              <w:rPr>
                <w:rFonts w:hint="default" w:ascii="Times New Roman" w:hAnsi="Times New Roman" w:cs="Times New Roman"/>
                <w:highlight w:val="none"/>
                <w:lang w:val="en-US" w:eastAsia="zh-CN"/>
              </w:rPr>
            </w:pP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满分</w:t>
            </w:r>
            <w:r>
              <w:rPr>
                <w:rFonts w:hint="eastAsia" w:cs="Times New Roman"/>
                <w:kern w:val="0"/>
                <w:szCs w:val="21"/>
                <w:highlight w:val="none"/>
                <w:lang w:val="en-US" w:eastAsia="zh-CN"/>
              </w:rPr>
              <w:t>30</w:t>
            </w:r>
            <w:r>
              <w:rPr>
                <w:rFonts w:hint="default" w:ascii="Times New Roman" w:hAnsi="Times New Roman" w:cs="Times New Roman"/>
                <w:kern w:val="0"/>
                <w:szCs w:val="21"/>
                <w:highlight w:val="none"/>
              </w:rPr>
              <w:t>分）</w:t>
            </w:r>
          </w:p>
        </w:tc>
        <w:tc>
          <w:tcPr>
            <w:tcW w:w="5213" w:type="dxa"/>
            <w:noWrap w:val="0"/>
            <w:vAlign w:val="center"/>
          </w:tcPr>
          <w:p>
            <w:pPr>
              <w:keepNext w:val="0"/>
              <w:keepLines w:val="0"/>
              <w:pageBreakBefore w:val="0"/>
              <w:widowControl w:val="0"/>
              <w:wordWrap/>
              <w:topLinePunct w:val="0"/>
              <w:bidi w:val="0"/>
              <w:snapToGrid/>
              <w:spacing w:line="300" w:lineRule="exact"/>
              <w:ind w:left="0" w:leftChars="0" w:firstLine="0" w:firstLineChars="0"/>
              <w:jc w:val="both"/>
              <w:textAlignment w:val="auto"/>
              <w:rPr>
                <w:rFonts w:hint="eastAsia" w:ascii="宋体" w:hAnsi="宋体" w:cs="宋体"/>
                <w:szCs w:val="21"/>
                <w:highlight w:val="none"/>
              </w:rPr>
            </w:pPr>
            <w:r>
              <w:rPr>
                <w:rFonts w:hint="eastAsia"/>
                <w:lang w:eastAsia="zh-CN"/>
              </w:rPr>
              <w:t>各有效响应单位横向对比，主要对方案的合理性、完整性、针对性、对项目重点难点的分析进行对比，并从优到差赋分（</w:t>
            </w:r>
            <w:r>
              <w:rPr>
                <w:rFonts w:hint="eastAsia"/>
                <w:lang w:val="en-US" w:eastAsia="zh-CN"/>
              </w:rPr>
              <w:t>30-0分</w:t>
            </w:r>
            <w:r>
              <w:rPr>
                <w:rFonts w:hint="eastAsia"/>
                <w:lang w:eastAsia="zh-CN"/>
              </w:rPr>
              <w:t>）</w:t>
            </w:r>
            <w:r>
              <w:rPr>
                <w:rFonts w:hint="eastAsia" w:ascii="宋体" w:hAnsi="宋体" w:cs="宋体"/>
                <w:szCs w:val="21"/>
                <w:highlight w:val="none"/>
              </w:rPr>
              <w:t>：</w:t>
            </w:r>
          </w:p>
          <w:p>
            <w:pPr>
              <w:keepNext w:val="0"/>
              <w:keepLines w:val="0"/>
              <w:pageBreakBefore w:val="0"/>
              <w:wordWrap/>
              <w:topLinePunct w:val="0"/>
              <w:bidi w:val="0"/>
              <w:snapToGrid/>
              <w:spacing w:line="300" w:lineRule="exac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（1）服务工作方案描述清晰准确，</w:t>
            </w:r>
            <w:r>
              <w:rPr>
                <w:rFonts w:hint="default" w:ascii="Times New Roman" w:hAnsi="Times New Roman" w:cs="Times New Roman"/>
                <w:szCs w:val="21"/>
                <w:highlight w:val="none"/>
                <w:lang w:eastAsia="zh-CN"/>
              </w:rPr>
              <w:t>与</w:t>
            </w:r>
            <w:r>
              <w:rPr>
                <w:rFonts w:hint="eastAsia" w:cs="Times New Roman"/>
                <w:szCs w:val="21"/>
                <w:highlight w:val="none"/>
                <w:lang w:eastAsia="zh-CN"/>
              </w:rPr>
              <w:t>能投集团业务</w:t>
            </w:r>
            <w:r>
              <w:rPr>
                <w:rFonts w:hint="default" w:ascii="Times New Roman" w:hAnsi="Times New Roman" w:cs="Times New Roman"/>
                <w:szCs w:val="21"/>
                <w:highlight w:val="none"/>
                <w:lang w:eastAsia="zh-CN"/>
              </w:rPr>
              <w:t>契合度高</w:t>
            </w:r>
            <w:r>
              <w:rPr>
                <w:rFonts w:hint="eastAsia" w:cs="Times New Roman"/>
                <w:szCs w:val="21"/>
                <w:highlight w:val="none"/>
                <w:lang w:eastAsia="zh-CN"/>
              </w:rPr>
              <w:t>、服务需求匹配度高</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内容详细、具体，有针对性、可行性的得</w:t>
            </w:r>
            <w:r>
              <w:rPr>
                <w:rFonts w:hint="eastAsia" w:cs="Times New Roman"/>
                <w:szCs w:val="21"/>
                <w:highlight w:val="none"/>
                <w:lang w:val="en-US" w:eastAsia="zh-CN"/>
              </w:rPr>
              <w:t>20-30</w:t>
            </w:r>
            <w:r>
              <w:rPr>
                <w:rFonts w:hint="default" w:ascii="Times New Roman" w:hAnsi="Times New Roman" w:cs="Times New Roman"/>
                <w:szCs w:val="21"/>
                <w:highlight w:val="none"/>
              </w:rPr>
              <w:t>分；</w:t>
            </w:r>
          </w:p>
          <w:p>
            <w:pPr>
              <w:keepNext w:val="0"/>
              <w:keepLines w:val="0"/>
              <w:pageBreakBefore w:val="0"/>
              <w:wordWrap/>
              <w:topLinePunct w:val="0"/>
              <w:bidi w:val="0"/>
              <w:snapToGrid/>
              <w:spacing w:line="300" w:lineRule="exac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（2）服务工作方案描述基本准确，</w:t>
            </w:r>
            <w:r>
              <w:rPr>
                <w:rFonts w:hint="default" w:ascii="Times New Roman" w:hAnsi="Times New Roman" w:cs="Times New Roman"/>
                <w:szCs w:val="21"/>
                <w:highlight w:val="none"/>
                <w:lang w:eastAsia="zh-CN"/>
              </w:rPr>
              <w:t>与</w:t>
            </w:r>
            <w:r>
              <w:rPr>
                <w:rFonts w:hint="eastAsia" w:cs="Times New Roman"/>
                <w:szCs w:val="21"/>
                <w:highlight w:val="none"/>
                <w:lang w:eastAsia="zh-CN"/>
              </w:rPr>
              <w:t>能投集团业务</w:t>
            </w:r>
            <w:r>
              <w:rPr>
                <w:rFonts w:hint="default" w:ascii="Times New Roman" w:hAnsi="Times New Roman" w:cs="Times New Roman"/>
                <w:szCs w:val="21"/>
                <w:highlight w:val="none"/>
                <w:lang w:eastAsia="zh-CN"/>
              </w:rPr>
              <w:t>契合度一般，</w:t>
            </w:r>
            <w:r>
              <w:rPr>
                <w:rFonts w:hint="eastAsia" w:cs="Times New Roman"/>
                <w:szCs w:val="21"/>
                <w:highlight w:val="none"/>
                <w:lang w:eastAsia="zh-CN"/>
              </w:rPr>
              <w:t>服务需求匹配度一般</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工作方案基本合理可行，但缺乏针对性的得</w:t>
            </w:r>
            <w:r>
              <w:rPr>
                <w:rFonts w:hint="eastAsia" w:cs="Times New Roman"/>
                <w:szCs w:val="21"/>
                <w:highlight w:val="none"/>
                <w:lang w:val="en-US" w:eastAsia="zh-CN"/>
              </w:rPr>
              <w:t>10-19</w:t>
            </w:r>
            <w:r>
              <w:rPr>
                <w:rFonts w:hint="default" w:ascii="Times New Roman" w:hAnsi="Times New Roman" w:cs="Times New Roman"/>
                <w:szCs w:val="21"/>
                <w:highlight w:val="none"/>
              </w:rPr>
              <w:t>分；</w:t>
            </w:r>
          </w:p>
          <w:p>
            <w:pPr>
              <w:keepNext w:val="0"/>
              <w:keepLines w:val="0"/>
              <w:pageBreakBefore w:val="0"/>
              <w:wordWrap/>
              <w:topLinePunct w:val="0"/>
              <w:bidi w:val="0"/>
              <w:snapToGrid/>
              <w:spacing w:line="300" w:lineRule="exact"/>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（3）服务工作方案不详细、不完整，缺乏可行性或存在重大错漏的得</w:t>
            </w:r>
            <w:r>
              <w:rPr>
                <w:rFonts w:hint="eastAsia" w:cs="Times New Roman"/>
                <w:szCs w:val="21"/>
                <w:highlight w:val="none"/>
                <w:lang w:val="en-US" w:eastAsia="zh-CN"/>
              </w:rPr>
              <w:t>0-9</w:t>
            </w:r>
            <w:r>
              <w:rPr>
                <w:rFonts w:hint="default" w:ascii="Times New Roman" w:hAnsi="Times New Roman" w:cs="Times New Roman"/>
                <w:szCs w:val="21"/>
                <w:highlight w:val="none"/>
              </w:rPr>
              <w:t>分</w:t>
            </w:r>
            <w:r>
              <w:rPr>
                <w:rFonts w:hint="default" w:ascii="Times New Roman" w:hAnsi="Times New Roman"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1293" w:type="dxa"/>
            <w:vMerge w:val="continue"/>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eastAsia="宋体" w:cs="Times New Roman"/>
                <w:color w:val="auto"/>
                <w:highlight w:val="none"/>
              </w:rPr>
            </w:pPr>
          </w:p>
        </w:tc>
        <w:tc>
          <w:tcPr>
            <w:tcW w:w="1801" w:type="dxa"/>
            <w:tcBorders>
              <w:top w:val="single" w:color="000000" w:sz="4" w:space="0"/>
            </w:tcBorders>
            <w:noWrap w:val="0"/>
            <w:tcMar>
              <w:top w:w="28" w:type="dxa"/>
              <w:left w:w="28" w:type="dxa"/>
              <w:bottom w:w="28" w:type="dxa"/>
              <w:right w:w="28" w:type="dxa"/>
            </w:tcMar>
            <w:vAlign w:val="center"/>
          </w:tcPr>
          <w:p>
            <w:pPr>
              <w:keepNext w:val="0"/>
              <w:keepLines w:val="0"/>
              <w:pageBreakBefore w:val="0"/>
              <w:wordWrap/>
              <w:topLinePunct w:val="0"/>
              <w:bidi w:val="0"/>
              <w:snapToGrid/>
              <w:spacing w:line="300" w:lineRule="exact"/>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.本项目配备人员</w:t>
            </w:r>
          </w:p>
          <w:p>
            <w:pPr>
              <w:keepNext w:val="0"/>
              <w:keepLines w:val="0"/>
              <w:pageBreakBefore w:val="0"/>
              <w:wordWrap/>
              <w:topLinePunct w:val="0"/>
              <w:bidi w:val="0"/>
              <w:snapToGrid/>
              <w:spacing w:line="300" w:lineRule="exact"/>
              <w:jc w:val="center"/>
              <w:textAlignment w:val="auto"/>
              <w:rPr>
                <w:rFonts w:hint="default" w:ascii="Times New Roman" w:hAnsi="Times New Roman" w:cs="Times New Roman"/>
                <w:kern w:val="0"/>
                <w:szCs w:val="21"/>
                <w:highlight w:val="none"/>
              </w:rPr>
            </w:pPr>
            <w:r>
              <w:rPr>
                <w:rFonts w:hint="default" w:ascii="Times New Roman" w:hAnsi="Times New Roman" w:cs="Times New Roman"/>
                <w:color w:val="auto"/>
                <w:highlight w:val="none"/>
                <w:lang w:val="en-US" w:eastAsia="zh-CN"/>
              </w:rPr>
              <w:t>（满分1</w:t>
            </w:r>
            <w:r>
              <w:rPr>
                <w:rFonts w:hint="eastAsia" w:cs="Times New Roman"/>
                <w:color w:val="auto"/>
                <w:highlight w:val="none"/>
                <w:lang w:val="en-US" w:eastAsia="zh-CN"/>
              </w:rPr>
              <w:t>0</w:t>
            </w:r>
            <w:r>
              <w:rPr>
                <w:rFonts w:hint="default" w:ascii="Times New Roman" w:hAnsi="Times New Roman" w:cs="Times New Roman"/>
                <w:color w:val="auto"/>
                <w:highlight w:val="none"/>
                <w:lang w:val="en-US" w:eastAsia="zh-CN"/>
              </w:rPr>
              <w:t>分）</w:t>
            </w:r>
          </w:p>
        </w:tc>
        <w:tc>
          <w:tcPr>
            <w:tcW w:w="5213" w:type="dxa"/>
            <w:noWrap w:val="0"/>
            <w:vAlign w:val="center"/>
          </w:tcPr>
          <w:p>
            <w:pPr>
              <w:keepNext w:val="0"/>
              <w:keepLines w:val="0"/>
              <w:pageBreakBefore w:val="0"/>
              <w:widowControl w:val="0"/>
              <w:wordWrap/>
              <w:topLinePunct w:val="0"/>
              <w:bidi w:val="0"/>
              <w:snapToGrid/>
              <w:spacing w:line="300" w:lineRule="exact"/>
              <w:ind w:left="0" w:leftChars="0" w:firstLine="0" w:firstLineChars="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根据拟投入本项目人员的人数、资质、基本条件、项目经验进行评分</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lang w:val="en-US" w:eastAsia="zh-CN"/>
              </w:rPr>
              <w:t>服务团队人员配置结构合理，权责清晰，与本</w:t>
            </w:r>
            <w:r>
              <w:rPr>
                <w:rFonts w:hint="eastAsia" w:cs="Times New Roman"/>
                <w:color w:val="auto"/>
                <w:highlight w:val="none"/>
                <w:lang w:val="en-US" w:eastAsia="zh-CN"/>
              </w:rPr>
              <w:t>项目</w:t>
            </w:r>
            <w:r>
              <w:rPr>
                <w:rFonts w:hint="default" w:ascii="Times New Roman" w:hAnsi="Times New Roman" w:eastAsia="宋体" w:cs="Times New Roman"/>
                <w:color w:val="auto"/>
                <w:highlight w:val="none"/>
                <w:lang w:val="en-US" w:eastAsia="zh-CN"/>
              </w:rPr>
              <w:t>适配度较高，团队具有</w:t>
            </w:r>
            <w:r>
              <w:rPr>
                <w:rFonts w:hint="eastAsia" w:cs="Times New Roman"/>
                <w:color w:val="auto"/>
                <w:highlight w:val="none"/>
                <w:lang w:val="en-US" w:eastAsia="zh-CN"/>
              </w:rPr>
              <w:t>全面风险管理体系建设</w:t>
            </w:r>
            <w:r>
              <w:rPr>
                <w:rFonts w:hint="default" w:ascii="Times New Roman" w:hAnsi="Times New Roman" w:eastAsia="宋体" w:cs="Times New Roman"/>
                <w:color w:val="auto"/>
                <w:highlight w:val="none"/>
                <w:lang w:val="en-US" w:eastAsia="zh-CN"/>
              </w:rPr>
              <w:t>的丰富经验和业绩：</w:t>
            </w:r>
          </w:p>
          <w:p>
            <w:pPr>
              <w:keepNext w:val="0"/>
              <w:keepLines w:val="0"/>
              <w:pageBreakBefore w:val="0"/>
              <w:widowControl w:val="0"/>
              <w:wordWrap/>
              <w:topLinePunct w:val="0"/>
              <w:bidi w:val="0"/>
              <w:snapToGrid/>
              <w:spacing w:line="300" w:lineRule="exact"/>
              <w:ind w:left="0" w:leftChars="0" w:firstLine="0" w:firstLineChars="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配置</w:t>
            </w:r>
            <w:r>
              <w:rPr>
                <w:rFonts w:hint="eastAsia" w:cs="Times New Roman"/>
                <w:color w:val="auto"/>
                <w:highlight w:val="none"/>
                <w:lang w:val="en-US" w:eastAsia="zh-CN"/>
              </w:rPr>
              <w:t>横向对比</w:t>
            </w:r>
            <w:r>
              <w:rPr>
                <w:rFonts w:hint="default" w:ascii="Times New Roman" w:hAnsi="Times New Roman" w:eastAsia="宋体" w:cs="Times New Roman"/>
                <w:color w:val="auto"/>
                <w:highlight w:val="none"/>
                <w:lang w:val="en-US" w:eastAsia="zh-CN"/>
              </w:rPr>
              <w:t>最优者得</w:t>
            </w:r>
            <w:r>
              <w:rPr>
                <w:rFonts w:hint="eastAsia" w:cs="Times New Roman"/>
                <w:color w:val="auto"/>
                <w:highlight w:val="none"/>
                <w:lang w:val="en-US" w:eastAsia="zh-CN"/>
              </w:rPr>
              <w:t>7</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10</w:t>
            </w:r>
            <w:r>
              <w:rPr>
                <w:rFonts w:hint="default" w:ascii="Times New Roman" w:hAnsi="Times New Roman" w:eastAsia="宋体" w:cs="Times New Roman"/>
                <w:color w:val="auto"/>
                <w:highlight w:val="none"/>
                <w:lang w:val="en-US" w:eastAsia="zh-CN"/>
              </w:rPr>
              <w:t>分；</w:t>
            </w:r>
          </w:p>
          <w:p>
            <w:pPr>
              <w:keepNext w:val="0"/>
              <w:keepLines w:val="0"/>
              <w:pageBreakBefore w:val="0"/>
              <w:widowControl w:val="0"/>
              <w:wordWrap/>
              <w:topLinePunct w:val="0"/>
              <w:bidi w:val="0"/>
              <w:snapToGrid/>
              <w:spacing w:line="300" w:lineRule="exact"/>
              <w:ind w:left="0" w:leftChars="0" w:firstLine="0" w:firstLineChars="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配置</w:t>
            </w:r>
            <w:r>
              <w:rPr>
                <w:rFonts w:hint="eastAsia" w:cs="Times New Roman"/>
                <w:color w:val="auto"/>
                <w:highlight w:val="none"/>
                <w:lang w:val="en-US" w:eastAsia="zh-CN"/>
              </w:rPr>
              <w:t>横向对比一般</w:t>
            </w:r>
            <w:r>
              <w:rPr>
                <w:rFonts w:hint="default" w:ascii="Times New Roman" w:hAnsi="Times New Roman" w:eastAsia="宋体" w:cs="Times New Roman"/>
                <w:color w:val="auto"/>
                <w:highlight w:val="none"/>
                <w:lang w:val="en-US" w:eastAsia="zh-CN"/>
              </w:rPr>
              <w:t>者得</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分</w:t>
            </w:r>
            <w:r>
              <w:rPr>
                <w:rFonts w:hint="default" w:ascii="Times New Roman" w:hAnsi="Times New Roman" w:eastAsia="宋体" w:cs="Times New Roman"/>
                <w:color w:val="auto"/>
                <w:highlight w:val="none"/>
                <w:lang w:val="en-US" w:eastAsia="zh-CN"/>
              </w:rPr>
              <w:t>；</w:t>
            </w:r>
          </w:p>
          <w:p>
            <w:pPr>
              <w:keepNext w:val="0"/>
              <w:keepLines w:val="0"/>
              <w:pageBreakBefore w:val="0"/>
              <w:widowControl w:val="0"/>
              <w:wordWrap/>
              <w:topLinePunct w:val="0"/>
              <w:bidi w:val="0"/>
              <w:snapToGrid/>
              <w:spacing w:line="300" w:lineRule="exact"/>
              <w:ind w:left="0" w:leftChars="0" w:firstLine="0" w:firstLineChars="0"/>
              <w:jc w:val="both"/>
              <w:textAlignment w:val="auto"/>
              <w:rPr>
                <w:rFonts w:hint="eastAsia" w:ascii="宋体" w:hAnsi="宋体" w:cs="宋体"/>
                <w:szCs w:val="21"/>
                <w:highlight w:val="none"/>
              </w:rPr>
            </w:pPr>
            <w:r>
              <w:rPr>
                <w:rFonts w:hint="default" w:ascii="Times New Roman" w:hAnsi="Times New Roman" w:eastAsia="宋体" w:cs="Times New Roman"/>
                <w:color w:val="auto"/>
                <w:highlight w:val="none"/>
                <w:lang w:val="en-US" w:eastAsia="zh-CN"/>
              </w:rPr>
              <w:t>配置</w:t>
            </w:r>
            <w:r>
              <w:rPr>
                <w:rFonts w:hint="eastAsia" w:cs="Times New Roman"/>
                <w:color w:val="auto"/>
                <w:highlight w:val="none"/>
                <w:lang w:val="en-US" w:eastAsia="zh-CN"/>
              </w:rPr>
              <w:t>横向对比较差</w:t>
            </w:r>
            <w:r>
              <w:rPr>
                <w:rFonts w:hint="default" w:ascii="Times New Roman" w:hAnsi="Times New Roman" w:eastAsia="宋体" w:cs="Times New Roman"/>
                <w:color w:val="auto"/>
                <w:highlight w:val="none"/>
                <w:lang w:val="en-US" w:eastAsia="zh-CN"/>
              </w:rPr>
              <w:t>者得</w:t>
            </w:r>
            <w:r>
              <w:rPr>
                <w:rFonts w:hint="eastAsia" w:cs="Times New Roman"/>
                <w:color w:val="auto"/>
                <w:highlight w:val="none"/>
                <w:lang w:val="en-US" w:eastAsia="zh-CN"/>
              </w:rPr>
              <w:t>0</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3</w:t>
            </w:r>
            <w:r>
              <w:rPr>
                <w:rFonts w:hint="default" w:ascii="Times New Roman" w:hAnsi="Times New Roman" w:eastAsia="宋体" w:cs="Times New Roman"/>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1293" w:type="dxa"/>
            <w:vMerge w:val="continue"/>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eastAsia="宋体" w:cs="Times New Roman"/>
                <w:color w:val="auto"/>
                <w:highlight w:val="none"/>
              </w:rPr>
            </w:pPr>
          </w:p>
        </w:tc>
        <w:tc>
          <w:tcPr>
            <w:tcW w:w="1801" w:type="dxa"/>
            <w:tcBorders>
              <w:top w:val="single" w:color="000000" w:sz="4" w:space="0"/>
            </w:tcBorders>
            <w:noWrap w:val="0"/>
            <w:tcMar>
              <w:top w:w="28" w:type="dxa"/>
              <w:left w:w="28" w:type="dxa"/>
              <w:bottom w:w="28" w:type="dxa"/>
              <w:right w:w="28" w:type="dxa"/>
            </w:tcMar>
            <w:vAlign w:val="center"/>
          </w:tcPr>
          <w:p>
            <w:pPr>
              <w:spacing w:line="300" w:lineRule="exact"/>
              <w:jc w:val="center"/>
              <w:rPr>
                <w:rFonts w:hint="default"/>
                <w:color w:val="auto"/>
                <w:highlight w:val="none"/>
                <w:lang w:val="en-US" w:eastAsia="zh-CN"/>
              </w:rPr>
            </w:pPr>
            <w:r>
              <w:rPr>
                <w:rFonts w:hint="default"/>
                <w:color w:val="auto"/>
                <w:highlight w:val="none"/>
                <w:lang w:val="en-US" w:eastAsia="zh-CN"/>
              </w:rPr>
              <w:t>3.服务质量保障</w:t>
            </w:r>
          </w:p>
          <w:p>
            <w:pPr>
              <w:spacing w:line="300" w:lineRule="exact"/>
              <w:jc w:val="center"/>
              <w:rPr>
                <w:rFonts w:hint="default"/>
                <w:color w:val="auto"/>
                <w:highlight w:val="none"/>
                <w:lang w:val="en-US" w:eastAsia="zh-CN"/>
              </w:rPr>
            </w:pPr>
            <w:r>
              <w:rPr>
                <w:rFonts w:hint="default"/>
                <w:color w:val="auto"/>
                <w:highlight w:val="none"/>
                <w:lang w:val="en-US" w:eastAsia="zh-CN"/>
              </w:rPr>
              <w:t>（满分</w:t>
            </w:r>
            <w:r>
              <w:rPr>
                <w:rFonts w:hint="eastAsia"/>
                <w:color w:val="auto"/>
                <w:highlight w:val="none"/>
                <w:lang w:val="en-US" w:eastAsia="zh-CN"/>
              </w:rPr>
              <w:t>10</w:t>
            </w:r>
            <w:r>
              <w:rPr>
                <w:rFonts w:hint="default"/>
                <w:color w:val="auto"/>
                <w:highlight w:val="none"/>
                <w:lang w:val="en-US" w:eastAsia="zh-CN"/>
              </w:rPr>
              <w:t>分）</w:t>
            </w:r>
          </w:p>
        </w:tc>
        <w:tc>
          <w:tcPr>
            <w:tcW w:w="5213" w:type="dxa"/>
            <w:noWrap w:val="0"/>
            <w:vAlign w:val="center"/>
          </w:tcPr>
          <w:p>
            <w:pPr>
              <w:autoSpaceDE/>
              <w:autoSpaceDN/>
              <w:adjustRightInd/>
              <w:spacing w:line="300" w:lineRule="exact"/>
              <w:jc w:val="both"/>
              <w:rPr>
                <w:rFonts w:hint="default" w:ascii="Times New Roman" w:hAnsi="Times New Roman" w:eastAsia="宋体" w:cs="Times New Roman"/>
                <w:color w:val="auto"/>
                <w:sz w:val="21"/>
                <w:szCs w:val="24"/>
                <w:highlight w:val="none"/>
                <w:lang w:eastAsia="zh-CN"/>
              </w:rPr>
            </w:pPr>
            <w:r>
              <w:rPr>
                <w:rFonts w:hint="default" w:ascii="Times New Roman" w:hAnsi="Times New Roman" w:eastAsia="宋体" w:cs="Times New Roman"/>
                <w:color w:val="auto"/>
                <w:sz w:val="21"/>
                <w:szCs w:val="24"/>
                <w:highlight w:val="none"/>
                <w:lang w:eastAsia="zh-CN"/>
              </w:rPr>
              <w:t>根据谈判申请人提供的服务质量保障措施综合性评分：</w:t>
            </w:r>
          </w:p>
          <w:p>
            <w:pPr>
              <w:autoSpaceDE/>
              <w:autoSpaceDN/>
              <w:adjustRightInd/>
              <w:spacing w:line="300" w:lineRule="exact"/>
              <w:jc w:val="both"/>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（1）服务质量保证体系健全，工作程序清晰，安排科学，保证措施有力，有具体的质量违约责任承诺</w:t>
            </w:r>
            <w:r>
              <w:rPr>
                <w:rFonts w:hint="default" w:ascii="Times New Roman" w:hAnsi="Times New Roman" w:eastAsia="宋体"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rPr>
              <w:t>得</w:t>
            </w:r>
            <w:r>
              <w:rPr>
                <w:rFonts w:hint="default" w:ascii="Times New Roman" w:hAnsi="Times New Roman" w:eastAsia="宋体" w:cs="Times New Roman"/>
                <w:color w:val="auto"/>
                <w:sz w:val="21"/>
                <w:szCs w:val="24"/>
                <w:highlight w:val="none"/>
                <w:lang w:val="en-US" w:eastAsia="zh-CN"/>
              </w:rPr>
              <w:t>8-10</w:t>
            </w:r>
            <w:r>
              <w:rPr>
                <w:rFonts w:hint="default" w:ascii="Times New Roman" w:hAnsi="Times New Roman" w:eastAsia="宋体" w:cs="Times New Roman"/>
                <w:color w:val="auto"/>
                <w:sz w:val="21"/>
                <w:szCs w:val="24"/>
                <w:highlight w:val="none"/>
              </w:rPr>
              <w:t>分；</w:t>
            </w:r>
          </w:p>
          <w:p>
            <w:pPr>
              <w:autoSpaceDE/>
              <w:autoSpaceDN/>
              <w:adjustRightInd/>
              <w:spacing w:line="300" w:lineRule="exact"/>
              <w:jc w:val="both"/>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（2）服务质量保证体系健全，工作程序清晰，安排基本合理，保证措施基本合理，有质量违约责任承诺但不具体</w:t>
            </w:r>
            <w:r>
              <w:rPr>
                <w:rFonts w:hint="default" w:ascii="Times New Roman" w:hAnsi="Times New Roman" w:eastAsia="宋体"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rPr>
              <w:t>得</w:t>
            </w:r>
            <w:r>
              <w:rPr>
                <w:rFonts w:hint="default" w:ascii="Times New Roman" w:hAnsi="Times New Roman" w:eastAsia="宋体" w:cs="Times New Roman"/>
                <w:color w:val="auto"/>
                <w:sz w:val="21"/>
                <w:szCs w:val="24"/>
                <w:highlight w:val="none"/>
                <w:lang w:val="en-US" w:eastAsia="zh-CN"/>
              </w:rPr>
              <w:t>4-7</w:t>
            </w:r>
            <w:r>
              <w:rPr>
                <w:rFonts w:hint="default" w:ascii="Times New Roman" w:hAnsi="Times New Roman" w:eastAsia="宋体" w:cs="Times New Roman"/>
                <w:color w:val="auto"/>
                <w:sz w:val="21"/>
                <w:szCs w:val="24"/>
                <w:highlight w:val="none"/>
              </w:rPr>
              <w:t>分；</w:t>
            </w:r>
          </w:p>
          <w:p>
            <w:pPr>
              <w:autoSpaceDE/>
              <w:autoSpaceDN/>
              <w:adjustRightInd/>
              <w:spacing w:line="300" w:lineRule="exact"/>
              <w:jc w:val="both"/>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（3）服务质量保证体系一般，工作程序清晰，安排基本合理，保证措施基本合理，无质量违约责任承诺</w:t>
            </w:r>
            <w:r>
              <w:rPr>
                <w:rFonts w:hint="default" w:ascii="Times New Roman" w:hAnsi="Times New Roman" w:eastAsia="宋体" w:cs="Times New Roman"/>
                <w:color w:val="auto"/>
                <w:sz w:val="21"/>
                <w:szCs w:val="24"/>
                <w:highlight w:val="none"/>
                <w:lang w:eastAsia="zh-CN"/>
              </w:rPr>
              <w:t>，得</w:t>
            </w:r>
            <w:r>
              <w:rPr>
                <w:rFonts w:hint="default" w:ascii="Times New Roman" w:hAnsi="Times New Roman" w:eastAsia="宋体" w:cs="Times New Roman"/>
                <w:color w:val="auto"/>
                <w:sz w:val="21"/>
                <w:szCs w:val="24"/>
                <w:highlight w:val="none"/>
              </w:rPr>
              <w:t>1</w:t>
            </w:r>
            <w:r>
              <w:rPr>
                <w:rFonts w:hint="default" w:ascii="Times New Roman" w:hAnsi="Times New Roman" w:eastAsia="宋体" w:cs="Times New Roman"/>
                <w:color w:val="auto"/>
                <w:sz w:val="21"/>
                <w:szCs w:val="24"/>
                <w:highlight w:val="none"/>
                <w:lang w:val="en-US" w:eastAsia="zh-CN"/>
              </w:rPr>
              <w:t>-3</w:t>
            </w:r>
            <w:r>
              <w:rPr>
                <w:rFonts w:hint="default" w:ascii="Times New Roman" w:hAnsi="Times New Roman" w:eastAsia="宋体" w:cs="Times New Roman"/>
                <w:color w:val="auto"/>
                <w:sz w:val="21"/>
                <w:szCs w:val="24"/>
                <w:highlight w:val="none"/>
              </w:rPr>
              <w:t>分；</w:t>
            </w:r>
          </w:p>
          <w:p>
            <w:pPr>
              <w:keepNext w:val="0"/>
              <w:keepLines w:val="0"/>
              <w:pageBreakBefore w:val="0"/>
              <w:widowControl w:val="0"/>
              <w:wordWrap/>
              <w:topLinePunct w:val="0"/>
              <w:bidi w:val="0"/>
              <w:snapToGrid/>
              <w:spacing w:line="300" w:lineRule="exact"/>
              <w:ind w:left="0" w:leftChars="0" w:firstLine="0" w:firstLineChars="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4"/>
                <w:highlight w:val="none"/>
              </w:rPr>
              <w:t>（4）无相关描述的</w:t>
            </w:r>
            <w:r>
              <w:rPr>
                <w:rFonts w:hint="default" w:ascii="Times New Roman" w:hAnsi="Times New Roman" w:eastAsia="宋体"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1293" w:type="dxa"/>
            <w:vMerge w:val="continue"/>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eastAsia="宋体" w:cs="Times New Roman"/>
                <w:color w:val="auto"/>
                <w:highlight w:val="none"/>
              </w:rPr>
            </w:pPr>
          </w:p>
        </w:tc>
        <w:tc>
          <w:tcPr>
            <w:tcW w:w="1801" w:type="dxa"/>
            <w:tcBorders>
              <w:top w:val="single" w:color="000000" w:sz="4" w:space="0"/>
            </w:tcBorders>
            <w:noWrap w:val="0"/>
            <w:tcMar>
              <w:top w:w="28" w:type="dxa"/>
              <w:left w:w="28" w:type="dxa"/>
              <w:bottom w:w="28" w:type="dxa"/>
              <w:right w:w="28" w:type="dxa"/>
            </w:tcMar>
            <w:vAlign w:val="center"/>
          </w:tcPr>
          <w:p>
            <w:pPr>
              <w:spacing w:line="300" w:lineRule="exact"/>
              <w:ind w:firstLine="0" w:firstLineChars="0"/>
              <w:jc w:val="center"/>
              <w:rPr>
                <w:rFonts w:hint="default"/>
                <w:color w:val="auto"/>
                <w:highlight w:val="none"/>
                <w:lang w:val="en-US" w:eastAsia="zh-CN"/>
              </w:rPr>
            </w:pPr>
            <w:r>
              <w:rPr>
                <w:rFonts w:hint="default"/>
                <w:color w:val="auto"/>
                <w:highlight w:val="none"/>
                <w:lang w:val="en-US" w:eastAsia="zh-CN"/>
              </w:rPr>
              <w:t>4.增值服务</w:t>
            </w:r>
          </w:p>
          <w:p>
            <w:pPr>
              <w:spacing w:line="300" w:lineRule="exact"/>
              <w:jc w:val="center"/>
              <w:rPr>
                <w:rFonts w:hint="default"/>
                <w:color w:val="auto"/>
                <w:highlight w:val="none"/>
                <w:lang w:val="en-US" w:eastAsia="zh-CN"/>
              </w:rPr>
            </w:pPr>
            <w:r>
              <w:rPr>
                <w:rFonts w:hint="default"/>
                <w:color w:val="auto"/>
                <w:highlight w:val="none"/>
                <w:lang w:val="en-US" w:eastAsia="zh-CN"/>
              </w:rPr>
              <w:t>（满分</w:t>
            </w:r>
            <w:r>
              <w:rPr>
                <w:rFonts w:hint="eastAsia"/>
                <w:color w:val="auto"/>
                <w:highlight w:val="none"/>
                <w:lang w:val="en-US" w:eastAsia="zh-CN"/>
              </w:rPr>
              <w:t>5</w:t>
            </w:r>
            <w:r>
              <w:rPr>
                <w:rFonts w:hint="default"/>
                <w:color w:val="auto"/>
                <w:highlight w:val="none"/>
                <w:lang w:val="en-US" w:eastAsia="zh-CN"/>
              </w:rPr>
              <w:t>分）</w:t>
            </w:r>
          </w:p>
        </w:tc>
        <w:tc>
          <w:tcPr>
            <w:tcW w:w="5213" w:type="dxa"/>
            <w:noWrap w:val="0"/>
            <w:vAlign w:val="center"/>
          </w:tcPr>
          <w:p>
            <w:pPr>
              <w:autoSpaceDE/>
              <w:autoSpaceDN/>
              <w:adjustRightInd/>
              <w:spacing w:line="300" w:lineRule="exact"/>
              <w:jc w:val="both"/>
              <w:rPr>
                <w:rFonts w:hint="default" w:ascii="Times New Roman" w:hAnsi="Times New Roman" w:eastAsia="宋体" w:cs="Times New Roman"/>
                <w:color w:val="auto"/>
                <w:sz w:val="21"/>
                <w:szCs w:val="24"/>
                <w:highlight w:val="none"/>
                <w:lang w:eastAsia="zh-CN"/>
              </w:rPr>
            </w:pPr>
            <w:r>
              <w:rPr>
                <w:rFonts w:hint="default" w:ascii="Times New Roman" w:hAnsi="Times New Roman" w:eastAsia="宋体" w:cs="Times New Roman"/>
                <w:color w:val="auto"/>
                <w:sz w:val="21"/>
                <w:szCs w:val="24"/>
                <w:highlight w:val="none"/>
                <w:lang w:eastAsia="zh-CN"/>
              </w:rPr>
              <w:t>根据谈判申请人提供的增值服务承诺内容综合性评分：</w:t>
            </w:r>
          </w:p>
          <w:p>
            <w:pPr>
              <w:autoSpaceDE/>
              <w:autoSpaceDN/>
              <w:adjustRightInd/>
              <w:spacing w:line="300" w:lineRule="exact"/>
              <w:jc w:val="both"/>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lang w:val="en-US" w:eastAsia="zh-CN"/>
              </w:rPr>
              <w:t>1</w:t>
            </w:r>
            <w:r>
              <w:rPr>
                <w:rFonts w:hint="default" w:ascii="Times New Roman" w:hAnsi="Times New Roman" w:eastAsia="宋体" w:cs="Times New Roman"/>
                <w:color w:val="auto"/>
                <w:sz w:val="21"/>
                <w:szCs w:val="24"/>
                <w:highlight w:val="none"/>
                <w:lang w:eastAsia="zh-CN"/>
              </w:rPr>
              <w:t>）增值服务紧密结合</w:t>
            </w:r>
            <w:r>
              <w:rPr>
                <w:rFonts w:hint="default" w:eastAsia="宋体" w:cs="Times New Roman"/>
                <w:color w:val="auto"/>
                <w:sz w:val="21"/>
                <w:szCs w:val="24"/>
                <w:highlight w:val="none"/>
                <w:lang w:eastAsia="zh-CN"/>
              </w:rPr>
              <w:t>项目</w:t>
            </w:r>
            <w:r>
              <w:rPr>
                <w:rFonts w:hint="default" w:ascii="Times New Roman" w:hAnsi="Times New Roman" w:eastAsia="宋体" w:cs="Times New Roman"/>
                <w:color w:val="auto"/>
                <w:sz w:val="21"/>
                <w:szCs w:val="24"/>
                <w:highlight w:val="none"/>
                <w:lang w:eastAsia="zh-CN"/>
              </w:rPr>
              <w:t>实际，针对性较强，切实可行，能提高服务质量，得</w:t>
            </w:r>
            <w:r>
              <w:rPr>
                <w:rFonts w:hint="eastAsia" w:cs="Times New Roman"/>
                <w:color w:val="auto"/>
                <w:sz w:val="21"/>
                <w:szCs w:val="24"/>
                <w:highlight w:val="none"/>
                <w:lang w:val="en-US" w:eastAsia="zh-CN"/>
              </w:rPr>
              <w:t>4-5</w:t>
            </w:r>
            <w:r>
              <w:rPr>
                <w:rFonts w:hint="default" w:ascii="Times New Roman" w:hAnsi="Times New Roman" w:eastAsia="宋体" w:cs="Times New Roman"/>
                <w:color w:val="auto"/>
                <w:sz w:val="21"/>
                <w:szCs w:val="24"/>
                <w:highlight w:val="none"/>
                <w:lang w:val="en-US" w:eastAsia="zh-CN"/>
              </w:rPr>
              <w:t>分；</w:t>
            </w:r>
          </w:p>
          <w:p>
            <w:pPr>
              <w:autoSpaceDE/>
              <w:autoSpaceDN/>
              <w:adjustRightInd/>
              <w:spacing w:line="300" w:lineRule="exact"/>
              <w:jc w:val="both"/>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lang w:val="en-US" w:eastAsia="zh-CN"/>
              </w:rPr>
              <w:t>2</w:t>
            </w:r>
            <w:r>
              <w:rPr>
                <w:rFonts w:hint="default" w:ascii="Times New Roman" w:hAnsi="Times New Roman" w:eastAsia="宋体" w:cs="Times New Roman"/>
                <w:color w:val="auto"/>
                <w:sz w:val="21"/>
                <w:szCs w:val="24"/>
                <w:highlight w:val="none"/>
                <w:lang w:eastAsia="zh-CN"/>
              </w:rPr>
              <w:t>）增值服务与项目实际结合不够，针对性一般，基本可行，对服务质量提高作用不大，得</w:t>
            </w:r>
            <w:r>
              <w:rPr>
                <w:rFonts w:hint="eastAsia" w:cs="Times New Roman"/>
                <w:color w:val="auto"/>
                <w:sz w:val="21"/>
                <w:szCs w:val="24"/>
                <w:highlight w:val="none"/>
                <w:lang w:val="en-US" w:eastAsia="zh-CN"/>
              </w:rPr>
              <w:t>2-3</w:t>
            </w:r>
            <w:r>
              <w:rPr>
                <w:rFonts w:hint="default" w:ascii="Times New Roman" w:hAnsi="Times New Roman" w:eastAsia="宋体" w:cs="Times New Roman"/>
                <w:color w:val="auto"/>
                <w:sz w:val="21"/>
                <w:szCs w:val="24"/>
                <w:highlight w:val="none"/>
                <w:lang w:val="en-US" w:eastAsia="zh-CN"/>
              </w:rPr>
              <w:t>分；</w:t>
            </w:r>
          </w:p>
          <w:p>
            <w:pPr>
              <w:keepNext w:val="0"/>
              <w:keepLines w:val="0"/>
              <w:pageBreakBefore w:val="0"/>
              <w:widowControl w:val="0"/>
              <w:wordWrap/>
              <w:topLinePunct w:val="0"/>
              <w:bidi w:val="0"/>
              <w:snapToGrid/>
              <w:spacing w:line="300" w:lineRule="exact"/>
              <w:ind w:left="0" w:leftChars="0" w:firstLine="0" w:firstLineChars="0"/>
              <w:jc w:val="both"/>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lang w:val="en-US" w:eastAsia="zh-CN"/>
              </w:rPr>
              <w:t>（3）无相关描述，得</w:t>
            </w:r>
            <w:r>
              <w:rPr>
                <w:rFonts w:hint="eastAsia" w:cs="Times New Roman"/>
                <w:color w:val="auto"/>
                <w:sz w:val="21"/>
                <w:szCs w:val="24"/>
                <w:highlight w:val="none"/>
                <w:lang w:val="en-US" w:eastAsia="zh-CN"/>
              </w:rPr>
              <w:t>0-1</w:t>
            </w:r>
            <w:r>
              <w:rPr>
                <w:rFonts w:hint="default" w:ascii="Times New Roman" w:hAnsi="Times New Roman" w:eastAsia="宋体" w:cs="Times New Roman"/>
                <w:color w:val="auto"/>
                <w:sz w:val="21"/>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tblHeader/>
        </w:trPr>
        <w:tc>
          <w:tcPr>
            <w:tcW w:w="1293" w:type="dxa"/>
            <w:tcBorders>
              <w:top w:val="single" w:color="000000" w:sz="4" w:space="0"/>
            </w:tcBorders>
            <w:noWrap w:val="0"/>
            <w:tcMar>
              <w:top w:w="28" w:type="dxa"/>
              <w:left w:w="28" w:type="dxa"/>
              <w:bottom w:w="28" w:type="dxa"/>
              <w:right w:w="28" w:type="dxa"/>
            </w:tcMar>
            <w:vAlign w:val="center"/>
          </w:tcPr>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报价</w:t>
            </w:r>
            <w:r>
              <w:rPr>
                <w:rFonts w:hint="default" w:ascii="Times New Roman" w:hAnsi="Times New Roman" w:cs="Times New Roman"/>
                <w:color w:val="auto"/>
                <w:highlight w:val="none"/>
                <w:lang w:val="en-US" w:eastAsia="zh-CN"/>
              </w:rPr>
              <w:t>部分</w:t>
            </w:r>
          </w:p>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kern w:val="0"/>
                <w:szCs w:val="21"/>
                <w:highlight w:val="none"/>
                <w:lang w:val="en-US"/>
              </w:rPr>
            </w:pPr>
            <w:r>
              <w:rPr>
                <w:rFonts w:hint="default" w:ascii="Times New Roman" w:hAnsi="Times New Roman" w:cs="Times New Roman"/>
                <w:color w:val="auto"/>
                <w:highlight w:val="none"/>
                <w:lang w:val="en-US" w:eastAsia="zh-CN"/>
              </w:rPr>
              <w:t>（满分</w:t>
            </w:r>
            <w:r>
              <w:rPr>
                <w:rFonts w:hint="eastAsia" w:cs="Times New Roman"/>
                <w:color w:val="auto"/>
                <w:highlight w:val="none"/>
                <w:lang w:val="en-US" w:eastAsia="zh-CN"/>
              </w:rPr>
              <w:t>25</w:t>
            </w:r>
            <w:r>
              <w:rPr>
                <w:rFonts w:hint="default" w:ascii="Times New Roman" w:hAnsi="Times New Roman" w:cs="Times New Roman"/>
                <w:color w:val="auto"/>
                <w:highlight w:val="none"/>
                <w:lang w:val="en-US" w:eastAsia="zh-CN"/>
              </w:rPr>
              <w:t>分）</w:t>
            </w:r>
          </w:p>
        </w:tc>
        <w:tc>
          <w:tcPr>
            <w:tcW w:w="1801" w:type="dxa"/>
            <w:tcBorders>
              <w:top w:val="single" w:color="000000" w:sz="4" w:space="0"/>
            </w:tcBorders>
            <w:noWrap w:val="0"/>
            <w:tcMar>
              <w:top w:w="28" w:type="dxa"/>
              <w:left w:w="28" w:type="dxa"/>
              <w:bottom w:w="28" w:type="dxa"/>
              <w:right w:w="28" w:type="dxa"/>
            </w:tcMar>
            <w:vAlign w:val="center"/>
          </w:tcPr>
          <w:p>
            <w:pPr>
              <w:keepNext w:val="0"/>
              <w:keepLines w:val="0"/>
              <w:pageBreakBefore w:val="0"/>
              <w:kinsoku w:val="0"/>
              <w:wordWrap/>
              <w:overflowPunct w:val="0"/>
              <w:topLinePunct w:val="0"/>
              <w:autoSpaceDE w:val="0"/>
              <w:autoSpaceDN w:val="0"/>
              <w:bidi w:val="0"/>
              <w:snapToGrid/>
              <w:spacing w:line="300" w:lineRule="exact"/>
              <w:ind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谈判报价</w:t>
            </w:r>
          </w:p>
          <w:p>
            <w:pPr>
              <w:keepNext w:val="0"/>
              <w:keepLines w:val="0"/>
              <w:pageBreakBefore w:val="0"/>
              <w:widowControl/>
              <w:wordWrap/>
              <w:topLinePunct w:val="0"/>
              <w:bidi w:val="0"/>
              <w:snapToGrid/>
              <w:spacing w:line="300" w:lineRule="exact"/>
              <w:jc w:val="center"/>
              <w:textAlignment w:val="auto"/>
              <w:rPr>
                <w:rFonts w:hint="default" w:ascii="Times New Roman" w:hAnsi="Times New Roman" w:cs="Times New Roman"/>
                <w:kern w:val="0"/>
                <w:szCs w:val="21"/>
                <w:highlight w:val="none"/>
              </w:rPr>
            </w:pPr>
            <w:r>
              <w:rPr>
                <w:rFonts w:hint="default" w:ascii="Times New Roman" w:hAnsi="Times New Roman" w:eastAsia="宋体" w:cs="Times New Roman"/>
                <w:color w:val="auto"/>
                <w:highlight w:val="none"/>
              </w:rPr>
              <w:t>（</w:t>
            </w:r>
            <w:r>
              <w:rPr>
                <w:rFonts w:hint="default" w:ascii="Times New Roman" w:hAnsi="Times New Roman" w:cs="Times New Roman"/>
                <w:color w:val="auto"/>
                <w:highlight w:val="none"/>
                <w:lang w:eastAsia="zh-CN"/>
              </w:rPr>
              <w:t>满分</w:t>
            </w:r>
            <w:r>
              <w:rPr>
                <w:rFonts w:hint="eastAsia" w:cs="Times New Roman"/>
                <w:color w:val="auto"/>
                <w:highlight w:val="none"/>
                <w:lang w:val="en-US" w:eastAsia="zh-CN"/>
              </w:rPr>
              <w:t>25</w:t>
            </w:r>
            <w:r>
              <w:rPr>
                <w:rFonts w:hint="default" w:ascii="Times New Roman" w:hAnsi="Times New Roman" w:eastAsia="宋体" w:cs="Times New Roman"/>
                <w:color w:val="auto"/>
                <w:highlight w:val="none"/>
              </w:rPr>
              <w:t>分）</w:t>
            </w:r>
          </w:p>
        </w:tc>
        <w:tc>
          <w:tcPr>
            <w:tcW w:w="5213" w:type="dxa"/>
            <w:noWrap w:val="0"/>
            <w:vAlign w:val="center"/>
          </w:tcPr>
          <w:p>
            <w:pPr>
              <w:keepNext w:val="0"/>
              <w:keepLines w:val="0"/>
              <w:pageBreakBefore w:val="0"/>
              <w:wordWrap/>
              <w:topLinePunct w:val="0"/>
              <w:bidi w:val="0"/>
              <w:snapToGrid/>
              <w:spacing w:line="300" w:lineRule="exact"/>
              <w:textAlignment w:val="auto"/>
              <w:rPr>
                <w:rFonts w:hint="default" w:ascii="Times New Roman" w:hAnsi="Times New Roman" w:cs="Times New Roman"/>
                <w:szCs w:val="21"/>
                <w:highlight w:val="none"/>
              </w:rPr>
            </w:pPr>
            <w:r>
              <w:rPr>
                <w:rFonts w:hint="eastAsia" w:cs="Times New Roman"/>
                <w:szCs w:val="21"/>
                <w:highlight w:val="none"/>
                <w:lang w:val="en-US" w:eastAsia="zh-CN"/>
              </w:rPr>
              <w:t>1.</w:t>
            </w:r>
            <w:r>
              <w:rPr>
                <w:rFonts w:hint="default" w:ascii="Times New Roman" w:hAnsi="Times New Roman" w:cs="Times New Roman"/>
                <w:szCs w:val="21"/>
                <w:highlight w:val="none"/>
              </w:rPr>
              <w:t>合格竞谈单位大于5家（含5家）时，评标基准价为去掉最高报价和最低报价后，其他竞谈单位谈判报价的算术平均值；合格竞谈单位数少于5家时，评标基准价为竞谈单位谈判报价的算术平均值。</w:t>
            </w:r>
          </w:p>
          <w:p>
            <w:pPr>
              <w:keepNext w:val="0"/>
              <w:keepLines w:val="0"/>
              <w:pageBreakBefore w:val="0"/>
              <w:widowControl/>
              <w:wordWrap/>
              <w:topLinePunct w:val="0"/>
              <w:bidi w:val="0"/>
              <w:snapToGrid/>
              <w:spacing w:line="300" w:lineRule="exact"/>
              <w:textAlignment w:val="auto"/>
              <w:rPr>
                <w:rFonts w:hint="default" w:ascii="Times New Roman" w:hAnsi="Times New Roman" w:eastAsia="宋体" w:cs="Times New Roman"/>
                <w:kern w:val="0"/>
                <w:szCs w:val="21"/>
                <w:highlight w:val="none"/>
                <w:lang w:val="en-US" w:eastAsia="zh-CN"/>
              </w:rPr>
            </w:pPr>
            <w:r>
              <w:rPr>
                <w:rFonts w:hint="eastAsia" w:cs="Times New Roman"/>
                <w:szCs w:val="21"/>
                <w:highlight w:val="none"/>
                <w:lang w:val="en-US" w:eastAsia="zh-CN"/>
              </w:rPr>
              <w:t>2.响应报价等于评标基准价时该项得满分；响应报价与评标基准价相比，每向上或向下浮动1%扣0.5分，本项最多扣15分。（扣减分值中间值用插入法，小数点后保留两位。）</w:t>
            </w:r>
            <w:r>
              <w:rPr>
                <w:rFonts w:hint="eastAsia" w:cs="Times New Roman"/>
                <w:szCs w:val="21"/>
                <w:highlight w:val="none"/>
                <w:lang w:val="en-US" w:eastAsia="zh-CN"/>
              </w:rPr>
              <w:br w:type="textWrapping"/>
            </w:r>
            <w:r>
              <w:rPr>
                <w:rFonts w:hint="eastAsia" w:cs="Times New Roman"/>
                <w:szCs w:val="21"/>
                <w:highlight w:val="none"/>
                <w:lang w:val="en-US" w:eastAsia="zh-CN"/>
              </w:rPr>
              <w:t>注：响应报价以最终报价为准。</w:t>
            </w:r>
          </w:p>
        </w:tc>
      </w:tr>
      <w:bookmarkEnd w:id="227"/>
      <w:bookmarkEnd w:id="228"/>
      <w:bookmarkEnd w:id="229"/>
      <w:bookmarkEnd w:id="230"/>
      <w:bookmarkEnd w:id="231"/>
      <w:bookmarkEnd w:id="232"/>
      <w:bookmarkEnd w:id="233"/>
      <w:bookmarkEnd w:id="234"/>
    </w:tbl>
    <w:p>
      <w:pPr>
        <w:adjustRightInd w:val="0"/>
        <w:snapToGrid w:val="0"/>
        <w:spacing w:line="360" w:lineRule="auto"/>
        <w:ind w:firstLine="420" w:firstLineChars="200"/>
        <w:jc w:val="left"/>
        <w:rPr>
          <w:rFonts w:hint="default" w:ascii="Times New Roman" w:hAnsi="Times New Roman" w:cs="Times New Roman" w:eastAsiaTheme="minorEastAsia"/>
          <w:szCs w:val="22"/>
          <w:highlight w:val="none"/>
        </w:rPr>
      </w:pPr>
    </w:p>
    <w:p>
      <w:pPr>
        <w:spacing w:line="360" w:lineRule="auto"/>
        <w:rPr>
          <w:rFonts w:hint="default" w:ascii="Times New Roman" w:hAnsi="Times New Roman" w:cs="Times New Roman" w:eastAsiaTheme="minorEastAsia"/>
          <w:highlight w:val="none"/>
        </w:rPr>
      </w:pPr>
    </w:p>
    <w:p>
      <w:pPr>
        <w:pStyle w:val="5"/>
        <w:rPr>
          <w:rFonts w:hint="default" w:ascii="Times New Roman" w:hAnsi="Times New Roman" w:eastAsia="方正仿宋_GBK" w:cs="Times New Roman"/>
          <w:sz w:val="32"/>
          <w:szCs w:val="32"/>
          <w:highlight w:val="none"/>
          <w:lang w:val="en-US" w:eastAsia="zh-CN"/>
        </w:rPr>
      </w:pPr>
    </w:p>
    <w:p>
      <w:pPr>
        <w:pStyle w:val="5"/>
        <w:rPr>
          <w:rFonts w:hint="eastAsia" w:ascii="Times New Roman" w:hAnsi="Times New Roman" w:eastAsia="方正仿宋_GBK" w:cs="Times New Roman"/>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rPr>
    </w:pPr>
    <w:r>
      <w:rPr>
        <w:b/>
      </w:rPr>
      <w:fldChar w:fldCharType="begin"/>
    </w:r>
    <w:r>
      <w:rPr>
        <w:b/>
      </w:rPr>
      <w:instrText xml:space="preserve"> PAGE   \* MERGEFORMAT </w:instrText>
    </w:r>
    <w:r>
      <w:rPr>
        <w:b/>
      </w:rPr>
      <w:fldChar w:fldCharType="separate"/>
    </w:r>
    <w:r>
      <w:rPr>
        <w:b/>
        <w:lang w:val="zh-CN"/>
      </w:rPr>
      <w:t>7</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sz w:val="21"/>
      </w:rPr>
    </w:pPr>
    <w: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0</wp:posOffset>
              </wp:positionV>
              <wp:extent cx="297815" cy="153035"/>
              <wp:effectExtent l="0" t="0" r="0" b="0"/>
              <wp:wrapSquare wrapText="bothSides"/>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97815" cy="153035"/>
                      </a:xfrm>
                      <a:prstGeom prst="rect">
                        <a:avLst/>
                      </a:prstGeom>
                      <a:noFill/>
                      <a:ln>
                        <a:noFill/>
                      </a:ln>
                    </wps:spPr>
                    <wps:txbx>
                      <w:txbxContent>
                        <w:p>
                          <w:pPr>
                            <w:pStyle w:val="7"/>
                            <w:jc w:val="center"/>
                            <w:rPr>
                              <w:rStyle w:val="11"/>
                              <w:sz w:val="21"/>
                            </w:rPr>
                          </w:pPr>
                          <w:r>
                            <w:rPr>
                              <w:sz w:val="21"/>
                            </w:rPr>
                            <w:fldChar w:fldCharType="begin"/>
                          </w:r>
                          <w:r>
                            <w:rPr>
                              <w:rStyle w:val="11"/>
                              <w:sz w:val="21"/>
                            </w:rPr>
                            <w:instrText xml:space="preserve">PAGE  </w:instrText>
                          </w:r>
                          <w:r>
                            <w:rPr>
                              <w:sz w:val="21"/>
                            </w:rPr>
                            <w:fldChar w:fldCharType="separate"/>
                          </w:r>
                          <w:r>
                            <w:rPr>
                              <w:rStyle w:val="11"/>
                              <w:sz w:val="21"/>
                            </w:rPr>
                            <w:t>48</w:t>
                          </w:r>
                          <w:r>
                            <w:rPr>
                              <w:sz w:val="21"/>
                            </w:rPr>
                            <w:fldChar w:fldCharType="end"/>
                          </w:r>
                        </w:p>
                      </w:txbxContent>
                    </wps:txbx>
                    <wps:bodyPr rot="0" vert="horz" wrap="square" lIns="0" tIns="0" rIns="0" bIns="0" anchor="t" anchorCtr="0" upright="1">
                      <a:spAutoFit/>
                    </wps:bodyPr>
                  </wps:wsp>
                </a:graphicData>
              </a:graphic>
            </wp:anchor>
          </w:drawing>
        </mc:Choice>
        <mc:Fallback>
          <w:pict>
            <v:shape id="文本框 16" o:spid="_x0000_s1026" o:spt="202" type="#_x0000_t202" style="position:absolute;left:0pt;margin-top:0pt;height:12.05pt;width:23.45pt;mso-position-horizontal:right;mso-position-horizontal-relative:margin;mso-wrap-distance-bottom:0pt;mso-wrap-distance-left:0pt;mso-wrap-distance-right:0pt;mso-wrap-distance-top:0pt;z-index:251662336;mso-width-relative:page;mso-height-relative:page;" filled="f" stroked="f" coordsize="21600,21600" o:gfxdata="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0nBKNIAAAADAQAADwAAAAAAAAABACAAAAAiAAAA&#10;ZHJzL2Rvd25yZXYueG1sUEsBAhQAFAAAAAgAh07iQB3hxUkNAgAABQQAAA4AAAAAAAAAAQAgAAAA&#10;IQEAAGRycy9lMm9Eb2MueG1sUEsFBgAAAAAGAAYAWQEAAKAFAAAAAA==&#10;">
              <v:fill on="f" focussize="0,0"/>
              <v:stroke on="f"/>
              <v:imagedata o:title=""/>
              <o:lock v:ext="edit" aspectratio="f"/>
              <v:textbox inset="0mm,0mm,0mm,0mm" style="mso-fit-shape-to-text:t;">
                <w:txbxContent>
                  <w:p>
                    <w:pPr>
                      <w:pStyle w:val="7"/>
                      <w:jc w:val="center"/>
                      <w:rPr>
                        <w:rStyle w:val="11"/>
                        <w:sz w:val="21"/>
                      </w:rPr>
                    </w:pPr>
                    <w:r>
                      <w:rPr>
                        <w:sz w:val="21"/>
                      </w:rPr>
                      <w:fldChar w:fldCharType="begin"/>
                    </w:r>
                    <w:r>
                      <w:rPr>
                        <w:rStyle w:val="11"/>
                        <w:sz w:val="21"/>
                      </w:rPr>
                      <w:instrText xml:space="preserve">PAGE  </w:instrText>
                    </w:r>
                    <w:r>
                      <w:rPr>
                        <w:sz w:val="21"/>
                      </w:rPr>
                      <w:fldChar w:fldCharType="separate"/>
                    </w:r>
                    <w:r>
                      <w:rPr>
                        <w:rStyle w:val="11"/>
                        <w:sz w:val="21"/>
                      </w:rPr>
                      <w:t>48</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156" w:beforeLines="50" w:after="156" w:afterLines="50" w:line="360" w:lineRule="auto"/>
      <w:jc w:val="righ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156" w:beforeLines="50" w:after="156" w:afterLines="50" w:line="360" w:lineRule="auto"/>
      <w:jc w:val="both"/>
      <w:rPr>
        <w:rFonts w:hint="eastAsia" w:ascii="仿宋_GB2312" w:hAnsi="仿宋_GB2312" w:eastAsia="仿宋_GB2312" w:cs="仿宋_GB2312"/>
        <w:b w:val="0"/>
        <w:bCs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BA8B7"/>
    <w:multiLevelType w:val="singleLevel"/>
    <w:tmpl w:val="0D1BA8B7"/>
    <w:lvl w:ilvl="0" w:tentative="0">
      <w:start w:val="7"/>
      <w:numFmt w:val="chineseCounting"/>
      <w:suff w:val="nothing"/>
      <w:lvlText w:val="%1、"/>
      <w:lvlJc w:val="left"/>
      <w:rPr>
        <w:rFonts w:hint="eastAsia"/>
      </w:rPr>
    </w:lvl>
  </w:abstractNum>
  <w:abstractNum w:abstractNumId="1">
    <w:nsid w:val="30EB520E"/>
    <w:multiLevelType w:val="multilevel"/>
    <w:tmpl w:val="30EB520E"/>
    <w:lvl w:ilvl="0" w:tentative="0">
      <w:start w:val="1"/>
      <w:numFmt w:val="decimal"/>
      <w:suff w:val="nothing"/>
      <w:lvlText w:val="%1."/>
      <w:lvlJc w:val="left"/>
      <w:pPr>
        <w:ind w:left="482" w:firstLine="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4CAE715B"/>
    <w:multiLevelType w:val="multilevel"/>
    <w:tmpl w:val="4CAE7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B46DA"/>
    <w:rsid w:val="00597606"/>
    <w:rsid w:val="00687CFB"/>
    <w:rsid w:val="006B74C7"/>
    <w:rsid w:val="00AE02F4"/>
    <w:rsid w:val="00B221E1"/>
    <w:rsid w:val="00C134CB"/>
    <w:rsid w:val="00E51BC9"/>
    <w:rsid w:val="010A3469"/>
    <w:rsid w:val="0172401E"/>
    <w:rsid w:val="017B023D"/>
    <w:rsid w:val="01C0781B"/>
    <w:rsid w:val="01C26BA1"/>
    <w:rsid w:val="01E73A0D"/>
    <w:rsid w:val="022B0416"/>
    <w:rsid w:val="024237E6"/>
    <w:rsid w:val="02455539"/>
    <w:rsid w:val="0276778B"/>
    <w:rsid w:val="027F7FC5"/>
    <w:rsid w:val="02AC4412"/>
    <w:rsid w:val="02B41C92"/>
    <w:rsid w:val="03E760AC"/>
    <w:rsid w:val="04302937"/>
    <w:rsid w:val="045C16A4"/>
    <w:rsid w:val="04785923"/>
    <w:rsid w:val="04860076"/>
    <w:rsid w:val="04DF2429"/>
    <w:rsid w:val="04FA4D69"/>
    <w:rsid w:val="05134A44"/>
    <w:rsid w:val="05136476"/>
    <w:rsid w:val="05577E52"/>
    <w:rsid w:val="055C0329"/>
    <w:rsid w:val="057537C8"/>
    <w:rsid w:val="05FF61DF"/>
    <w:rsid w:val="06262608"/>
    <w:rsid w:val="065E73BA"/>
    <w:rsid w:val="067D19A2"/>
    <w:rsid w:val="069042E8"/>
    <w:rsid w:val="0717782A"/>
    <w:rsid w:val="07350E1E"/>
    <w:rsid w:val="07417D5E"/>
    <w:rsid w:val="078F1405"/>
    <w:rsid w:val="079E0D8E"/>
    <w:rsid w:val="07F32393"/>
    <w:rsid w:val="0825431D"/>
    <w:rsid w:val="08572210"/>
    <w:rsid w:val="08B82AE2"/>
    <w:rsid w:val="08C32407"/>
    <w:rsid w:val="08D749E8"/>
    <w:rsid w:val="08DA657E"/>
    <w:rsid w:val="099B4E01"/>
    <w:rsid w:val="09C14B9A"/>
    <w:rsid w:val="0A0358DA"/>
    <w:rsid w:val="0A367394"/>
    <w:rsid w:val="0A774DF4"/>
    <w:rsid w:val="0AFB0627"/>
    <w:rsid w:val="0AFD7D22"/>
    <w:rsid w:val="0B001188"/>
    <w:rsid w:val="0B200ACF"/>
    <w:rsid w:val="0B550C60"/>
    <w:rsid w:val="0B64189E"/>
    <w:rsid w:val="0BCB6F4F"/>
    <w:rsid w:val="0BD06A4B"/>
    <w:rsid w:val="0BD43A15"/>
    <w:rsid w:val="0C026B6C"/>
    <w:rsid w:val="0C151E02"/>
    <w:rsid w:val="0C310BEB"/>
    <w:rsid w:val="0C622123"/>
    <w:rsid w:val="0CE27BD6"/>
    <w:rsid w:val="0CE51F70"/>
    <w:rsid w:val="0D79458D"/>
    <w:rsid w:val="0DA5507F"/>
    <w:rsid w:val="0DE1620D"/>
    <w:rsid w:val="0EA11B29"/>
    <w:rsid w:val="0EEB4A3C"/>
    <w:rsid w:val="0F0153FE"/>
    <w:rsid w:val="0F1366E4"/>
    <w:rsid w:val="0F1D01F1"/>
    <w:rsid w:val="0F303D97"/>
    <w:rsid w:val="0F455796"/>
    <w:rsid w:val="0F7C2A20"/>
    <w:rsid w:val="0F816B25"/>
    <w:rsid w:val="0F8237D6"/>
    <w:rsid w:val="0FA7219A"/>
    <w:rsid w:val="0FC07369"/>
    <w:rsid w:val="10135515"/>
    <w:rsid w:val="10145551"/>
    <w:rsid w:val="109728A3"/>
    <w:rsid w:val="10C316D0"/>
    <w:rsid w:val="10C7350D"/>
    <w:rsid w:val="10E30228"/>
    <w:rsid w:val="10FF0099"/>
    <w:rsid w:val="11557EA7"/>
    <w:rsid w:val="11964E88"/>
    <w:rsid w:val="11BC77B6"/>
    <w:rsid w:val="11D120E9"/>
    <w:rsid w:val="11E61E7A"/>
    <w:rsid w:val="11EB339B"/>
    <w:rsid w:val="12245E17"/>
    <w:rsid w:val="12537A3D"/>
    <w:rsid w:val="126B2B6A"/>
    <w:rsid w:val="1296751D"/>
    <w:rsid w:val="12AA430B"/>
    <w:rsid w:val="12D1477F"/>
    <w:rsid w:val="12E34DB7"/>
    <w:rsid w:val="1312299B"/>
    <w:rsid w:val="136266AB"/>
    <w:rsid w:val="13CA09FF"/>
    <w:rsid w:val="13DE3613"/>
    <w:rsid w:val="14320DDD"/>
    <w:rsid w:val="1442193E"/>
    <w:rsid w:val="14603B80"/>
    <w:rsid w:val="1466459C"/>
    <w:rsid w:val="14BC3364"/>
    <w:rsid w:val="14C8607C"/>
    <w:rsid w:val="14DE4FFD"/>
    <w:rsid w:val="14E61DF6"/>
    <w:rsid w:val="14FF3FF8"/>
    <w:rsid w:val="152A7C51"/>
    <w:rsid w:val="156B7CE8"/>
    <w:rsid w:val="15B90D48"/>
    <w:rsid w:val="15D75172"/>
    <w:rsid w:val="15FC1239"/>
    <w:rsid w:val="16163203"/>
    <w:rsid w:val="16263A1D"/>
    <w:rsid w:val="162865F0"/>
    <w:rsid w:val="165943A1"/>
    <w:rsid w:val="1664303E"/>
    <w:rsid w:val="168E6074"/>
    <w:rsid w:val="16F46E41"/>
    <w:rsid w:val="16F55B1B"/>
    <w:rsid w:val="16FF6E0D"/>
    <w:rsid w:val="17012A19"/>
    <w:rsid w:val="17371165"/>
    <w:rsid w:val="17676D14"/>
    <w:rsid w:val="17A73141"/>
    <w:rsid w:val="17F765BB"/>
    <w:rsid w:val="18214947"/>
    <w:rsid w:val="187B0494"/>
    <w:rsid w:val="18826C9A"/>
    <w:rsid w:val="18B63603"/>
    <w:rsid w:val="18C17BCA"/>
    <w:rsid w:val="18DB5B6C"/>
    <w:rsid w:val="19060B6F"/>
    <w:rsid w:val="1920360F"/>
    <w:rsid w:val="19350770"/>
    <w:rsid w:val="195C08B6"/>
    <w:rsid w:val="1961155B"/>
    <w:rsid w:val="19CE1BA9"/>
    <w:rsid w:val="1A093C9F"/>
    <w:rsid w:val="1A356AE5"/>
    <w:rsid w:val="1A49592C"/>
    <w:rsid w:val="1A5B5FA2"/>
    <w:rsid w:val="1A90656A"/>
    <w:rsid w:val="1A9C5AC3"/>
    <w:rsid w:val="1AF4222D"/>
    <w:rsid w:val="1B51715C"/>
    <w:rsid w:val="1B684C0A"/>
    <w:rsid w:val="1B6B29E2"/>
    <w:rsid w:val="1B770801"/>
    <w:rsid w:val="1B8A3276"/>
    <w:rsid w:val="1BA90166"/>
    <w:rsid w:val="1BAD65DB"/>
    <w:rsid w:val="1BF83F76"/>
    <w:rsid w:val="1C2C47D5"/>
    <w:rsid w:val="1C8377B6"/>
    <w:rsid w:val="1CB5281A"/>
    <w:rsid w:val="1D1F09EC"/>
    <w:rsid w:val="1E2A57BD"/>
    <w:rsid w:val="1E44766A"/>
    <w:rsid w:val="1E86262C"/>
    <w:rsid w:val="1E9B3D6D"/>
    <w:rsid w:val="1EAA46E5"/>
    <w:rsid w:val="1EBE60EE"/>
    <w:rsid w:val="1ECF65CE"/>
    <w:rsid w:val="1F0C68F8"/>
    <w:rsid w:val="1F170F82"/>
    <w:rsid w:val="1F19756B"/>
    <w:rsid w:val="1F5462A5"/>
    <w:rsid w:val="1F9B5A18"/>
    <w:rsid w:val="1FCE75B9"/>
    <w:rsid w:val="207910FC"/>
    <w:rsid w:val="20AA3CB1"/>
    <w:rsid w:val="212B0912"/>
    <w:rsid w:val="212C522A"/>
    <w:rsid w:val="2148164D"/>
    <w:rsid w:val="21587EE6"/>
    <w:rsid w:val="215D0593"/>
    <w:rsid w:val="21D72049"/>
    <w:rsid w:val="22372378"/>
    <w:rsid w:val="226E1DC0"/>
    <w:rsid w:val="22A375F2"/>
    <w:rsid w:val="22C81150"/>
    <w:rsid w:val="23297F6B"/>
    <w:rsid w:val="24021A6F"/>
    <w:rsid w:val="242C331D"/>
    <w:rsid w:val="244741D1"/>
    <w:rsid w:val="244D6A3D"/>
    <w:rsid w:val="245629B7"/>
    <w:rsid w:val="24621C43"/>
    <w:rsid w:val="246B46DA"/>
    <w:rsid w:val="247535F6"/>
    <w:rsid w:val="248D0E69"/>
    <w:rsid w:val="25173ED1"/>
    <w:rsid w:val="254B4B7A"/>
    <w:rsid w:val="254C1918"/>
    <w:rsid w:val="25500199"/>
    <w:rsid w:val="255A7C4B"/>
    <w:rsid w:val="25D51DE3"/>
    <w:rsid w:val="26130850"/>
    <w:rsid w:val="266832FB"/>
    <w:rsid w:val="26A9730B"/>
    <w:rsid w:val="26E17F89"/>
    <w:rsid w:val="270578B5"/>
    <w:rsid w:val="27220DD0"/>
    <w:rsid w:val="27223C36"/>
    <w:rsid w:val="273B4329"/>
    <w:rsid w:val="274261C0"/>
    <w:rsid w:val="27514B65"/>
    <w:rsid w:val="276F52C3"/>
    <w:rsid w:val="27882CAF"/>
    <w:rsid w:val="279B3EB2"/>
    <w:rsid w:val="27D8241B"/>
    <w:rsid w:val="27DC3634"/>
    <w:rsid w:val="27EE4691"/>
    <w:rsid w:val="289A330F"/>
    <w:rsid w:val="28AC3050"/>
    <w:rsid w:val="28DC4E72"/>
    <w:rsid w:val="28E74298"/>
    <w:rsid w:val="290E0547"/>
    <w:rsid w:val="29373127"/>
    <w:rsid w:val="294A0E0F"/>
    <w:rsid w:val="299F79BE"/>
    <w:rsid w:val="29A42B35"/>
    <w:rsid w:val="2A26384A"/>
    <w:rsid w:val="2A4F332E"/>
    <w:rsid w:val="2A805663"/>
    <w:rsid w:val="2A9247DF"/>
    <w:rsid w:val="2AEA009A"/>
    <w:rsid w:val="2AEB6681"/>
    <w:rsid w:val="2B2339A4"/>
    <w:rsid w:val="2B2B312C"/>
    <w:rsid w:val="2B2C693A"/>
    <w:rsid w:val="2B4D4855"/>
    <w:rsid w:val="2BA71DAC"/>
    <w:rsid w:val="2BD6252D"/>
    <w:rsid w:val="2BF0327D"/>
    <w:rsid w:val="2C183841"/>
    <w:rsid w:val="2C2A5A24"/>
    <w:rsid w:val="2C412753"/>
    <w:rsid w:val="2C583322"/>
    <w:rsid w:val="2C7B70AF"/>
    <w:rsid w:val="2CF769EE"/>
    <w:rsid w:val="2D1A1035"/>
    <w:rsid w:val="2D292117"/>
    <w:rsid w:val="2D675AD5"/>
    <w:rsid w:val="2D942F6C"/>
    <w:rsid w:val="2DA37E67"/>
    <w:rsid w:val="2DFF77FC"/>
    <w:rsid w:val="2E130566"/>
    <w:rsid w:val="2E275394"/>
    <w:rsid w:val="2E371279"/>
    <w:rsid w:val="2E55741A"/>
    <w:rsid w:val="2E724549"/>
    <w:rsid w:val="2E982391"/>
    <w:rsid w:val="2EBF5B3D"/>
    <w:rsid w:val="2EE75E48"/>
    <w:rsid w:val="2EEB3AFA"/>
    <w:rsid w:val="2EF93BA4"/>
    <w:rsid w:val="2F5D7480"/>
    <w:rsid w:val="2FDB2B89"/>
    <w:rsid w:val="2FE80753"/>
    <w:rsid w:val="2FFD33F2"/>
    <w:rsid w:val="304722CC"/>
    <w:rsid w:val="306A11F8"/>
    <w:rsid w:val="3084544C"/>
    <w:rsid w:val="309249E7"/>
    <w:rsid w:val="309C4BFB"/>
    <w:rsid w:val="30E36B86"/>
    <w:rsid w:val="31067A56"/>
    <w:rsid w:val="31110B95"/>
    <w:rsid w:val="31247383"/>
    <w:rsid w:val="31DF365C"/>
    <w:rsid w:val="32174CB1"/>
    <w:rsid w:val="3276485B"/>
    <w:rsid w:val="32795E2A"/>
    <w:rsid w:val="32B36834"/>
    <w:rsid w:val="32C40EB3"/>
    <w:rsid w:val="32FF2881"/>
    <w:rsid w:val="333C1079"/>
    <w:rsid w:val="335D0772"/>
    <w:rsid w:val="33794454"/>
    <w:rsid w:val="33EE312C"/>
    <w:rsid w:val="34524307"/>
    <w:rsid w:val="34AA5559"/>
    <w:rsid w:val="34AB792C"/>
    <w:rsid w:val="34E63FC0"/>
    <w:rsid w:val="34EF64E6"/>
    <w:rsid w:val="360C1FA6"/>
    <w:rsid w:val="363F10FD"/>
    <w:rsid w:val="3675270E"/>
    <w:rsid w:val="368B23F0"/>
    <w:rsid w:val="36945524"/>
    <w:rsid w:val="37367978"/>
    <w:rsid w:val="373D226B"/>
    <w:rsid w:val="379C3466"/>
    <w:rsid w:val="37E55F1B"/>
    <w:rsid w:val="37E871DF"/>
    <w:rsid w:val="381F70C7"/>
    <w:rsid w:val="382929B4"/>
    <w:rsid w:val="382C21B9"/>
    <w:rsid w:val="38332DC3"/>
    <w:rsid w:val="384A7D6D"/>
    <w:rsid w:val="387D1596"/>
    <w:rsid w:val="38910075"/>
    <w:rsid w:val="38ED7AA0"/>
    <w:rsid w:val="38F75F90"/>
    <w:rsid w:val="38F8614F"/>
    <w:rsid w:val="39355D63"/>
    <w:rsid w:val="398869B7"/>
    <w:rsid w:val="39CF36B2"/>
    <w:rsid w:val="3A7E00B1"/>
    <w:rsid w:val="3AEC1B1C"/>
    <w:rsid w:val="3B1463BD"/>
    <w:rsid w:val="3B24715C"/>
    <w:rsid w:val="3B8071FD"/>
    <w:rsid w:val="3B87449D"/>
    <w:rsid w:val="3BAB63B4"/>
    <w:rsid w:val="3BB166DA"/>
    <w:rsid w:val="3BF932A7"/>
    <w:rsid w:val="3C0F0266"/>
    <w:rsid w:val="3C4B1B10"/>
    <w:rsid w:val="3C5F602C"/>
    <w:rsid w:val="3C6062EE"/>
    <w:rsid w:val="3C7E6BAC"/>
    <w:rsid w:val="3CAD75C0"/>
    <w:rsid w:val="3D55304A"/>
    <w:rsid w:val="3D9C6328"/>
    <w:rsid w:val="3DF13DFF"/>
    <w:rsid w:val="3E0556E4"/>
    <w:rsid w:val="3E133CAC"/>
    <w:rsid w:val="3E1B06DD"/>
    <w:rsid w:val="3E6E1978"/>
    <w:rsid w:val="3E875D22"/>
    <w:rsid w:val="3EBB608C"/>
    <w:rsid w:val="3F1D4A7F"/>
    <w:rsid w:val="3F2A425A"/>
    <w:rsid w:val="3F356FFC"/>
    <w:rsid w:val="3F57456D"/>
    <w:rsid w:val="3F7643D2"/>
    <w:rsid w:val="3FCE0E30"/>
    <w:rsid w:val="400C5E10"/>
    <w:rsid w:val="401B1510"/>
    <w:rsid w:val="402D30F4"/>
    <w:rsid w:val="404D473B"/>
    <w:rsid w:val="40706721"/>
    <w:rsid w:val="40740C3A"/>
    <w:rsid w:val="40DE6885"/>
    <w:rsid w:val="411F6B4F"/>
    <w:rsid w:val="42417EBE"/>
    <w:rsid w:val="42C0260D"/>
    <w:rsid w:val="42CD5497"/>
    <w:rsid w:val="42D743E2"/>
    <w:rsid w:val="43B764FB"/>
    <w:rsid w:val="44270385"/>
    <w:rsid w:val="44782E61"/>
    <w:rsid w:val="44AD25B6"/>
    <w:rsid w:val="44B0350B"/>
    <w:rsid w:val="44CE1824"/>
    <w:rsid w:val="44E9009D"/>
    <w:rsid w:val="45841C39"/>
    <w:rsid w:val="459A0EB7"/>
    <w:rsid w:val="459F68E9"/>
    <w:rsid w:val="45CA3797"/>
    <w:rsid w:val="46194C87"/>
    <w:rsid w:val="471A33F5"/>
    <w:rsid w:val="474D7A73"/>
    <w:rsid w:val="47597D01"/>
    <w:rsid w:val="47DC24A9"/>
    <w:rsid w:val="47F842F7"/>
    <w:rsid w:val="480310AD"/>
    <w:rsid w:val="4872132D"/>
    <w:rsid w:val="48761948"/>
    <w:rsid w:val="48E52177"/>
    <w:rsid w:val="492F67AB"/>
    <w:rsid w:val="496C1983"/>
    <w:rsid w:val="4A2D67A6"/>
    <w:rsid w:val="4A7E3B84"/>
    <w:rsid w:val="4A975507"/>
    <w:rsid w:val="4AB127C6"/>
    <w:rsid w:val="4B12353A"/>
    <w:rsid w:val="4B1471C2"/>
    <w:rsid w:val="4B346839"/>
    <w:rsid w:val="4B3E333E"/>
    <w:rsid w:val="4B4E7E4F"/>
    <w:rsid w:val="4B571FD3"/>
    <w:rsid w:val="4B8E0168"/>
    <w:rsid w:val="4C58104F"/>
    <w:rsid w:val="4C5F0EA5"/>
    <w:rsid w:val="4C93612F"/>
    <w:rsid w:val="4CAA5ED1"/>
    <w:rsid w:val="4CC160EC"/>
    <w:rsid w:val="4D353FC2"/>
    <w:rsid w:val="4D487DFB"/>
    <w:rsid w:val="4D993690"/>
    <w:rsid w:val="4DA401AC"/>
    <w:rsid w:val="4E227D61"/>
    <w:rsid w:val="4E6C5555"/>
    <w:rsid w:val="4EB83DFE"/>
    <w:rsid w:val="4EB97926"/>
    <w:rsid w:val="4F4712B6"/>
    <w:rsid w:val="4FCE47D8"/>
    <w:rsid w:val="50290B70"/>
    <w:rsid w:val="503F1021"/>
    <w:rsid w:val="50805485"/>
    <w:rsid w:val="50B21EF9"/>
    <w:rsid w:val="50CA5386"/>
    <w:rsid w:val="50ED7B28"/>
    <w:rsid w:val="513F3FEC"/>
    <w:rsid w:val="51704752"/>
    <w:rsid w:val="517D13B5"/>
    <w:rsid w:val="51837C6C"/>
    <w:rsid w:val="51CD1CDC"/>
    <w:rsid w:val="51E06971"/>
    <w:rsid w:val="52025033"/>
    <w:rsid w:val="52110017"/>
    <w:rsid w:val="52221C86"/>
    <w:rsid w:val="52223507"/>
    <w:rsid w:val="529771FA"/>
    <w:rsid w:val="529D680D"/>
    <w:rsid w:val="52AD34CD"/>
    <w:rsid w:val="52C01487"/>
    <w:rsid w:val="52CE59AE"/>
    <w:rsid w:val="52E67E62"/>
    <w:rsid w:val="530F300C"/>
    <w:rsid w:val="531706D2"/>
    <w:rsid w:val="533B1EF2"/>
    <w:rsid w:val="534C22E1"/>
    <w:rsid w:val="53EF484A"/>
    <w:rsid w:val="53FD285C"/>
    <w:rsid w:val="540B1A9F"/>
    <w:rsid w:val="541B74DA"/>
    <w:rsid w:val="546F0465"/>
    <w:rsid w:val="54850625"/>
    <w:rsid w:val="548557FC"/>
    <w:rsid w:val="54CF7C02"/>
    <w:rsid w:val="554122E4"/>
    <w:rsid w:val="555232F0"/>
    <w:rsid w:val="55A11F9B"/>
    <w:rsid w:val="55B02A5F"/>
    <w:rsid w:val="55CD48F9"/>
    <w:rsid w:val="55D81785"/>
    <w:rsid w:val="56BA212C"/>
    <w:rsid w:val="56C05E9D"/>
    <w:rsid w:val="56E03A77"/>
    <w:rsid w:val="56F96530"/>
    <w:rsid w:val="56FE3552"/>
    <w:rsid w:val="575855E6"/>
    <w:rsid w:val="58000E2F"/>
    <w:rsid w:val="584037D6"/>
    <w:rsid w:val="58525961"/>
    <w:rsid w:val="58550BDA"/>
    <w:rsid w:val="587A65C6"/>
    <w:rsid w:val="587B68BF"/>
    <w:rsid w:val="590D3C08"/>
    <w:rsid w:val="59672000"/>
    <w:rsid w:val="59A01444"/>
    <w:rsid w:val="59B80C9D"/>
    <w:rsid w:val="59E05D31"/>
    <w:rsid w:val="5A0B7A34"/>
    <w:rsid w:val="5A114287"/>
    <w:rsid w:val="5A696F93"/>
    <w:rsid w:val="5A9324DB"/>
    <w:rsid w:val="5A9557C3"/>
    <w:rsid w:val="5AD6672B"/>
    <w:rsid w:val="5AE13853"/>
    <w:rsid w:val="5B75559F"/>
    <w:rsid w:val="5B9149DD"/>
    <w:rsid w:val="5BAD6B9C"/>
    <w:rsid w:val="5BBB0795"/>
    <w:rsid w:val="5BD3449D"/>
    <w:rsid w:val="5BF86CAB"/>
    <w:rsid w:val="5C077098"/>
    <w:rsid w:val="5C1C1D5C"/>
    <w:rsid w:val="5C270BAE"/>
    <w:rsid w:val="5C314908"/>
    <w:rsid w:val="5C44473F"/>
    <w:rsid w:val="5C652C08"/>
    <w:rsid w:val="5C787EEA"/>
    <w:rsid w:val="5C7D6D4E"/>
    <w:rsid w:val="5C9A27C0"/>
    <w:rsid w:val="5CDF648F"/>
    <w:rsid w:val="5D133D7B"/>
    <w:rsid w:val="5D2F0026"/>
    <w:rsid w:val="5D5E5282"/>
    <w:rsid w:val="5D6153F4"/>
    <w:rsid w:val="5D777A9E"/>
    <w:rsid w:val="5D9A3737"/>
    <w:rsid w:val="5DA45A1B"/>
    <w:rsid w:val="5DC01F97"/>
    <w:rsid w:val="5DC475D0"/>
    <w:rsid w:val="5DF25708"/>
    <w:rsid w:val="5E05740C"/>
    <w:rsid w:val="5E83567C"/>
    <w:rsid w:val="5ED60337"/>
    <w:rsid w:val="5EE70D4B"/>
    <w:rsid w:val="5F343AD1"/>
    <w:rsid w:val="5F377678"/>
    <w:rsid w:val="5F46077A"/>
    <w:rsid w:val="5F82790C"/>
    <w:rsid w:val="5F93232C"/>
    <w:rsid w:val="5FC83D1C"/>
    <w:rsid w:val="5FD01283"/>
    <w:rsid w:val="5FEF19DB"/>
    <w:rsid w:val="601B0555"/>
    <w:rsid w:val="602D1F3E"/>
    <w:rsid w:val="60BB3A60"/>
    <w:rsid w:val="60E377F7"/>
    <w:rsid w:val="611F52DE"/>
    <w:rsid w:val="616D27B1"/>
    <w:rsid w:val="616E3A64"/>
    <w:rsid w:val="61750636"/>
    <w:rsid w:val="61A75D26"/>
    <w:rsid w:val="61B208D6"/>
    <w:rsid w:val="61E70774"/>
    <w:rsid w:val="622010B7"/>
    <w:rsid w:val="628259FE"/>
    <w:rsid w:val="62AF68F3"/>
    <w:rsid w:val="62C031D1"/>
    <w:rsid w:val="62E21492"/>
    <w:rsid w:val="62EA10F7"/>
    <w:rsid w:val="6349021C"/>
    <w:rsid w:val="63690B05"/>
    <w:rsid w:val="636C5F0B"/>
    <w:rsid w:val="63AA4D3D"/>
    <w:rsid w:val="63AD1B25"/>
    <w:rsid w:val="63BC5B8B"/>
    <w:rsid w:val="63FF56EF"/>
    <w:rsid w:val="641425BC"/>
    <w:rsid w:val="64A61952"/>
    <w:rsid w:val="65894969"/>
    <w:rsid w:val="662461F2"/>
    <w:rsid w:val="66280502"/>
    <w:rsid w:val="665204DA"/>
    <w:rsid w:val="6669074A"/>
    <w:rsid w:val="667B4046"/>
    <w:rsid w:val="6712229F"/>
    <w:rsid w:val="674A1070"/>
    <w:rsid w:val="67A70EAE"/>
    <w:rsid w:val="67B61E5F"/>
    <w:rsid w:val="68363219"/>
    <w:rsid w:val="68512041"/>
    <w:rsid w:val="68A54F8A"/>
    <w:rsid w:val="68C5449A"/>
    <w:rsid w:val="68CC5AD0"/>
    <w:rsid w:val="697B5CDC"/>
    <w:rsid w:val="69BB1881"/>
    <w:rsid w:val="69BF3444"/>
    <w:rsid w:val="69E42DFD"/>
    <w:rsid w:val="6A0F1633"/>
    <w:rsid w:val="6AA82171"/>
    <w:rsid w:val="6AC8682F"/>
    <w:rsid w:val="6B1D0CA2"/>
    <w:rsid w:val="6B3F0CE5"/>
    <w:rsid w:val="6BA04246"/>
    <w:rsid w:val="6BA619D7"/>
    <w:rsid w:val="6C1C7DFB"/>
    <w:rsid w:val="6C3B531B"/>
    <w:rsid w:val="6C42625E"/>
    <w:rsid w:val="6C631787"/>
    <w:rsid w:val="6CB31B83"/>
    <w:rsid w:val="6CE86705"/>
    <w:rsid w:val="6CF50F79"/>
    <w:rsid w:val="6D262F93"/>
    <w:rsid w:val="6D900301"/>
    <w:rsid w:val="6D9A7091"/>
    <w:rsid w:val="6DE009F3"/>
    <w:rsid w:val="6E6B4FE6"/>
    <w:rsid w:val="6E86340D"/>
    <w:rsid w:val="6E8C5ACA"/>
    <w:rsid w:val="6EC1659B"/>
    <w:rsid w:val="6F1C412B"/>
    <w:rsid w:val="6F247094"/>
    <w:rsid w:val="6F596642"/>
    <w:rsid w:val="6F957E0A"/>
    <w:rsid w:val="6FDA063C"/>
    <w:rsid w:val="708A1CD1"/>
    <w:rsid w:val="70A80C37"/>
    <w:rsid w:val="70FE5118"/>
    <w:rsid w:val="710E1B1D"/>
    <w:rsid w:val="7146770E"/>
    <w:rsid w:val="71582E9A"/>
    <w:rsid w:val="71740043"/>
    <w:rsid w:val="71C55E61"/>
    <w:rsid w:val="71EA278F"/>
    <w:rsid w:val="71F34876"/>
    <w:rsid w:val="721059F1"/>
    <w:rsid w:val="726C7320"/>
    <w:rsid w:val="726D6366"/>
    <w:rsid w:val="727D1F7F"/>
    <w:rsid w:val="72C21042"/>
    <w:rsid w:val="732129B2"/>
    <w:rsid w:val="73371AB1"/>
    <w:rsid w:val="73970373"/>
    <w:rsid w:val="73B64C47"/>
    <w:rsid w:val="73C54B98"/>
    <w:rsid w:val="73D0520A"/>
    <w:rsid w:val="73DC1890"/>
    <w:rsid w:val="7450199E"/>
    <w:rsid w:val="74820580"/>
    <w:rsid w:val="74B67F87"/>
    <w:rsid w:val="74F75016"/>
    <w:rsid w:val="750A5280"/>
    <w:rsid w:val="751167B1"/>
    <w:rsid w:val="751F58D9"/>
    <w:rsid w:val="753D07E2"/>
    <w:rsid w:val="75DC57CF"/>
    <w:rsid w:val="75E97DC1"/>
    <w:rsid w:val="75FB2050"/>
    <w:rsid w:val="762B2A70"/>
    <w:rsid w:val="76753DFF"/>
    <w:rsid w:val="76EF7FD7"/>
    <w:rsid w:val="770434FE"/>
    <w:rsid w:val="77484DA4"/>
    <w:rsid w:val="776D1B26"/>
    <w:rsid w:val="7770131B"/>
    <w:rsid w:val="779171AD"/>
    <w:rsid w:val="77955A16"/>
    <w:rsid w:val="77C6513B"/>
    <w:rsid w:val="77DC2DF2"/>
    <w:rsid w:val="77F731E0"/>
    <w:rsid w:val="780D71E8"/>
    <w:rsid w:val="78706FC1"/>
    <w:rsid w:val="789E412E"/>
    <w:rsid w:val="78A16186"/>
    <w:rsid w:val="78C07DDA"/>
    <w:rsid w:val="78CB4F24"/>
    <w:rsid w:val="78D74671"/>
    <w:rsid w:val="7955345E"/>
    <w:rsid w:val="79683306"/>
    <w:rsid w:val="79E408E5"/>
    <w:rsid w:val="79E5732A"/>
    <w:rsid w:val="7A164C3C"/>
    <w:rsid w:val="7A516B5F"/>
    <w:rsid w:val="7A7C1B4A"/>
    <w:rsid w:val="7AB216CE"/>
    <w:rsid w:val="7ABB092B"/>
    <w:rsid w:val="7ACD612B"/>
    <w:rsid w:val="7AE95F45"/>
    <w:rsid w:val="7B1C66DE"/>
    <w:rsid w:val="7BE74C7C"/>
    <w:rsid w:val="7BF95158"/>
    <w:rsid w:val="7C47197B"/>
    <w:rsid w:val="7CA3475B"/>
    <w:rsid w:val="7CCF07D3"/>
    <w:rsid w:val="7D9826F6"/>
    <w:rsid w:val="7DAE08A5"/>
    <w:rsid w:val="7DBE6A93"/>
    <w:rsid w:val="7DDD2200"/>
    <w:rsid w:val="7DEF1A98"/>
    <w:rsid w:val="7E014E95"/>
    <w:rsid w:val="7E0E54B9"/>
    <w:rsid w:val="7E1073B6"/>
    <w:rsid w:val="7E374B92"/>
    <w:rsid w:val="7E3850C1"/>
    <w:rsid w:val="7E515089"/>
    <w:rsid w:val="7E853690"/>
    <w:rsid w:val="7EAC0D55"/>
    <w:rsid w:val="7ECC4EF3"/>
    <w:rsid w:val="7EF8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autoSpaceDE w:val="0"/>
      <w:autoSpaceDN w:val="0"/>
      <w:adjustRightInd w:val="0"/>
      <w:jc w:val="left"/>
      <w:outlineLvl w:val="0"/>
    </w:pPr>
    <w:rPr>
      <w:rFonts w:ascii="仿宋_GB2312" w:eastAsia="仿宋_GB2312"/>
      <w:b/>
      <w:bCs/>
      <w:color w:val="000000"/>
      <w:kern w:val="0"/>
      <w:sz w:val="20"/>
      <w:szCs w:val="20"/>
    </w:rPr>
  </w:style>
  <w:style w:type="paragraph" w:styleId="4">
    <w:name w:val="heading 2"/>
    <w:basedOn w:val="1"/>
    <w:next w:val="1"/>
    <w:qFormat/>
    <w:uiPriority w:val="0"/>
    <w:pPr>
      <w:keepNext/>
      <w:keepLines/>
      <w:spacing w:before="120" w:after="120" w:line="360" w:lineRule="auto"/>
      <w:jc w:val="center"/>
      <w:outlineLvl w:val="1"/>
    </w:pPr>
    <w:rPr>
      <w:rFonts w:ascii="Arial" w:hAnsi="Arial"/>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qFormat/>
    <w:uiPriority w:val="0"/>
    <w:pPr>
      <w:tabs>
        <w:tab w:val="left" w:pos="750"/>
      </w:tabs>
      <w:spacing w:beforeLines="50" w:line="300" w:lineRule="auto"/>
      <w:ind w:firstLine="200" w:firstLineChars="200"/>
    </w:pPr>
    <w:rPr>
      <w:rFonts w:ascii="宋体"/>
      <w:szCs w:val="20"/>
    </w:rPr>
  </w:style>
  <w:style w:type="paragraph" w:styleId="6">
    <w:name w:val="Body Text"/>
    <w:basedOn w:val="1"/>
    <w:next w:val="1"/>
    <w:unhideWhenUsed/>
    <w:qFormat/>
    <w:uiPriority w:val="0"/>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itle"/>
    <w:basedOn w:val="1"/>
    <w:next w:val="1"/>
    <w:qFormat/>
    <w:uiPriority w:val="10"/>
    <w:pPr>
      <w:spacing w:before="240" w:after="60"/>
      <w:jc w:val="center"/>
      <w:outlineLvl w:val="0"/>
    </w:pPr>
    <w:rPr>
      <w:rFonts w:ascii="Calibri Light" w:hAnsi="Calibri Light"/>
      <w:b/>
      <w:bCs/>
      <w:sz w:val="32"/>
      <w:szCs w:val="32"/>
    </w:rPr>
  </w:style>
  <w:style w:type="character" w:styleId="11">
    <w:name w:val="page number"/>
    <w:basedOn w:val="10"/>
    <w:qFormat/>
    <w:uiPriority w:val="0"/>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2024-03-12T06:51:00Z</dcterms:created>
  <dc:creator>李玥</dc:creator>
  <cp:lastModifiedBy>李玥</cp:lastModifiedBy>
  <dcterms:modified xsi:type="dcterms:W3CDTF">2024-03-18T08:13:34Z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D1995D45C2CE4BB1A80B5CE56B7E4E75</vt:lpwstr>
  </property>
</Properties>
</file>