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  <w:lang w:val="en-US" w:eastAsia="zh-CN"/>
        </w:rPr>
      </w:pPr>
      <w:bookmarkStart w:id="0" w:name="_Toc24085"/>
      <w:bookmarkStart w:id="1" w:name="_Toc23235"/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云南省永德恒昌电力有限公司</w:t>
      </w:r>
      <w:bookmarkEnd w:id="0"/>
      <w:bookmarkEnd w:id="1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  <w:lang w:val="en-US" w:eastAsia="zh-CN"/>
        </w:rPr>
        <w:t>大勐统电站2号、3号机组励磁系统涉网试验项目询价公告</w:t>
      </w:r>
      <w:bookmarkStart w:id="32" w:name="_GoBack"/>
      <w:bookmarkEnd w:id="32"/>
    </w:p>
    <w:p>
      <w:pPr>
        <w:jc w:val="lef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根据我公司生产运行需要开展大勐统电站2号、3号机组励磁系统涉网试验项目，本次采购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公开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询价的方式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开展，具体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事项如下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一、项目情况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大勐统水电站位于永德县与昌宁县交界的大勐统河干流上，坝址位于石囤箩上游峡谷处，电站厂房地处永德县永康镇勐底村，位于勐底河支流与大勐统河汇合口上游约900m的左岸。电站距永德县城区40km。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大勐统水电站坝址以上流域面积1269.5km2，坝址处多年平均流量26.41m3/s。水库正常蓄水位875.00m，总库容1760万m3，正常蓄水位以下库容1540万m3，死水位864.00m，调节库容665万m3，具有周调节性能。电站装机容量50MW（2台20MW+1台10MW机组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设备状况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大勐统电站三台机组励磁系统于2011年投入运行，现运行13年，对于长期带电运行的电气设备，近年已多次出现调节异常、控制板损坏、风机故障、通讯故障等问题，2号、3号由于励磁调节器功能缺陷，不具备零起升压功能。计划在2025年开展大勐统电站2号、3号机组的励磁系统改造，完毕后续开展涉网试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1. 2、3号机组PSS试验；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2、3号机组励磁系统参数辨识试验；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2、3号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发电机组进相运行试验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。</w:t>
      </w:r>
    </w:p>
    <w:p>
      <w:pPr>
        <w:pStyle w:val="7"/>
        <w:spacing w:before="134" w:line="301" w:lineRule="auto"/>
        <w:ind w:left="32" w:right="116" w:firstLine="653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根据试验结果，出具相关试验报告，报告内容符合电力行业标准及南网相关要求。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（四）项目清单</w:t>
      </w:r>
    </w:p>
    <w:p>
      <w:pPr>
        <w:jc w:val="center"/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大勐统电站2号、3号机组励磁系统涉网试验项目清单</w:t>
      </w:r>
    </w:p>
    <w:tbl>
      <w:tblPr>
        <w:tblStyle w:val="14"/>
        <w:tblW w:w="925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460"/>
        <w:gridCol w:w="836"/>
        <w:gridCol w:w="699"/>
        <w:gridCol w:w="1455"/>
        <w:gridCol w:w="1288"/>
        <w:gridCol w:w="1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(万元)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合价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(万元)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2、3号机组PSS试验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2、3号机组励磁系统参数辨识试验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2、3号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发电机组进相运行试验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2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240" w:lineRule="auto"/>
              <w:ind w:firstLine="57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240" w:lineRule="auto"/>
              <w:ind w:firstLine="57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240" w:lineRule="auto"/>
              <w:ind w:firstLine="57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pStyle w:val="4"/>
      </w:pPr>
    </w:p>
    <w:p>
      <w:pPr>
        <w:ind w:firstLine="480" w:firstLineChars="0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时间要求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合同签订以后，根据我公司通知时间入场，在我公司申 请的检修时间内完成相关试验。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二、选聘要求及服务要求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 、报价人为在中华人民共和国注册的独立法人，持有   有效的企业营业执照，且经营范围涵盖本次询价的所有内容， 依法需经批准的项 目，需取得相关部门的批准文件，具有独  立承担民事责任能力，具有独立订立合同的权利，没有处于被责令停业，财产被接管、冻结或破产状态。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 、报价人具有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电力工程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承修、承试三级及以上资质。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（二）业绩要求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投标人应提供至少 2 项类似项目业绩，并附相关证明材 料。业绩以合同工程完工证书颁发时间为准。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（三）信誉要求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报价人提供通过信用中国网站、国家税务总局网站、中国政  府采购网、最高人民法院网站、国家企业信用信息公示系统网站  官方渠道任一查询相关主体信用记录。信誉良好，报价人没有处于被责令停产、停业，或者投标资格被取消、最近三年内没有骗  取中标或者近 18 个月内不存在较大及以上安全责任事故的情形。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三、报价要求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请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于202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01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:00时前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，将报价文件加盖公章并密封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包含报价清单、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营业执照、相应资质证书等材料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以电子邮箱或者邮寄方式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报送至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云南省临沧市永德县永康镇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大勐统电站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刘明杰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（联系电话：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15087861355；邮箱569619711@qq.com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）处。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如果未能在规定时间进行报价的，视为放弃参与本次选聘工作。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具体报价要求如下：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2" w:name="_Toc86124037"/>
      <w:bookmarkStart w:id="3" w:name="_Toc385344433"/>
      <w:bookmarkStart w:id="4" w:name="_Toc490599202"/>
      <w:bookmarkStart w:id="5" w:name="_Toc535415585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（一）报价人必要按照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询价公告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工作内容及项目清单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进行自主报价。</w:t>
      </w:r>
    </w:p>
    <w:p>
      <w:pPr>
        <w:pStyle w:val="7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（二）本项目采用固定总价的方式发包，报价人所报价格必须</w:t>
      </w:r>
      <w:r>
        <w:rPr>
          <w:rStyle w:val="21"/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/>
        </w:rPr>
        <w:t>包含试验费、人工费、税金等与项目有关的一切费用。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）报价人应慎重报价，报价后因自身原因（如报价错误、未阅读或未理解清楚附件文件要求等）导致的损失由报价人自行承担。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Style w:val="21"/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Style w:val="21"/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/>
        </w:rPr>
        <w:t>（四）投标人在报价阶段须按询价公告提供的格式要求逐项填写。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eastAsia="黑体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Style w:val="21"/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Style w:val="21"/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/>
        </w:rPr>
        <w:t>本项目招标方不统一组织现场踏勘，踏勘过程所发生的任何事故和财产损失与招标方无关。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eastAsia="黑体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五、安全文明施工要求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/>
          <w:highlight w:val="none"/>
          <w:lang w:val="en-US"/>
        </w:rPr>
      </w:pPr>
      <w:r>
        <w:rPr>
          <w:rStyle w:val="21"/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/>
        </w:rPr>
        <w:t>依据安全生产相关法律法规、方针、政策、标准规范以及安全管理制度，规范项目安全管理，确保项目实施过程符合安全生产、职业健康、环境保护等工作要求。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eastAsia="黑体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六、结算要求</w:t>
      </w:r>
    </w:p>
    <w:bookmarkEnd w:id="2"/>
    <w:bookmarkEnd w:id="3"/>
    <w:bookmarkEnd w:id="4"/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按照合同约定的相关条款进行结算。具体结算方式将在合同中明确规定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eastAsia="黑体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七、中标标准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outlineLvl w:val="0"/>
        <w:rPr>
          <w:rFonts w:hint="eastAsia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以招标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提供的项目清单为基础，投标人结合项目概况，进行自主报价，以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最低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为中标单位。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eastAsia="黑体"/>
          <w:sz w:val="32"/>
          <w:szCs w:val="32"/>
          <w:highlight w:val="none"/>
        </w:rPr>
        <w:t>、联系方式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134" w:rightChars="64"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云南省永德恒昌电力有限公司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地  址：云南省临沧市永德县永康镇大勐统河电站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联系人：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刘明杰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电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话：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15087861355（邮箱：569619711@qq.com）</w:t>
      </w:r>
    </w:p>
    <w:p>
      <w:pPr>
        <w:pStyle w:val="7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云南省永德恒昌电力有限公司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2025年01月06日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highlight w:val="none"/>
        </w:rPr>
        <w:t>询价参与确认函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云南省永德恒昌电力有限公司：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 xml:space="preserve">   我单位对《大勐统电站2号、3号机组励磁系统涉网试验项目询价公告》已知悉，我单位将按询价公告要求参加贵公司此项采购活动，并做出以下承诺：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.我单位提供的相关服务不会构成对任何第三方的专利、版权、商标权、商业秘密等知识产权或其他财产权利的侵犯；我单位对服务期间知悉的涉及采购人发展战略、经营决策、企业管理、商业机密等内容进行严格保密；如有上述情况发生，责任由我单位承担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2.我单位不属于与采购人存在利害关系可能影响采购公正性的法人、其他组织或者个人。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     XX单位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  （单位盖章）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2025年X月X日</w:t>
      </w:r>
    </w:p>
    <w:p>
      <w:pPr>
        <w:widowControl w:val="0"/>
        <w:spacing w:line="560" w:lineRule="exact"/>
        <w:jc w:val="left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附件二：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52"/>
          <w:szCs w:val="52"/>
          <w:highlight w:val="none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52"/>
          <w:szCs w:val="52"/>
          <w:highlight w:val="none"/>
          <w:lang w:eastAsia="zh-CN"/>
        </w:rPr>
        <w:t>云南省永德恒昌电力有限公司</w:t>
      </w:r>
    </w:p>
    <w:p>
      <w:pPr>
        <w:jc w:val="center"/>
        <w:rPr>
          <w:rFonts w:hint="default" w:ascii="方正大标宋简体" w:hAnsi="方正大标宋简体" w:eastAsia="方正大标宋简体" w:cs="方正大标宋简体"/>
          <w:b w:val="0"/>
          <w:bCs w:val="0"/>
          <w:sz w:val="52"/>
          <w:szCs w:val="52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52"/>
          <w:szCs w:val="52"/>
          <w:highlight w:val="none"/>
          <w:lang w:eastAsia="zh-CN"/>
        </w:rPr>
        <w:t>大勐统电站2号、3号机组励磁系统涉网试验项目</w:t>
      </w:r>
    </w:p>
    <w:p>
      <w:pPr>
        <w:spacing w:line="360" w:lineRule="auto"/>
        <w:jc w:val="center"/>
        <w:rPr>
          <w:rFonts w:hint="eastAsia" w:ascii="仿宋_GB2312" w:hAnsi="宋体" w:eastAsia="仿宋_GB2312"/>
          <w:sz w:val="36"/>
          <w:szCs w:val="36"/>
          <w:highlight w:val="none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sz w:val="36"/>
          <w:szCs w:val="36"/>
          <w:highlight w:val="none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sz w:val="36"/>
          <w:szCs w:val="36"/>
          <w:highlight w:val="none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sz w:val="36"/>
          <w:szCs w:val="36"/>
          <w:highlight w:val="none"/>
        </w:rPr>
      </w:pPr>
    </w:p>
    <w:p>
      <w:pPr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84"/>
          <w:szCs w:val="84"/>
          <w:highlight w:val="none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84"/>
          <w:szCs w:val="84"/>
          <w:highlight w:val="none"/>
        </w:rPr>
        <w:t>报价文件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  <w:highlight w:val="none"/>
        </w:rPr>
      </w:pPr>
    </w:p>
    <w:p>
      <w:pPr>
        <w:spacing w:line="360" w:lineRule="auto"/>
        <w:jc w:val="both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pStyle w:val="7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报价单位名称：（盖章）</w:t>
      </w:r>
    </w:p>
    <w:p>
      <w:pPr>
        <w:spacing w:line="360" w:lineRule="auto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日</w:t>
      </w:r>
    </w:p>
    <w:p>
      <w:pPr>
        <w:spacing w:line="360" w:lineRule="auto"/>
        <w:jc w:val="center"/>
        <w:rPr>
          <w:rFonts w:hint="eastAsia" w:ascii="仿宋_GB2312" w:hAnsi="宋体" w:eastAsia="仿宋_GB2312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目  录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1.报价函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2.法定代表人资格证明书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3.法定代表人授权委托书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4.资格申明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5.报价单位基本情况表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6.同类项目业绩表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7.报价清单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8.工作方案计划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9.服务承诺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10.服务质量保证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11.其它材料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  <w:highlight w:val="none"/>
        </w:rPr>
      </w:pPr>
    </w:p>
    <w:p>
      <w:pPr>
        <w:pStyle w:val="7"/>
        <w:rPr>
          <w:highlight w:val="none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pStyle w:val="12"/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pStyle w:val="7"/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spacing w:line="360" w:lineRule="auto"/>
        <w:rPr>
          <w:rFonts w:ascii="仿宋_GB2312" w:hAnsi="宋体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1、报价函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 致：云南省永德恒昌电力有限公司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     我单位收到《大勐统电站2号、3号机组励磁系统涉网试验项目询价公告》，已完全清楚该项目的内容和相关要求，并同意参加报价。经研究，我单位愿以人民币（大写）          元（￥            元）的总包价，实施完成公告约定的所有项目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此致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</w:p>
    <w:p>
      <w:pPr>
        <w:spacing w:line="360" w:lineRule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</w:p>
    <w:p>
      <w:pPr>
        <w:spacing w:line="360" w:lineRule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</w:p>
    <w:p>
      <w:pPr>
        <w:spacing w:line="360" w:lineRule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</w:p>
    <w:p>
      <w:pPr>
        <w:spacing w:line="360" w:lineRule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</w:p>
    <w:p>
      <w:pPr>
        <w:spacing w:line="360" w:lineRule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法人代表或委托代理人签字：___</w:t>
      </w:r>
    </w:p>
    <w:p>
      <w:pPr>
        <w:spacing w:line="360" w:lineRule="auto"/>
        <w:ind w:firstLine="3200" w:firstLineChars="10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单位名称（盖章）：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                   2025年  月  日</w:t>
      </w:r>
      <w:bookmarkStart w:id="6" w:name="_Toc184704625"/>
      <w:bookmarkStart w:id="7" w:name="_Toc383448933"/>
      <w:bookmarkStart w:id="8" w:name="_Toc438455625"/>
      <w:bookmarkStart w:id="9" w:name="_Toc438826734"/>
      <w:bookmarkStart w:id="10" w:name="_Toc377566369"/>
      <w:bookmarkStart w:id="11" w:name="_Toc384387572"/>
      <w:bookmarkStart w:id="12" w:name="_Toc390075998"/>
      <w:bookmarkStart w:id="13" w:name="_Toc383984458"/>
      <w:bookmarkStart w:id="14" w:name="_Toc21768188"/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2．法定代表人资格证明书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单位名称： 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地址： 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姓名： ，性别： ，年龄： ，职务： 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是（单位名称）的法定代表人。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   此证明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    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 xml:space="preserve">报价人：（签子盖章）  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日期：    年   月    日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    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法定代表人身份证复印件正面（盖章）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MS Mincho" w:hAnsi="MS Mincho" w:cs="MS Mincho"/>
          <w:sz w:val="28"/>
          <w:szCs w:val="28"/>
          <w:highlight w:val="none"/>
        </w:rPr>
      </w:pPr>
      <w:r>
        <w:rPr>
          <w:rFonts w:hint="eastAsia" w:ascii="MS Mincho" w:hAnsi="MS Mincho" w:eastAsia="MS Mincho" w:cs="MS Mincho"/>
          <w:sz w:val="28"/>
          <w:szCs w:val="28"/>
          <w:highlight w:val="none"/>
        </w:rPr>
        <w:t> </w:t>
      </w:r>
    </w:p>
    <w:p>
      <w:pPr>
        <w:spacing w:line="360" w:lineRule="auto"/>
        <w:rPr>
          <w:rFonts w:ascii="仿宋_GB2312" w:hAnsi="宋体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法定代表人身份证复印件背面（盖章）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  <w:highlight w:val="none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</w:pPr>
      <w:bookmarkStart w:id="15" w:name="_Toc438455626"/>
      <w:bookmarkStart w:id="16" w:name="_Toc438826735"/>
      <w:bookmarkStart w:id="17" w:name="_Toc21768189"/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</w:pPr>
    </w:p>
    <w:p>
      <w:pPr>
        <w:spacing w:line="360" w:lineRule="auto"/>
        <w:jc w:val="both"/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3．</w:t>
      </w:r>
      <w:bookmarkEnd w:id="15"/>
      <w:bookmarkEnd w:id="16"/>
      <w:bookmarkEnd w:id="17"/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法定代表人授权委托书</w:t>
      </w:r>
    </w:p>
    <w:p>
      <w:pPr>
        <w:spacing w:line="360" w:lineRule="auto"/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（此为示例，具体内容及格式由报价单位自行确定）</w:t>
      </w:r>
    </w:p>
    <w:p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本人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（报价单位名称）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的法定代表人，现委托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代表我公司全权办理针对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云南省永德恒昌电力有限公司大勐统电站2号、3号机组励磁系统涉网试验项目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的报价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、谈判、签约等具体工作，并签署有关的文件、协议及合同，其法律后果由我公司承担。</w:t>
      </w:r>
    </w:p>
    <w:p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本授权委托书于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 xml:space="preserve">年  月   日生效，委托期限：            </w:t>
      </w:r>
    </w:p>
    <w:p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特此声明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单位名称：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              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（盖章）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法定代表人：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（签字或盖章）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身份证号码：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  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委托代理人：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（签字）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身份证号码：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u w:val="single"/>
        </w:rPr>
        <w:t xml:space="preserve">        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日期：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年  月  日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被授权人复印件正面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>
      <w:pPr>
        <w:spacing w:line="360" w:lineRule="auto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被授权人复印件背面</w:t>
      </w:r>
    </w:p>
    <w:p>
      <w:pPr>
        <w:spacing w:line="360" w:lineRule="auto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  <w:highlight w:val="none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4.资格申明</w:t>
      </w:r>
    </w:p>
    <w:p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（内容至少应包括：报价单位简介、营业执照、有关资质证书、企业信誉证明或承诺等，相关证照需提供复印件）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  <w:highlight w:val="none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5.报价单位基本情况表</w:t>
      </w:r>
    </w:p>
    <w:tbl>
      <w:tblPr>
        <w:tblStyle w:val="13"/>
        <w:tblW w:w="8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3327"/>
        <w:gridCol w:w="1455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8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68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所在省份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业务联系人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经济性质</w:t>
            </w:r>
          </w:p>
        </w:tc>
        <w:tc>
          <w:tcPr>
            <w:tcW w:w="684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（国有、民营、股份、外资）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营业执照号</w:t>
            </w:r>
          </w:p>
        </w:tc>
        <w:tc>
          <w:tcPr>
            <w:tcW w:w="68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68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68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银行账号</w:t>
            </w:r>
          </w:p>
        </w:tc>
        <w:tc>
          <w:tcPr>
            <w:tcW w:w="68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8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注：以上内容须与所提供相关证照的复印件内容一致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。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sz w:val="28"/>
          <w:szCs w:val="28"/>
          <w:highlight w:val="none"/>
        </w:rPr>
      </w:pPr>
    </w:p>
    <w:p>
      <w:pPr>
        <w:spacing w:line="360" w:lineRule="auto"/>
        <w:jc w:val="both"/>
        <w:rPr>
          <w:rFonts w:hint="eastAsia" w:ascii="仿宋_GB2312" w:hAnsi="宋体" w:eastAsia="仿宋_GB2312"/>
          <w:b/>
          <w:bCs/>
          <w:sz w:val="28"/>
          <w:szCs w:val="28"/>
          <w:highlight w:val="none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highlight w:val="none"/>
        </w:rPr>
        <w:t>6.同类项目业绩表</w:t>
      </w:r>
    </w:p>
    <w:p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（提供报价单位承接类似项目业绩的证明材料，如：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同类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</w:rPr>
        <w:t>项目的中标通知书或合同协议书等）</w:t>
      </w:r>
    </w:p>
    <w:p>
      <w:pPr>
        <w:spacing w:line="360" w:lineRule="auto"/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7.报价清单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（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>投标人根据发包方提供的报价清单进行自主报价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）</w:t>
      </w:r>
    </w:p>
    <w:p>
      <w:pPr>
        <w:spacing w:line="360" w:lineRule="auto"/>
        <w:jc w:val="center"/>
        <w:rPr>
          <w:rFonts w:ascii="仿宋_GB2312" w:hAnsi="宋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8.工作方案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（报价单位按照项目分别自行编写，需符合电力行业相关技术规范及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本次招标的相关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要求。）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  <w:highlight w:val="none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9.工期承诺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（</w:t>
      </w:r>
      <w:bookmarkStart w:id="18" w:name="_Toc381883287"/>
      <w:bookmarkStart w:id="19" w:name="_Toc378001223"/>
      <w:bookmarkStart w:id="20" w:name="_Toc421022397"/>
      <w:bookmarkStart w:id="21" w:name="_Toc378002019"/>
      <w:bookmarkStart w:id="22" w:name="_Toc439063870"/>
      <w:r>
        <w:rPr>
          <w:rFonts w:hint="eastAsia" w:ascii="仿宋_GB2312" w:hAnsi="宋体" w:eastAsia="仿宋_GB2312"/>
          <w:sz w:val="28"/>
          <w:szCs w:val="28"/>
          <w:highlight w:val="none"/>
        </w:rPr>
        <w:t>内容包括项目完成工期计划的承诺</w:t>
      </w:r>
      <w:bookmarkEnd w:id="18"/>
      <w:bookmarkEnd w:id="19"/>
      <w:bookmarkEnd w:id="20"/>
      <w:bookmarkEnd w:id="21"/>
      <w:r>
        <w:rPr>
          <w:rFonts w:hint="eastAsia" w:ascii="仿宋_GB2312" w:hAnsi="宋体" w:eastAsia="仿宋_GB2312"/>
          <w:sz w:val="28"/>
          <w:szCs w:val="28"/>
          <w:highlight w:val="none"/>
        </w:rPr>
        <w:t>等</w:t>
      </w:r>
      <w:bookmarkEnd w:id="22"/>
      <w:r>
        <w:rPr>
          <w:rFonts w:hint="eastAsia" w:ascii="仿宋_GB2312" w:hAnsi="宋体" w:eastAsia="仿宋_GB2312"/>
          <w:sz w:val="28"/>
          <w:szCs w:val="28"/>
          <w:highlight w:val="none"/>
        </w:rPr>
        <w:t>）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10.</w:t>
      </w: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质量保证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（质量保证内容应包括所供</w:t>
      </w:r>
      <w:bookmarkStart w:id="23" w:name="_Toc308104072"/>
      <w:r>
        <w:rPr>
          <w:rFonts w:hint="eastAsia" w:ascii="仿宋_GB2312" w:hAnsi="宋体" w:eastAsia="仿宋_GB2312"/>
          <w:sz w:val="28"/>
          <w:szCs w:val="28"/>
          <w:highlight w:val="none"/>
        </w:rPr>
        <w:t>技术服务的准确性、合标性</w:t>
      </w:r>
      <w:bookmarkEnd w:id="23"/>
      <w:bookmarkStart w:id="24" w:name="_Toc308104064"/>
      <w:r>
        <w:rPr>
          <w:rFonts w:hint="eastAsia" w:ascii="仿宋_GB2312" w:hAnsi="宋体" w:eastAsia="仿宋_GB2312"/>
          <w:sz w:val="28"/>
          <w:szCs w:val="28"/>
          <w:highlight w:val="none"/>
        </w:rPr>
        <w:t>等</w:t>
      </w:r>
      <w:bookmarkEnd w:id="24"/>
      <w:bookmarkStart w:id="25" w:name="_Toc308104065"/>
      <w:bookmarkStart w:id="26" w:name="_Toc378002025"/>
      <w:bookmarkStart w:id="27" w:name="_Toc378065975"/>
      <w:bookmarkStart w:id="28" w:name="_Toc378001229"/>
      <w:bookmarkStart w:id="29" w:name="_Toc439063877"/>
      <w:bookmarkStart w:id="30" w:name="_Toc421022405"/>
      <w:bookmarkStart w:id="31" w:name="_Toc381883295"/>
      <w:r>
        <w:rPr>
          <w:rFonts w:hint="eastAsia" w:ascii="仿宋_GB2312" w:hAnsi="宋体" w:eastAsia="仿宋_GB2312"/>
          <w:sz w:val="28"/>
          <w:szCs w:val="28"/>
          <w:highlight w:val="none"/>
        </w:rPr>
        <w:t>）</w:t>
      </w:r>
      <w:bookmarkEnd w:id="25"/>
      <w:bookmarkEnd w:id="26"/>
      <w:bookmarkEnd w:id="27"/>
      <w:bookmarkEnd w:id="28"/>
      <w:bookmarkEnd w:id="29"/>
      <w:bookmarkEnd w:id="30"/>
      <w:bookmarkEnd w:id="31"/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  <w:highlight w:val="none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11.其它材料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（报价单位认为需要补充提供的其它材</w:t>
      </w:r>
      <w:r>
        <w:rPr>
          <w:rFonts w:hint="eastAsia" w:ascii="仿宋_GB2312" w:hAnsi="宋体" w:eastAsia="仿宋_GB2312"/>
          <w:sz w:val="28"/>
          <w:szCs w:val="28"/>
          <w:highlight w:val="none"/>
          <w:lang w:eastAsia="zh-CN"/>
        </w:rPr>
        <w:t>）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70DD9B-B986-40D8-A1E5-FAAD73AED9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0F513F5A-2BD2-4234-BB78-C3FCEC9410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7655F6C-D563-442C-8F29-9D61167EF30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C0ADFD3-CDF1-480D-906D-BF88E20E1E1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2888DB0-D34B-4BB4-B47B-CD3A779F752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67AE1F7-DB61-4F4A-9985-8675AE61E575}"/>
  </w:font>
  <w:font w:name="方正大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7" w:fontKey="{FBCB9098-A4AF-4291-880D-65FCBD9BAE63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8" w:fontKey="{9B801D94-CA16-4F22-80EA-F9504EDBD583}"/>
  </w:font>
  <w:font w:name="MS Mincho">
    <w:panose1 w:val="02020609040205080304"/>
    <w:charset w:val="80"/>
    <w:family w:val="modern"/>
    <w:pitch w:val="default"/>
    <w:sig w:usb0="00000000" w:usb1="00000000" w:usb2="00000000" w:usb3="00000000" w:csb0="00000000" w:csb1="00000000"/>
    <w:embedRegular r:id="rId9" w:fontKey="{B277ACCE-C416-462B-BC4A-ECEE8235100F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0" w:fontKey="{D65EB76C-2CB0-49E3-AFE4-1F4A9B77763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9039"/>
    <w:multiLevelType w:val="singleLevel"/>
    <w:tmpl w:val="1BE2903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YzU4NmUyNzFiYzZmZDRiM2JiN2JiZmY3ODdlYTUifQ=="/>
  </w:docVars>
  <w:rsids>
    <w:rsidRoot w:val="14FB1CBF"/>
    <w:rsid w:val="08A06D09"/>
    <w:rsid w:val="0D512204"/>
    <w:rsid w:val="105475AF"/>
    <w:rsid w:val="14FB1CBF"/>
    <w:rsid w:val="152F4368"/>
    <w:rsid w:val="16535A3B"/>
    <w:rsid w:val="16A3500D"/>
    <w:rsid w:val="173B540B"/>
    <w:rsid w:val="18610940"/>
    <w:rsid w:val="1875722F"/>
    <w:rsid w:val="1D1C5F1C"/>
    <w:rsid w:val="1E7D45CD"/>
    <w:rsid w:val="1ECC2C27"/>
    <w:rsid w:val="202D3B9A"/>
    <w:rsid w:val="21946A74"/>
    <w:rsid w:val="220954D8"/>
    <w:rsid w:val="234E0254"/>
    <w:rsid w:val="2740560B"/>
    <w:rsid w:val="27AC35F6"/>
    <w:rsid w:val="28624468"/>
    <w:rsid w:val="294F2DD3"/>
    <w:rsid w:val="2B98280F"/>
    <w:rsid w:val="2B9D6D97"/>
    <w:rsid w:val="2F941BAF"/>
    <w:rsid w:val="2FCB5603"/>
    <w:rsid w:val="31B21055"/>
    <w:rsid w:val="341032E3"/>
    <w:rsid w:val="35154ED0"/>
    <w:rsid w:val="356D6ABA"/>
    <w:rsid w:val="36DF19EE"/>
    <w:rsid w:val="371D006C"/>
    <w:rsid w:val="380D685F"/>
    <w:rsid w:val="39FD7700"/>
    <w:rsid w:val="3A2A2F36"/>
    <w:rsid w:val="3ACD3A5D"/>
    <w:rsid w:val="3AFA1C47"/>
    <w:rsid w:val="3C4D6CFE"/>
    <w:rsid w:val="3CC102EE"/>
    <w:rsid w:val="4114603C"/>
    <w:rsid w:val="42380450"/>
    <w:rsid w:val="42470693"/>
    <w:rsid w:val="4252001B"/>
    <w:rsid w:val="439C7351"/>
    <w:rsid w:val="45043539"/>
    <w:rsid w:val="46004FC6"/>
    <w:rsid w:val="460D0F18"/>
    <w:rsid w:val="4B771FE9"/>
    <w:rsid w:val="4E0F02B7"/>
    <w:rsid w:val="4E8F7961"/>
    <w:rsid w:val="4FF45451"/>
    <w:rsid w:val="517135E0"/>
    <w:rsid w:val="53D96CA3"/>
    <w:rsid w:val="54052560"/>
    <w:rsid w:val="580722A7"/>
    <w:rsid w:val="5D3E2AEF"/>
    <w:rsid w:val="5FA47B80"/>
    <w:rsid w:val="605D1356"/>
    <w:rsid w:val="64682077"/>
    <w:rsid w:val="646F3406"/>
    <w:rsid w:val="65DA5462"/>
    <w:rsid w:val="667769F2"/>
    <w:rsid w:val="68831B76"/>
    <w:rsid w:val="6A2151A2"/>
    <w:rsid w:val="6A9206C1"/>
    <w:rsid w:val="6AA06A0F"/>
    <w:rsid w:val="6B2C2051"/>
    <w:rsid w:val="6C6E6699"/>
    <w:rsid w:val="74604B19"/>
    <w:rsid w:val="749D7B1B"/>
    <w:rsid w:val="75CC418C"/>
    <w:rsid w:val="75EC17DF"/>
    <w:rsid w:val="75F661BA"/>
    <w:rsid w:val="769A54AA"/>
    <w:rsid w:val="7936053E"/>
    <w:rsid w:val="7AD1070A"/>
    <w:rsid w:val="7AD65B35"/>
    <w:rsid w:val="7BBA64B8"/>
    <w:rsid w:val="7C7B641A"/>
    <w:rsid w:val="7E3739AA"/>
    <w:rsid w:val="7E7F3E79"/>
    <w:rsid w:val="7E9B156F"/>
    <w:rsid w:val="7FF5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ind w:firstLine="0" w:firstLineChars="0"/>
      <w:outlineLvl w:val="1"/>
    </w:pPr>
    <w:rPr>
      <w:rFonts w:ascii="Arial" w:hAnsi="Arial" w:eastAsia="黑体"/>
      <w:b/>
      <w:bCs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600" w:lineRule="exact"/>
      <w:outlineLvl w:val="3"/>
    </w:pPr>
    <w:rPr>
      <w:rFonts w:ascii="仿宋_GB2312" w:hAnsi="仿宋" w:eastAsia="仿宋_GB2312" w:cstheme="minorBidi"/>
      <w:b/>
      <w:bCs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/>
    </w:pPr>
    <w:rPr>
      <w:rFonts w:hint="default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Body Text"/>
    <w:basedOn w:val="1"/>
    <w:qFormat/>
    <w:uiPriority w:val="99"/>
    <w:pPr>
      <w:ind w:firstLine="640" w:firstLineChars="200"/>
    </w:pPr>
    <w:rPr>
      <w:rFonts w:ascii="仿宋_GB2312" w:hAnsi="仿宋" w:eastAsia="仿宋_GB2312" w:cstheme="minorBidi"/>
      <w:color w:val="000000" w:themeColor="text1"/>
      <w:szCs w:val="32"/>
      <w14:textFill>
        <w14:solidFill>
          <w14:schemeClr w14:val="tx1"/>
        </w14:solidFill>
      </w14:textFill>
    </w:rPr>
  </w:style>
  <w:style w:type="paragraph" w:styleId="8">
    <w:name w:val="Body Text Indent"/>
    <w:basedOn w:val="1"/>
    <w:next w:val="1"/>
    <w:qFormat/>
    <w:uiPriority w:val="0"/>
    <w:pPr>
      <w:ind w:firstLine="640" w:firstLineChars="200"/>
    </w:pPr>
    <w:rPr>
      <w:rFonts w:ascii="Calibri" w:hAnsi="Calibri"/>
    </w:rPr>
  </w:style>
  <w:style w:type="paragraph" w:styleId="9">
    <w:name w:val="Plain Text"/>
    <w:basedOn w:val="1"/>
    <w:qFormat/>
    <w:uiPriority w:val="99"/>
    <w:pPr>
      <w:spacing w:line="240" w:lineRule="auto"/>
    </w:pPr>
    <w:rPr>
      <w:rFonts w:ascii="宋体" w:hAnsi="Courier New" w:eastAsia="宋体" w:cs="宋体"/>
      <w:sz w:val="21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</w:rPr>
  </w:style>
  <w:style w:type="paragraph" w:styleId="12">
    <w:name w:val="Body Text First Indent 2"/>
    <w:basedOn w:val="8"/>
    <w:next w:val="1"/>
    <w:qFormat/>
    <w:uiPriority w:val="0"/>
    <w:pPr>
      <w:ind w:left="34" w:leftChars="16" w:firstLine="420"/>
    </w:pPr>
    <w:rPr>
      <w:rFonts w:hint="eastAsia" w:ascii="楷体_GB2312" w:eastAsia="楷体_GB2312" w:cs="Times New Roman"/>
      <w:sz w:val="30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样式8"/>
    <w:basedOn w:val="18"/>
    <w:qFormat/>
    <w:uiPriority w:val="0"/>
    <w:pPr>
      <w:spacing w:beforeLines="30" w:afterLines="30"/>
      <w:ind w:firstLine="100" w:firstLineChars="100"/>
      <w:jc w:val="left"/>
      <w:textAlignment w:val="baseline"/>
    </w:pPr>
    <w:rPr>
      <w:rFonts w:ascii="宋体" w:hAnsi="宋体" w:eastAsia="黑体"/>
      <w:b w:val="0"/>
      <w:color w:val="FF6600"/>
      <w:sz w:val="24"/>
      <w:szCs w:val="28"/>
    </w:rPr>
  </w:style>
  <w:style w:type="paragraph" w:customStyle="1" w:styleId="18">
    <w:name w:val="表头"/>
    <w:basedOn w:val="1"/>
    <w:next w:val="19"/>
    <w:qFormat/>
    <w:uiPriority w:val="0"/>
    <w:pPr>
      <w:adjustRightInd w:val="0"/>
      <w:snapToGrid w:val="0"/>
      <w:jc w:val="center"/>
    </w:pPr>
    <w:rPr>
      <w:b/>
      <w:szCs w:val="21"/>
    </w:rPr>
  </w:style>
  <w:style w:type="paragraph" w:customStyle="1" w:styleId="19">
    <w:name w:val="样式 首行缩进:  2 字符2"/>
    <w:next w:val="6"/>
    <w:qFormat/>
    <w:uiPriority w:val="0"/>
    <w:pPr>
      <w:widowControl w:val="0"/>
      <w:spacing w:line="460" w:lineRule="exact"/>
      <w:ind w:firstLine="200" w:firstLineChars="200"/>
      <w:jc w:val="both"/>
    </w:pPr>
    <w:rPr>
      <w:rFonts w:ascii="宋体" w:hAnsi="Times New Roman" w:eastAsia="宋体" w:cs="宋体"/>
      <w:sz w:val="24"/>
      <w:szCs w:val="22"/>
      <w:lang w:val="en-US" w:eastAsia="zh-CN" w:bidi="ar-SA"/>
    </w:rPr>
  </w:style>
  <w:style w:type="paragraph" w:customStyle="1" w:styleId="20">
    <w:name w:val="Style 9"/>
    <w:basedOn w:val="1"/>
    <w:link w:val="2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CN" w:bidi="zh-CN"/>
    </w:rPr>
  </w:style>
  <w:style w:type="character" w:customStyle="1" w:styleId="21">
    <w:name w:val="Char Style 10"/>
    <w:basedOn w:val="15"/>
    <w:link w:val="20"/>
    <w:qFormat/>
    <w:uiPriority w:val="0"/>
    <w:rPr>
      <w:rFonts w:ascii="宋体" w:hAnsi="宋体" w:eastAsia="宋体" w:cs="宋体"/>
      <w:sz w:val="30"/>
      <w:szCs w:val="30"/>
      <w:lang w:val="zh-CN" w:bidi="zh-CN"/>
    </w:rPr>
  </w:style>
  <w:style w:type="paragraph" w:customStyle="1" w:styleId="22">
    <w:name w:val="000 正文"/>
    <w:basedOn w:val="1"/>
    <w:qFormat/>
    <w:uiPriority w:val="0"/>
    <w:pPr>
      <w:ind w:firstLine="482"/>
    </w:pPr>
    <w:rPr>
      <w:rFonts w:asciiTheme="minorEastAsia" w:hAnsiTheme="minorEastAsia" w:eastAsiaTheme="minorEastAsia"/>
      <w:b/>
    </w:rPr>
  </w:style>
  <w:style w:type="paragraph" w:styleId="23">
    <w:name w:val="List Paragraph"/>
    <w:basedOn w:val="1"/>
    <w:qFormat/>
    <w:uiPriority w:val="34"/>
    <w:pPr>
      <w:ind w:firstLine="420"/>
    </w:pPr>
    <w:rPr>
      <w:rFonts w:ascii="Calibri" w:hAnsi="Calibri"/>
      <w:szCs w:val="22"/>
    </w:rPr>
  </w:style>
  <w:style w:type="paragraph" w:customStyle="1" w:styleId="24">
    <w:name w:val="Style 12"/>
    <w:basedOn w:val="1"/>
    <w:qFormat/>
    <w:uiPriority w:val="0"/>
    <w:rPr>
      <w:rFonts w:ascii="宋体" w:hAnsi="宋体" w:eastAsia="宋体" w:cs="宋体"/>
      <w:sz w:val="26"/>
      <w:szCs w:val="26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2905</Words>
  <Characters>3107</Characters>
  <Lines>0</Lines>
  <Paragraphs>0</Paragraphs>
  <TotalTime>1</TotalTime>
  <ScaleCrop>false</ScaleCrop>
  <LinksUpToDate>false</LinksUpToDate>
  <CharactersWithSpaces>3356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2024-07-29T02:51:00Z</dcterms:created>
  <dc:creator>·风吹老了好少年</dc:creator>
  <cp:lastModifiedBy>燕子</cp:lastModifiedBy>
  <dcterms:modified xsi:type="dcterms:W3CDTF">2025-01-09T02:53:10Z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8A0031BFEEAD4F8C97106D7552908F6F_11</vt:lpwstr>
  </property>
  <property fmtid="{D5CDD505-2E9C-101B-9397-08002B2CF9AE}" pid="4" name="KSOTemplateDocerSaveRecord">
    <vt:lpwstr>eyJoZGlkIjoiMWVjYjU1NjA1ZDEyZWJiNTM0MWZlNDU1ZjExMTcyZTMiLCJ1c2VySWQiOiI0ODg1NjA3MzQifQ==</vt:lpwstr>
  </property>
</Properties>
</file>