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1"/>
        <w:spacing w:line="360" w:lineRule="auto"/>
        <w:ind w:firstLine="0" w:firstLineChars="0"/>
        <w:jc w:val="center"/>
        <w:rPr>
          <w:rStyle w:val="60"/>
          <w:rFonts w:hAnsi="宋体" w:cs="宋体"/>
          <w:b/>
          <w:bCs/>
          <w:sz w:val="44"/>
          <w:szCs w:val="44"/>
        </w:rPr>
      </w:pPr>
    </w:p>
    <w:p>
      <w:pPr>
        <w:pStyle w:val="51"/>
        <w:spacing w:line="360" w:lineRule="auto"/>
        <w:ind w:firstLine="0" w:firstLineChars="0"/>
        <w:jc w:val="center"/>
        <w:rPr>
          <w:rStyle w:val="60"/>
          <w:rFonts w:hAnsi="宋体" w:cs="宋体"/>
          <w:b/>
          <w:bCs/>
          <w:sz w:val="52"/>
          <w:szCs w:val="40"/>
        </w:rPr>
      </w:pPr>
      <w:r>
        <w:rPr>
          <w:rStyle w:val="60"/>
          <w:rFonts w:hint="eastAsia" w:hAnsi="宋体" w:cs="宋体"/>
          <w:b/>
          <w:bCs/>
          <w:sz w:val="52"/>
          <w:szCs w:val="40"/>
        </w:rPr>
        <w:t>云南能投曲靖发电有限公司</w:t>
      </w:r>
    </w:p>
    <w:p>
      <w:pPr>
        <w:pStyle w:val="51"/>
        <w:spacing w:line="360" w:lineRule="auto"/>
        <w:ind w:firstLine="0" w:firstLineChars="0"/>
        <w:jc w:val="center"/>
        <w:rPr>
          <w:rStyle w:val="60"/>
          <w:rFonts w:hAnsi="宋体" w:cs="宋体"/>
          <w:b/>
          <w:bCs/>
          <w:sz w:val="44"/>
          <w:szCs w:val="32"/>
        </w:rPr>
      </w:pPr>
      <w:r>
        <w:rPr>
          <w:rStyle w:val="60"/>
          <w:rFonts w:hint="eastAsia" w:hAnsi="宋体" w:cs="宋体"/>
          <w:b/>
          <w:bCs/>
          <w:sz w:val="52"/>
          <w:szCs w:val="40"/>
        </w:rPr>
        <w:t>三期扩建项目可行性研究报告编制服务</w:t>
      </w:r>
      <w:r>
        <w:rPr>
          <w:rStyle w:val="60"/>
          <w:rFonts w:hint="eastAsia" w:hAnsi="宋体" w:cs="宋体"/>
          <w:b/>
          <w:bCs/>
          <w:sz w:val="44"/>
          <w:szCs w:val="32"/>
        </w:rPr>
        <w:t xml:space="preserve">           </w:t>
      </w:r>
    </w:p>
    <w:p>
      <w:pPr>
        <w:pStyle w:val="51"/>
        <w:spacing w:line="360" w:lineRule="auto"/>
        <w:ind w:firstLine="0" w:firstLineChars="0"/>
        <w:jc w:val="center"/>
        <w:rPr>
          <w:rStyle w:val="60"/>
          <w:rFonts w:hAnsi="宋体" w:cs="宋体"/>
          <w:b/>
          <w:bCs/>
          <w:sz w:val="44"/>
          <w:szCs w:val="32"/>
        </w:rPr>
      </w:pPr>
    </w:p>
    <w:p>
      <w:pPr>
        <w:pStyle w:val="51"/>
        <w:spacing w:line="360" w:lineRule="auto"/>
        <w:ind w:firstLine="0" w:firstLineChars="0"/>
        <w:jc w:val="center"/>
        <w:rPr>
          <w:rStyle w:val="60"/>
          <w:rFonts w:hAnsi="宋体" w:cs="宋体"/>
          <w:b/>
          <w:bCs/>
          <w:sz w:val="44"/>
          <w:szCs w:val="32"/>
        </w:rPr>
      </w:pPr>
    </w:p>
    <w:p>
      <w:pPr>
        <w:pStyle w:val="51"/>
        <w:spacing w:line="360" w:lineRule="auto"/>
        <w:ind w:firstLine="0" w:firstLineChars="0"/>
        <w:jc w:val="center"/>
        <w:rPr>
          <w:rStyle w:val="60"/>
          <w:rFonts w:hAnsi="宋体" w:cs="宋体"/>
          <w:b/>
          <w:bCs/>
          <w:sz w:val="44"/>
          <w:szCs w:val="32"/>
        </w:rPr>
      </w:pPr>
    </w:p>
    <w:p>
      <w:pPr>
        <w:spacing w:line="360" w:lineRule="auto"/>
        <w:jc w:val="center"/>
        <w:rPr>
          <w:rFonts w:ascii="宋体" w:hAnsi="宋体" w:eastAsia="宋体" w:cs="宋体"/>
          <w:b/>
          <w:bCs/>
          <w:color w:val="000000" w:themeColor="text1"/>
          <w:sz w:val="72"/>
          <w:szCs w:val="72"/>
          <w14:textFill>
            <w14:solidFill>
              <w14:schemeClr w14:val="tx1"/>
            </w14:solidFill>
          </w14:textFill>
        </w:rPr>
      </w:pPr>
      <w:r>
        <w:rPr>
          <w:rFonts w:hint="eastAsia" w:ascii="宋体" w:hAnsi="宋体" w:eastAsia="宋体" w:cs="宋体"/>
          <w:b/>
          <w:bCs/>
          <w:color w:val="000000" w:themeColor="text1"/>
          <w:sz w:val="72"/>
          <w:szCs w:val="72"/>
          <w14:textFill>
            <w14:solidFill>
              <w14:schemeClr w14:val="tx1"/>
            </w14:solidFill>
          </w14:textFill>
        </w:rPr>
        <w:t>竞争性谈判采购文件</w:t>
      </w:r>
    </w:p>
    <w:p>
      <w:pPr>
        <w:spacing w:line="360" w:lineRule="auto"/>
        <w:jc w:val="center"/>
        <w:rPr>
          <w:rFonts w:ascii="宋体" w:hAnsi="宋体" w:eastAsia="宋体" w:cs="宋体"/>
          <w:b/>
          <w:bCs/>
          <w:color w:val="000000" w:themeColor="text1"/>
          <w:sz w:val="32"/>
          <w:szCs w:val="32"/>
          <w14:textFill>
            <w14:solidFill>
              <w14:schemeClr w14:val="tx1"/>
            </w14:solidFill>
          </w14:textFill>
        </w:rPr>
      </w:pPr>
    </w:p>
    <w:p>
      <w:pPr>
        <w:pStyle w:val="51"/>
        <w:rPr>
          <w:rFonts w:ascii="宋体" w:hAnsi="宋体" w:eastAsia="宋体" w:cs="宋体"/>
        </w:rPr>
      </w:pPr>
    </w:p>
    <w:p>
      <w:pPr>
        <w:pStyle w:val="51"/>
        <w:rPr>
          <w:rFonts w:ascii="宋体" w:hAnsi="宋体" w:eastAsia="宋体" w:cs="宋体"/>
        </w:rPr>
      </w:pPr>
    </w:p>
    <w:p>
      <w:pPr>
        <w:pStyle w:val="51"/>
        <w:rPr>
          <w:rFonts w:ascii="宋体" w:hAnsi="宋体" w:eastAsia="宋体" w:cs="宋体"/>
        </w:rPr>
      </w:pPr>
    </w:p>
    <w:p>
      <w:pPr>
        <w:pStyle w:val="51"/>
        <w:rPr>
          <w:rFonts w:ascii="宋体" w:hAnsi="宋体" w:eastAsia="宋体" w:cs="宋体"/>
        </w:rPr>
      </w:pPr>
    </w:p>
    <w:p>
      <w:pPr>
        <w:pStyle w:val="51"/>
        <w:rPr>
          <w:rFonts w:ascii="宋体" w:hAnsi="宋体" w:eastAsia="宋体" w:cs="宋体"/>
        </w:rPr>
      </w:pPr>
    </w:p>
    <w:p>
      <w:pPr>
        <w:pStyle w:val="51"/>
        <w:rPr>
          <w:rFonts w:ascii="宋体" w:hAnsi="宋体" w:eastAsia="宋体" w:cs="宋体"/>
        </w:rPr>
      </w:pPr>
    </w:p>
    <w:p>
      <w:pPr>
        <w:pStyle w:val="51"/>
        <w:ind w:firstLine="0" w:firstLineChars="0"/>
        <w:rPr>
          <w:rFonts w:ascii="宋体" w:hAnsi="宋体" w:eastAsia="宋体" w:cs="宋体"/>
        </w:rPr>
      </w:pPr>
    </w:p>
    <w:p>
      <w:pPr>
        <w:pStyle w:val="51"/>
        <w:rPr>
          <w:rFonts w:ascii="宋体" w:hAnsi="宋体" w:eastAsia="宋体" w:cs="宋体"/>
        </w:rPr>
      </w:pPr>
    </w:p>
    <w:p>
      <w:pPr>
        <w:spacing w:line="360" w:lineRule="auto"/>
        <w:ind w:firstLine="1606" w:firstLineChars="500"/>
        <w:rPr>
          <w:rFonts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sz w:val="32"/>
          <w:szCs w:val="32"/>
          <w14:textFill>
            <w14:solidFill>
              <w14:schemeClr w14:val="tx1"/>
            </w14:solidFill>
          </w14:textFill>
        </w:rPr>
        <w:t>采   购   人：云南能投曲靖发电有限公司</w:t>
      </w:r>
    </w:p>
    <w:p>
      <w:pPr>
        <w:spacing w:line="360" w:lineRule="auto"/>
        <w:jc w:val="center"/>
        <w:rPr>
          <w:rFonts w:ascii="宋体" w:hAnsi="宋体" w:eastAsia="宋体" w:cs="宋体"/>
          <w:b/>
          <w:bCs/>
          <w:color w:val="000000" w:themeColor="text1"/>
          <w:sz w:val="32"/>
          <w:szCs w:val="32"/>
          <w14:textFill>
            <w14:solidFill>
              <w14:schemeClr w14:val="tx1"/>
            </w14:solidFill>
          </w14:textFill>
        </w:rPr>
        <w:sectPr>
          <w:headerReference r:id="rId3" w:type="default"/>
          <w:pgSz w:w="11906" w:h="16838"/>
          <w:pgMar w:top="1440" w:right="1080" w:bottom="1440" w:left="1080" w:header="851" w:footer="992" w:gutter="0"/>
          <w:pgNumType w:start="1"/>
          <w:cols w:space="425" w:num="1"/>
          <w:docGrid w:linePitch="312" w:charSpace="0"/>
        </w:sectPr>
      </w:pPr>
      <w:r>
        <w:rPr>
          <w:rFonts w:hint="eastAsia" w:ascii="宋体" w:hAnsi="宋体" w:eastAsia="宋体" w:cs="宋体"/>
          <w:b/>
          <w:bCs/>
          <w:color w:val="000000" w:themeColor="text1"/>
          <w:sz w:val="32"/>
          <w:szCs w:val="32"/>
          <w14:textFill>
            <w14:solidFill>
              <w14:schemeClr w14:val="tx1"/>
            </w14:solidFill>
          </w14:textFill>
        </w:rPr>
        <w:t>日期：2025年04月</w:t>
      </w:r>
      <w:bookmarkStart w:id="0" w:name="_Toc60733509"/>
    </w:p>
    <w:p>
      <w:pPr>
        <w:widowControl/>
        <w:adjustRightInd w:val="0"/>
        <w:snapToGrid w:val="0"/>
        <w:spacing w:line="360" w:lineRule="auto"/>
        <w:jc w:val="center"/>
        <w:rPr>
          <w:rFonts w:ascii="宋体" w:hAnsi="宋体" w:eastAsia="宋体" w:cs="Times New Roman"/>
          <w:b/>
          <w:kern w:val="0"/>
          <w:sz w:val="36"/>
          <w:szCs w:val="20"/>
        </w:rPr>
      </w:pPr>
      <w:r>
        <w:rPr>
          <w:rFonts w:hint="eastAsia" w:ascii="宋体" w:hAnsi="宋体" w:eastAsia="宋体" w:cs="Times New Roman"/>
          <w:b/>
          <w:kern w:val="0"/>
          <w:sz w:val="36"/>
          <w:szCs w:val="20"/>
        </w:rPr>
        <w:t>响应报价一览表【第一次】</w:t>
      </w:r>
    </w:p>
    <w:p>
      <w:pPr>
        <w:adjustRightInd w:val="0"/>
        <w:snapToGrid w:val="0"/>
        <w:spacing w:beforeLines="50" w:afterLines="50" w:line="360" w:lineRule="auto"/>
        <w:jc w:val="left"/>
        <w:rPr>
          <w:rFonts w:ascii="宋体" w:hAnsi="宋体" w:eastAsia="宋体" w:cs="Times New Roman"/>
          <w:sz w:val="24"/>
          <w:szCs w:val="24"/>
        </w:rPr>
      </w:pPr>
      <w:r>
        <w:rPr>
          <w:rFonts w:hint="eastAsia" w:ascii="宋体" w:hAnsi="宋体" w:eastAsia="宋体" w:cs="Times New Roman"/>
          <w:sz w:val="24"/>
          <w:szCs w:val="24"/>
        </w:rPr>
        <w:t>项目</w:t>
      </w:r>
      <w:r>
        <w:rPr>
          <w:rFonts w:ascii="宋体" w:hAnsi="宋体" w:eastAsia="宋体" w:cs="Times New Roman"/>
          <w:sz w:val="24"/>
          <w:szCs w:val="24"/>
        </w:rPr>
        <w:t>名称：</w:t>
      </w:r>
      <w:r>
        <w:rPr>
          <w:rFonts w:hint="eastAsia" w:ascii="宋体" w:hAnsi="宋体" w:eastAsia="宋体" w:cs="Times New Roman"/>
          <w:sz w:val="24"/>
          <w:szCs w:val="24"/>
        </w:rPr>
        <w:t>云南能投曲靖发电有限公司三期扩建项目可行性研究报告编制服务</w:t>
      </w:r>
    </w:p>
    <w:p>
      <w:pPr>
        <w:adjustRightInd w:val="0"/>
        <w:snapToGrid w:val="0"/>
        <w:spacing w:beforeLines="50" w:afterLines="50" w:line="360" w:lineRule="auto"/>
        <w:rPr>
          <w:rFonts w:ascii="宋体" w:hAnsi="宋体" w:eastAsia="宋体" w:cs="Times New Roman"/>
          <w:sz w:val="24"/>
          <w:szCs w:val="24"/>
        </w:rPr>
      </w:pPr>
      <w:r>
        <w:rPr>
          <w:rFonts w:hint="eastAsia" w:ascii="宋体" w:hAnsi="宋体" w:eastAsia="宋体" w:cs="Times New Roman"/>
          <w:sz w:val="24"/>
          <w:szCs w:val="24"/>
        </w:rPr>
        <w:t>采购</w:t>
      </w:r>
      <w:r>
        <w:rPr>
          <w:rFonts w:ascii="宋体" w:hAnsi="宋体" w:eastAsia="宋体" w:cs="Times New Roman"/>
          <w:sz w:val="24"/>
          <w:szCs w:val="24"/>
        </w:rPr>
        <w:t>编号：</w:t>
      </w:r>
      <w:r>
        <w:rPr>
          <w:rFonts w:hint="eastAsia" w:ascii="宋体" w:hAnsi="宋体" w:eastAsia="宋体" w:cs="Times New Roman"/>
          <w:sz w:val="24"/>
          <w:szCs w:val="24"/>
        </w:rPr>
        <w:t xml:space="preserve"> </w:t>
      </w:r>
    </w:p>
    <w:tbl>
      <w:tblPr>
        <w:tblStyle w:val="38"/>
        <w:tblW w:w="924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65"/>
        <w:gridCol w:w="4056"/>
        <w:gridCol w:w="16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3565" w:type="dxa"/>
          </w:tcPr>
          <w:p>
            <w:pPr>
              <w:spacing w:line="360" w:lineRule="auto"/>
              <w:jc w:val="center"/>
              <w:rPr>
                <w:rFonts w:ascii="宋体" w:hAnsi="宋体" w:cs="宋体"/>
                <w:b/>
                <w:sz w:val="24"/>
              </w:rPr>
            </w:pPr>
            <w:r>
              <w:rPr>
                <w:rFonts w:hint="eastAsia" w:ascii="宋体" w:hAnsi="宋体" w:cs="宋体"/>
                <w:b/>
                <w:sz w:val="24"/>
              </w:rPr>
              <w:t>项目</w:t>
            </w:r>
          </w:p>
        </w:tc>
        <w:tc>
          <w:tcPr>
            <w:tcW w:w="4056" w:type="dxa"/>
          </w:tcPr>
          <w:p>
            <w:pPr>
              <w:spacing w:line="360" w:lineRule="auto"/>
              <w:jc w:val="center"/>
              <w:rPr>
                <w:rFonts w:ascii="宋体" w:hAnsi="宋体" w:eastAsia="宋体" w:cs="宋体"/>
                <w:b/>
                <w:sz w:val="24"/>
              </w:rPr>
            </w:pPr>
            <w:r>
              <w:rPr>
                <w:rFonts w:hint="eastAsia" w:ascii="宋体" w:hAnsi="宋体" w:eastAsia="宋体" w:cs="宋体"/>
                <w:b/>
                <w:sz w:val="24"/>
              </w:rPr>
              <w:t>内容</w:t>
            </w:r>
          </w:p>
        </w:tc>
        <w:tc>
          <w:tcPr>
            <w:tcW w:w="1621" w:type="dxa"/>
          </w:tcPr>
          <w:p>
            <w:pPr>
              <w:spacing w:line="360" w:lineRule="auto"/>
              <w:jc w:val="center"/>
              <w:rPr>
                <w:rFonts w:ascii="宋体" w:hAnsi="宋体" w:cs="宋体"/>
                <w:b/>
                <w:sz w:val="24"/>
              </w:rPr>
            </w:pPr>
            <w:r>
              <w:rPr>
                <w:rFonts w:hint="eastAsia" w:ascii="宋体" w:hAnsi="宋体" w:cs="宋体"/>
                <w:b/>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565" w:type="dxa"/>
            <w:vAlign w:val="center"/>
          </w:tcPr>
          <w:p>
            <w:pPr>
              <w:jc w:val="center"/>
              <w:rPr>
                <w:rFonts w:ascii="宋体" w:hAnsi="宋体" w:cs="宋体"/>
                <w:b/>
                <w:sz w:val="24"/>
              </w:rPr>
            </w:pPr>
            <w:r>
              <w:rPr>
                <w:rFonts w:hint="eastAsia" w:ascii="宋体" w:hAnsi="宋体" w:cs="宋体"/>
                <w:b/>
                <w:sz w:val="24"/>
              </w:rPr>
              <w:t>含税总报价（元）</w:t>
            </w:r>
          </w:p>
        </w:tc>
        <w:tc>
          <w:tcPr>
            <w:tcW w:w="4056" w:type="dxa"/>
          </w:tcPr>
          <w:p>
            <w:pPr>
              <w:spacing w:line="360" w:lineRule="auto"/>
              <w:jc w:val="left"/>
              <w:rPr>
                <w:rFonts w:ascii="宋体" w:hAnsi="宋体" w:cs="宋体"/>
                <w:b/>
                <w:sz w:val="24"/>
              </w:rPr>
            </w:pPr>
            <w:r>
              <w:rPr>
                <w:rFonts w:hint="eastAsia" w:ascii="宋体" w:hAnsi="宋体" w:cs="宋体"/>
                <w:b/>
                <w:sz w:val="24"/>
              </w:rPr>
              <w:t>小写：</w:t>
            </w:r>
          </w:p>
          <w:p>
            <w:pPr>
              <w:spacing w:line="360" w:lineRule="auto"/>
              <w:jc w:val="left"/>
              <w:rPr>
                <w:rFonts w:ascii="宋体" w:hAnsi="宋体" w:cs="宋体"/>
                <w:b/>
                <w:sz w:val="24"/>
              </w:rPr>
            </w:pPr>
            <w:r>
              <w:rPr>
                <w:rFonts w:hint="eastAsia" w:ascii="宋体" w:hAnsi="宋体" w:cs="宋体"/>
                <w:b/>
                <w:sz w:val="24"/>
              </w:rPr>
              <w:t>大写：</w:t>
            </w:r>
          </w:p>
        </w:tc>
        <w:tc>
          <w:tcPr>
            <w:tcW w:w="1621" w:type="dxa"/>
            <w:vAlign w:val="center"/>
          </w:tcPr>
          <w:p>
            <w:pPr>
              <w:spacing w:line="360" w:lineRule="auto"/>
              <w:jc w:val="center"/>
              <w:rPr>
                <w:rFonts w:ascii="宋体" w:hAnsi="宋体" w:eastAsia="宋体" w:cs="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565" w:type="dxa"/>
          </w:tcPr>
          <w:p>
            <w:pPr>
              <w:spacing w:line="360" w:lineRule="auto"/>
              <w:jc w:val="center"/>
              <w:rPr>
                <w:rFonts w:ascii="宋体" w:hAnsi="宋体" w:eastAsia="宋体" w:cs="宋体"/>
                <w:b/>
                <w:sz w:val="24"/>
              </w:rPr>
            </w:pPr>
            <w:r>
              <w:rPr>
                <w:rFonts w:hint="eastAsia" w:ascii="宋体" w:hAnsi="宋体" w:cs="宋体"/>
                <w:b/>
                <w:sz w:val="24"/>
              </w:rPr>
              <w:t>增值税税率</w:t>
            </w:r>
          </w:p>
        </w:tc>
        <w:tc>
          <w:tcPr>
            <w:tcW w:w="4056" w:type="dxa"/>
          </w:tcPr>
          <w:p>
            <w:pPr>
              <w:spacing w:line="360" w:lineRule="auto"/>
              <w:jc w:val="left"/>
              <w:rPr>
                <w:rFonts w:ascii="宋体" w:hAnsi="宋体" w:cs="宋体"/>
                <w:b/>
                <w:sz w:val="24"/>
              </w:rPr>
            </w:pPr>
          </w:p>
        </w:tc>
        <w:tc>
          <w:tcPr>
            <w:tcW w:w="1621" w:type="dxa"/>
          </w:tcPr>
          <w:p>
            <w:pPr>
              <w:spacing w:line="360" w:lineRule="auto"/>
              <w:jc w:val="left"/>
              <w:rPr>
                <w:rFonts w:ascii="宋体" w:hAnsi="宋体" w:cs="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565" w:type="dxa"/>
          </w:tcPr>
          <w:p>
            <w:pPr>
              <w:spacing w:line="360" w:lineRule="auto"/>
              <w:jc w:val="center"/>
              <w:rPr>
                <w:rFonts w:ascii="宋体" w:hAnsi="宋体" w:eastAsia="宋体" w:cs="宋体"/>
                <w:b/>
                <w:sz w:val="24"/>
              </w:rPr>
            </w:pPr>
            <w:r>
              <w:rPr>
                <w:rFonts w:hint="eastAsia" w:ascii="宋体" w:hAnsi="宋体" w:cs="宋体"/>
                <w:b/>
                <w:sz w:val="24"/>
              </w:rPr>
              <w:t>不含税报价（元）</w:t>
            </w:r>
          </w:p>
        </w:tc>
        <w:tc>
          <w:tcPr>
            <w:tcW w:w="4056" w:type="dxa"/>
          </w:tcPr>
          <w:p>
            <w:pPr>
              <w:spacing w:line="360" w:lineRule="auto"/>
              <w:jc w:val="left"/>
              <w:rPr>
                <w:rFonts w:ascii="宋体" w:hAnsi="宋体" w:cs="宋体"/>
                <w:b/>
                <w:sz w:val="24"/>
              </w:rPr>
            </w:pPr>
          </w:p>
        </w:tc>
        <w:tc>
          <w:tcPr>
            <w:tcW w:w="1621" w:type="dxa"/>
          </w:tcPr>
          <w:p>
            <w:pPr>
              <w:spacing w:line="360" w:lineRule="auto"/>
              <w:jc w:val="left"/>
              <w:rPr>
                <w:rFonts w:ascii="宋体" w:hAnsi="宋体" w:cs="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565" w:type="dxa"/>
          </w:tcPr>
          <w:p>
            <w:pPr>
              <w:spacing w:line="360" w:lineRule="auto"/>
              <w:jc w:val="center"/>
              <w:rPr>
                <w:rFonts w:ascii="宋体" w:hAnsi="宋体" w:cs="宋体"/>
                <w:b/>
                <w:sz w:val="24"/>
              </w:rPr>
            </w:pPr>
            <w:r>
              <w:rPr>
                <w:rFonts w:hint="eastAsia" w:ascii="宋体" w:hAnsi="宋体" w:cs="宋体"/>
                <w:b/>
                <w:sz w:val="24"/>
              </w:rPr>
              <w:t>项目经理（或设计总工程师）</w:t>
            </w:r>
          </w:p>
          <w:p>
            <w:pPr>
              <w:spacing w:line="360" w:lineRule="auto"/>
              <w:jc w:val="center"/>
              <w:rPr>
                <w:rFonts w:ascii="宋体" w:hAnsi="宋体" w:cs="宋体"/>
                <w:b/>
                <w:sz w:val="24"/>
              </w:rPr>
            </w:pPr>
            <w:r>
              <w:rPr>
                <w:rFonts w:hint="eastAsia" w:ascii="宋体" w:hAnsi="宋体" w:cs="宋体"/>
                <w:b/>
                <w:sz w:val="24"/>
              </w:rPr>
              <w:t>姓名</w:t>
            </w:r>
          </w:p>
        </w:tc>
        <w:tc>
          <w:tcPr>
            <w:tcW w:w="4056" w:type="dxa"/>
          </w:tcPr>
          <w:p>
            <w:pPr>
              <w:spacing w:line="360" w:lineRule="auto"/>
              <w:jc w:val="left"/>
              <w:rPr>
                <w:rFonts w:ascii="宋体" w:hAnsi="宋体" w:cs="宋体"/>
                <w:b/>
                <w:sz w:val="24"/>
              </w:rPr>
            </w:pPr>
          </w:p>
        </w:tc>
        <w:tc>
          <w:tcPr>
            <w:tcW w:w="1621" w:type="dxa"/>
          </w:tcPr>
          <w:p>
            <w:pPr>
              <w:spacing w:line="360" w:lineRule="auto"/>
              <w:jc w:val="left"/>
              <w:rPr>
                <w:rFonts w:ascii="宋体" w:hAnsi="宋体" w:cs="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565" w:type="dxa"/>
          </w:tcPr>
          <w:p>
            <w:pPr>
              <w:spacing w:line="360" w:lineRule="auto"/>
              <w:jc w:val="center"/>
              <w:rPr>
                <w:rFonts w:ascii="宋体" w:hAnsi="宋体" w:cs="宋体"/>
                <w:b/>
                <w:sz w:val="24"/>
              </w:rPr>
            </w:pPr>
            <w:r>
              <w:rPr>
                <w:rFonts w:hint="eastAsia" w:ascii="宋体" w:hAnsi="宋体" w:cs="宋体"/>
                <w:b/>
                <w:sz w:val="24"/>
              </w:rPr>
              <w:t>服务期承诺</w:t>
            </w:r>
          </w:p>
        </w:tc>
        <w:tc>
          <w:tcPr>
            <w:tcW w:w="4056" w:type="dxa"/>
          </w:tcPr>
          <w:p>
            <w:pPr>
              <w:spacing w:line="360" w:lineRule="auto"/>
              <w:jc w:val="left"/>
              <w:rPr>
                <w:rFonts w:ascii="宋体" w:hAnsi="宋体" w:cs="宋体"/>
                <w:b/>
                <w:sz w:val="24"/>
              </w:rPr>
            </w:pPr>
          </w:p>
        </w:tc>
        <w:tc>
          <w:tcPr>
            <w:tcW w:w="1621" w:type="dxa"/>
          </w:tcPr>
          <w:p>
            <w:pPr>
              <w:spacing w:line="360" w:lineRule="auto"/>
              <w:jc w:val="left"/>
              <w:rPr>
                <w:rFonts w:ascii="宋体" w:hAnsi="宋体" w:cs="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565" w:type="dxa"/>
          </w:tcPr>
          <w:p>
            <w:pPr>
              <w:spacing w:line="360" w:lineRule="auto"/>
              <w:jc w:val="center"/>
              <w:rPr>
                <w:rFonts w:ascii="宋体" w:hAnsi="宋体" w:cs="宋体"/>
                <w:b/>
                <w:sz w:val="24"/>
              </w:rPr>
            </w:pPr>
            <w:r>
              <w:rPr>
                <w:rFonts w:hint="eastAsia" w:ascii="宋体" w:hAnsi="宋体" w:cs="宋体"/>
                <w:b/>
                <w:sz w:val="24"/>
              </w:rPr>
              <w:t>服务质量承诺</w:t>
            </w:r>
          </w:p>
        </w:tc>
        <w:tc>
          <w:tcPr>
            <w:tcW w:w="4056" w:type="dxa"/>
          </w:tcPr>
          <w:p>
            <w:pPr>
              <w:spacing w:line="360" w:lineRule="auto"/>
              <w:jc w:val="left"/>
              <w:rPr>
                <w:rFonts w:ascii="宋体" w:hAnsi="宋体" w:cs="宋体"/>
                <w:b/>
                <w:sz w:val="24"/>
              </w:rPr>
            </w:pPr>
          </w:p>
        </w:tc>
        <w:tc>
          <w:tcPr>
            <w:tcW w:w="1621" w:type="dxa"/>
          </w:tcPr>
          <w:p>
            <w:pPr>
              <w:spacing w:line="360" w:lineRule="auto"/>
              <w:jc w:val="left"/>
              <w:rPr>
                <w:rFonts w:ascii="宋体" w:hAnsi="宋体" w:cs="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565" w:type="dxa"/>
            <w:vAlign w:val="center"/>
          </w:tcPr>
          <w:p>
            <w:pPr>
              <w:spacing w:line="360" w:lineRule="auto"/>
              <w:jc w:val="center"/>
              <w:rPr>
                <w:rFonts w:ascii="宋体" w:hAnsi="宋体" w:eastAsia="宋体" w:cs="宋体"/>
                <w:b/>
                <w:sz w:val="24"/>
              </w:rPr>
            </w:pPr>
            <w:r>
              <w:rPr>
                <w:rFonts w:hint="eastAsia" w:ascii="宋体" w:hAnsi="宋体" w:cs="宋体"/>
                <w:b/>
                <w:sz w:val="24"/>
              </w:rPr>
              <w:t>备注</w:t>
            </w:r>
          </w:p>
        </w:tc>
        <w:tc>
          <w:tcPr>
            <w:tcW w:w="4056" w:type="dxa"/>
          </w:tcPr>
          <w:p>
            <w:pPr>
              <w:spacing w:line="360" w:lineRule="auto"/>
              <w:jc w:val="left"/>
              <w:rPr>
                <w:rFonts w:ascii="宋体" w:hAnsi="宋体" w:cs="宋体"/>
                <w:b/>
                <w:sz w:val="24"/>
              </w:rPr>
            </w:pPr>
          </w:p>
        </w:tc>
        <w:tc>
          <w:tcPr>
            <w:tcW w:w="1621" w:type="dxa"/>
            <w:vAlign w:val="center"/>
          </w:tcPr>
          <w:p>
            <w:pPr>
              <w:spacing w:line="360" w:lineRule="auto"/>
              <w:jc w:val="center"/>
              <w:rPr>
                <w:rFonts w:ascii="宋体" w:hAnsi="宋体" w:eastAsia="宋体" w:cs="宋体"/>
                <w:b/>
                <w:sz w:val="24"/>
              </w:rPr>
            </w:pPr>
          </w:p>
        </w:tc>
      </w:tr>
    </w:tbl>
    <w:p>
      <w:pPr>
        <w:adjustRightInd w:val="0"/>
        <w:snapToGrid w:val="0"/>
        <w:spacing w:line="360" w:lineRule="auto"/>
        <w:rPr>
          <w:rFonts w:ascii="宋体" w:hAnsi="宋体" w:eastAsia="宋体" w:cs="Times New Roman"/>
          <w:b/>
          <w:sz w:val="28"/>
          <w:szCs w:val="24"/>
          <w:u w:val="single"/>
        </w:rPr>
      </w:pPr>
    </w:p>
    <w:p>
      <w:pPr>
        <w:tabs>
          <w:tab w:val="right" w:leader="middleDot" w:pos="8190"/>
        </w:tabs>
        <w:adjustRightInd w:val="0"/>
        <w:snapToGrid w:val="0"/>
        <w:spacing w:line="360" w:lineRule="auto"/>
        <w:rPr>
          <w:rFonts w:ascii="宋体" w:hAnsi="宋体" w:eastAsia="宋体" w:cs="Times New Roman"/>
          <w:b/>
          <w:szCs w:val="28"/>
        </w:rPr>
      </w:pPr>
      <w:r>
        <w:rPr>
          <w:rFonts w:ascii="宋体" w:hAnsi="宋体" w:eastAsia="宋体" w:cs="Times New Roman"/>
          <w:b/>
          <w:szCs w:val="28"/>
        </w:rPr>
        <w:t>服务商： （盖章）</w:t>
      </w:r>
    </w:p>
    <w:p>
      <w:pPr>
        <w:tabs>
          <w:tab w:val="right" w:leader="middleDot" w:pos="8190"/>
        </w:tabs>
        <w:adjustRightInd w:val="0"/>
        <w:snapToGrid w:val="0"/>
        <w:spacing w:line="360" w:lineRule="auto"/>
        <w:rPr>
          <w:rFonts w:ascii="宋体" w:hAnsi="宋体" w:eastAsia="宋体" w:cs="Times New Roman"/>
          <w:b/>
          <w:szCs w:val="28"/>
        </w:rPr>
      </w:pPr>
      <w:r>
        <w:rPr>
          <w:rFonts w:ascii="宋体" w:hAnsi="宋体" w:eastAsia="宋体" w:cs="Times New Roman"/>
          <w:b/>
          <w:szCs w:val="28"/>
        </w:rPr>
        <w:t xml:space="preserve">服务商法定代表人或法定代表人授权代理人（签字或盖章）： </w:t>
      </w:r>
    </w:p>
    <w:p>
      <w:pPr>
        <w:tabs>
          <w:tab w:val="right" w:leader="middleDot" w:pos="8190"/>
        </w:tabs>
        <w:adjustRightInd w:val="0"/>
        <w:snapToGrid w:val="0"/>
        <w:spacing w:line="360" w:lineRule="auto"/>
        <w:rPr>
          <w:rFonts w:ascii="宋体" w:hAnsi="宋体" w:eastAsia="宋体" w:cs="Times New Roman"/>
          <w:b/>
          <w:szCs w:val="28"/>
        </w:rPr>
      </w:pPr>
      <w:r>
        <w:rPr>
          <w:rFonts w:ascii="宋体" w:hAnsi="宋体" w:eastAsia="宋体" w:cs="Times New Roman"/>
          <w:b/>
          <w:szCs w:val="28"/>
        </w:rPr>
        <w:t>时间：    年   月   日</w:t>
      </w:r>
    </w:p>
    <w:p>
      <w:pPr>
        <w:tabs>
          <w:tab w:val="right" w:leader="middleDot" w:pos="8190"/>
        </w:tabs>
        <w:adjustRightInd w:val="0"/>
        <w:snapToGrid w:val="0"/>
        <w:spacing w:line="360" w:lineRule="auto"/>
        <w:rPr>
          <w:rFonts w:ascii="宋体" w:hAnsi="宋体" w:eastAsia="宋体" w:cs="Times New Roman"/>
          <w:szCs w:val="28"/>
        </w:rPr>
      </w:pPr>
      <w:r>
        <w:rPr>
          <w:rFonts w:hint="eastAsia" w:ascii="宋体" w:hAnsi="宋体" w:eastAsia="宋体" w:cs="Times New Roman"/>
          <w:szCs w:val="28"/>
        </w:rPr>
        <w:t>注意事项：</w:t>
      </w:r>
    </w:p>
    <w:p>
      <w:pPr>
        <w:tabs>
          <w:tab w:val="right" w:leader="middleDot" w:pos="8190"/>
        </w:tabs>
        <w:adjustRightInd w:val="0"/>
        <w:snapToGrid w:val="0"/>
        <w:spacing w:line="360" w:lineRule="auto"/>
        <w:rPr>
          <w:rFonts w:ascii="宋体" w:hAnsi="宋体" w:eastAsia="宋体" w:cs="Times New Roman"/>
          <w:szCs w:val="28"/>
        </w:rPr>
      </w:pPr>
      <w:r>
        <w:rPr>
          <w:rFonts w:hint="eastAsia" w:ascii="宋体" w:hAnsi="宋体" w:eastAsia="宋体" w:cs="Times New Roman"/>
          <w:szCs w:val="28"/>
        </w:rPr>
        <w:t>1.此表应装订于响应文件封面后第1页；</w:t>
      </w:r>
    </w:p>
    <w:p>
      <w:pPr>
        <w:tabs>
          <w:tab w:val="right" w:leader="middleDot" w:pos="8190"/>
        </w:tabs>
        <w:adjustRightInd w:val="0"/>
        <w:snapToGrid w:val="0"/>
        <w:spacing w:line="360" w:lineRule="auto"/>
        <w:rPr>
          <w:rFonts w:ascii="宋体" w:hAnsi="宋体" w:eastAsia="宋体" w:cs="Times New Roman"/>
          <w:szCs w:val="28"/>
        </w:rPr>
        <w:sectPr>
          <w:footerReference r:id="rId4" w:type="default"/>
          <w:pgSz w:w="11906" w:h="16838"/>
          <w:pgMar w:top="1440" w:right="1080" w:bottom="1440" w:left="1080" w:header="851" w:footer="992" w:gutter="0"/>
          <w:pgNumType w:start="1"/>
          <w:cols w:space="425" w:num="1"/>
          <w:docGrid w:type="lines" w:linePitch="312" w:charSpace="0"/>
        </w:sectPr>
      </w:pPr>
      <w:r>
        <w:rPr>
          <w:rFonts w:hint="eastAsia" w:ascii="宋体" w:hAnsi="宋体" w:eastAsia="宋体" w:cs="Times New Roman"/>
          <w:szCs w:val="28"/>
        </w:rPr>
        <w:t>2.此表中的响应报价应为可行性研究报告编制费、办公费、差旅费、资料费、人工费、税金、利润等发生的一切费用，在合同有效期内合同价格固定不变。</w:t>
      </w:r>
    </w:p>
    <w:p>
      <w:pPr>
        <w:jc w:val="center"/>
        <w:rPr>
          <w:b/>
          <w:bCs/>
          <w:sz w:val="40"/>
          <w:szCs w:val="44"/>
        </w:rPr>
      </w:pPr>
      <w:bookmarkStart w:id="1" w:name="_Toc111730688"/>
      <w:bookmarkStart w:id="2" w:name="_Toc87987025"/>
      <w:r>
        <w:rPr>
          <w:b/>
          <w:bCs/>
          <w:sz w:val="40"/>
          <w:szCs w:val="44"/>
        </w:rPr>
        <w:t>注</w:t>
      </w:r>
      <w:r>
        <w:rPr>
          <w:rFonts w:hint="eastAsia"/>
          <w:b/>
          <w:bCs/>
          <w:sz w:val="40"/>
          <w:szCs w:val="44"/>
        </w:rPr>
        <w:t xml:space="preserve"> </w:t>
      </w:r>
      <w:r>
        <w:rPr>
          <w:b/>
          <w:bCs/>
          <w:sz w:val="40"/>
          <w:szCs w:val="44"/>
        </w:rPr>
        <w:t>意</w:t>
      </w:r>
      <w:r>
        <w:rPr>
          <w:rFonts w:hint="eastAsia"/>
          <w:b/>
          <w:bCs/>
          <w:sz w:val="40"/>
          <w:szCs w:val="44"/>
        </w:rPr>
        <w:t xml:space="preserve"> </w:t>
      </w:r>
      <w:r>
        <w:rPr>
          <w:b/>
          <w:bCs/>
          <w:sz w:val="40"/>
          <w:szCs w:val="44"/>
        </w:rPr>
        <w:t>事</w:t>
      </w:r>
      <w:r>
        <w:rPr>
          <w:rFonts w:hint="eastAsia"/>
          <w:b/>
          <w:bCs/>
          <w:sz w:val="40"/>
          <w:szCs w:val="44"/>
        </w:rPr>
        <w:t xml:space="preserve"> </w:t>
      </w:r>
      <w:r>
        <w:rPr>
          <w:b/>
          <w:bCs/>
          <w:sz w:val="40"/>
          <w:szCs w:val="44"/>
        </w:rPr>
        <w:t>项</w:t>
      </w:r>
      <w:bookmarkEnd w:id="1"/>
      <w:bookmarkEnd w:id="2"/>
    </w:p>
    <w:p>
      <w:pPr>
        <w:widowControl/>
        <w:spacing w:line="360" w:lineRule="auto"/>
        <w:ind w:firstLine="560" w:firstLineChars="200"/>
        <w:jc w:val="left"/>
        <w:rPr>
          <w:rFonts w:ascii="宋体" w:hAnsi="宋体" w:eastAsia="宋体" w:cs="等线"/>
          <w:bCs/>
          <w:sz w:val="28"/>
          <w:szCs w:val="28"/>
        </w:rPr>
      </w:pPr>
      <w:r>
        <w:rPr>
          <w:rFonts w:hint="eastAsia" w:ascii="宋体" w:hAnsi="宋体" w:eastAsia="宋体" w:cs="等线"/>
          <w:bCs/>
          <w:sz w:val="28"/>
          <w:szCs w:val="28"/>
        </w:rPr>
        <w:t>各服务商：</w:t>
      </w:r>
    </w:p>
    <w:p>
      <w:pPr>
        <w:widowControl/>
        <w:spacing w:line="360" w:lineRule="auto"/>
        <w:ind w:firstLine="560" w:firstLineChars="200"/>
        <w:jc w:val="left"/>
        <w:rPr>
          <w:rFonts w:ascii="宋体" w:hAnsi="宋体" w:eastAsia="宋体" w:cs="等线"/>
          <w:bCs/>
          <w:sz w:val="28"/>
          <w:szCs w:val="28"/>
        </w:rPr>
        <w:sectPr>
          <w:headerReference r:id="rId5" w:type="default"/>
          <w:footerReference r:id="rId6" w:type="default"/>
          <w:pgSz w:w="11906" w:h="16838"/>
          <w:pgMar w:top="1440" w:right="1080" w:bottom="1440" w:left="1080" w:header="680" w:footer="964" w:gutter="0"/>
          <w:cols w:space="425" w:num="1"/>
          <w:docGrid w:linePitch="312" w:charSpace="0"/>
        </w:sectPr>
      </w:pPr>
      <w:r>
        <w:rPr>
          <w:rFonts w:hint="eastAsia" w:ascii="宋体" w:hAnsi="宋体" w:eastAsia="宋体" w:cs="等线"/>
          <w:bCs/>
          <w:sz w:val="28"/>
          <w:szCs w:val="28"/>
        </w:rPr>
        <w:t>为遵循</w:t>
      </w:r>
      <w:r>
        <w:rPr>
          <w:rFonts w:hint="eastAsia" w:ascii="宋体" w:hAnsi="宋体" w:eastAsia="宋体" w:cs="等线"/>
          <w:bCs/>
          <w:sz w:val="28"/>
          <w:szCs w:val="28"/>
          <w:lang w:val="en-US" w:eastAsia="zh-CN"/>
        </w:rPr>
        <w:t>竞谈</w:t>
      </w:r>
      <w:r>
        <w:rPr>
          <w:rFonts w:hint="eastAsia" w:ascii="宋体" w:hAnsi="宋体" w:eastAsia="宋体" w:cs="等线"/>
          <w:bCs/>
          <w:sz w:val="28"/>
          <w:szCs w:val="28"/>
        </w:rPr>
        <w:t>响应的有关规定，在您在响应文件递交截止时间前递交响应文件，并提前了解开标场地周边的交通情况及开标场地的具体位置。</w:t>
      </w:r>
    </w:p>
    <w:bookmarkEnd w:id="0"/>
    <w:sdt>
      <w:sdtPr>
        <w:rPr>
          <w:rFonts w:hint="eastAsia" w:ascii="宋体" w:hAnsi="宋体" w:eastAsia="宋体" w:cs="宋体"/>
          <w:b/>
          <w:bCs/>
          <w:sz w:val="44"/>
          <w:szCs w:val="44"/>
        </w:rPr>
        <w:id w:val="147457869"/>
        <w:docPartObj>
          <w:docPartGallery w:val="Table of Contents"/>
          <w:docPartUnique/>
        </w:docPartObj>
      </w:sdtPr>
      <w:sdtEndPr>
        <w:rPr>
          <w:rFonts w:hint="eastAsia" w:ascii="宋体" w:hAnsi="宋体" w:eastAsia="宋体" w:cs="宋体"/>
          <w:b/>
          <w:bCs/>
          <w:sz w:val="44"/>
          <w:szCs w:val="44"/>
        </w:rPr>
      </w:sdtEndPr>
      <w:sdtContent>
        <w:p>
          <w:pPr>
            <w:spacing w:line="360" w:lineRule="auto"/>
            <w:jc w:val="center"/>
            <w:rPr>
              <w:rFonts w:ascii="宋体" w:hAnsi="宋体" w:eastAsia="宋体" w:cs="宋体"/>
              <w:b/>
              <w:bCs/>
              <w:sz w:val="44"/>
              <w:szCs w:val="44"/>
            </w:rPr>
          </w:pPr>
          <w:r>
            <w:rPr>
              <w:rFonts w:hint="eastAsia" w:ascii="宋体" w:hAnsi="宋体" w:eastAsia="宋体" w:cs="宋体"/>
              <w:b/>
              <w:bCs/>
              <w:sz w:val="44"/>
              <w:szCs w:val="44"/>
            </w:rPr>
            <w:t>目  录</w:t>
          </w:r>
        </w:p>
        <w:p>
          <w:pPr>
            <w:pStyle w:val="25"/>
            <w:tabs>
              <w:tab w:val="right" w:leader="dot" w:pos="9746"/>
            </w:tabs>
            <w:spacing w:line="600" w:lineRule="auto"/>
            <w:rPr>
              <w:sz w:val="28"/>
              <w:szCs w:val="28"/>
            </w:rPr>
          </w:pPr>
          <w:r>
            <w:rPr>
              <w:rFonts w:hint="eastAsia" w:ascii="宋体" w:hAnsi="宋体" w:eastAsia="宋体" w:cs="宋体"/>
              <w:kern w:val="0"/>
              <w:sz w:val="20"/>
              <w:szCs w:val="20"/>
            </w:rPr>
            <w:fldChar w:fldCharType="begin"/>
          </w:r>
          <w:r>
            <w:rPr>
              <w:rFonts w:hint="eastAsia" w:ascii="宋体" w:hAnsi="宋体" w:eastAsia="宋体" w:cs="宋体"/>
            </w:rPr>
            <w:instrText xml:space="preserve">TOC \o "1-2" \h \u </w:instrText>
          </w:r>
          <w:r>
            <w:rPr>
              <w:rFonts w:hint="eastAsia" w:ascii="宋体" w:hAnsi="宋体" w:eastAsia="宋体" w:cs="宋体"/>
              <w:kern w:val="0"/>
              <w:sz w:val="20"/>
              <w:szCs w:val="20"/>
            </w:rPr>
            <w:fldChar w:fldCharType="separate"/>
          </w:r>
          <w:r>
            <w:fldChar w:fldCharType="begin"/>
          </w:r>
          <w:r>
            <w:instrText xml:space="preserve"> HYPERLINK \l "_Toc6550" </w:instrText>
          </w:r>
          <w:r>
            <w:fldChar w:fldCharType="separate"/>
          </w:r>
          <w:r>
            <w:rPr>
              <w:rFonts w:hint="eastAsia" w:ascii="宋体" w:hAnsi="宋体" w:eastAsia="宋体" w:cs="宋体"/>
              <w:sz w:val="28"/>
              <w:szCs w:val="28"/>
            </w:rPr>
            <w:t xml:space="preserve">第一章 </w:t>
          </w:r>
          <w:r>
            <w:rPr>
              <w:rFonts w:hint="eastAsia" w:ascii="宋体" w:hAnsi="宋体" w:cs="宋体"/>
              <w:sz w:val="28"/>
              <w:szCs w:val="28"/>
            </w:rPr>
            <w:t>竞争性谈判采购公告</w:t>
          </w:r>
          <w:r>
            <w:rPr>
              <w:sz w:val="28"/>
              <w:szCs w:val="28"/>
            </w:rPr>
            <w:tab/>
          </w:r>
          <w:r>
            <w:rPr>
              <w:sz w:val="28"/>
              <w:szCs w:val="28"/>
            </w:rPr>
            <w:fldChar w:fldCharType="begin"/>
          </w:r>
          <w:r>
            <w:rPr>
              <w:sz w:val="28"/>
              <w:szCs w:val="28"/>
            </w:rPr>
            <w:instrText xml:space="preserve"> PAGEREF _Toc6550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25"/>
            <w:tabs>
              <w:tab w:val="right" w:leader="dot" w:pos="9746"/>
            </w:tabs>
            <w:spacing w:line="600" w:lineRule="auto"/>
            <w:rPr>
              <w:sz w:val="28"/>
              <w:szCs w:val="28"/>
            </w:rPr>
          </w:pPr>
          <w:r>
            <w:fldChar w:fldCharType="begin"/>
          </w:r>
          <w:r>
            <w:instrText xml:space="preserve"> HYPERLINK \l "_Toc20489" </w:instrText>
          </w:r>
          <w:r>
            <w:fldChar w:fldCharType="separate"/>
          </w:r>
          <w:r>
            <w:rPr>
              <w:rFonts w:hint="eastAsia" w:ascii="宋体" w:hAnsi="宋体" w:eastAsia="宋体" w:cs="宋体"/>
              <w:sz w:val="28"/>
              <w:szCs w:val="28"/>
            </w:rPr>
            <w:t>第二章 竞争性谈判须知</w:t>
          </w:r>
          <w:r>
            <w:rPr>
              <w:sz w:val="28"/>
              <w:szCs w:val="28"/>
            </w:rPr>
            <w:tab/>
          </w:r>
          <w:r>
            <w:rPr>
              <w:sz w:val="28"/>
              <w:szCs w:val="28"/>
            </w:rPr>
            <w:fldChar w:fldCharType="begin"/>
          </w:r>
          <w:r>
            <w:rPr>
              <w:sz w:val="28"/>
              <w:szCs w:val="28"/>
            </w:rPr>
            <w:instrText xml:space="preserve"> PAGEREF _Toc20489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25"/>
            <w:tabs>
              <w:tab w:val="right" w:leader="dot" w:pos="9746"/>
            </w:tabs>
            <w:spacing w:line="600" w:lineRule="auto"/>
            <w:rPr>
              <w:sz w:val="28"/>
              <w:szCs w:val="28"/>
            </w:rPr>
          </w:pPr>
          <w:r>
            <w:fldChar w:fldCharType="begin"/>
          </w:r>
          <w:r>
            <w:instrText xml:space="preserve"> HYPERLINK \l "_Toc10689" </w:instrText>
          </w:r>
          <w:r>
            <w:fldChar w:fldCharType="separate"/>
          </w:r>
          <w:r>
            <w:rPr>
              <w:rFonts w:hint="eastAsia" w:ascii="宋体" w:hAnsi="宋体" w:eastAsia="宋体" w:cs="宋体"/>
              <w:sz w:val="28"/>
              <w:szCs w:val="28"/>
            </w:rPr>
            <w:t>第三章 评审办法（综合评估打分法）</w:t>
          </w:r>
          <w:r>
            <w:rPr>
              <w:sz w:val="28"/>
              <w:szCs w:val="28"/>
            </w:rPr>
            <w:tab/>
          </w:r>
          <w:r>
            <w:rPr>
              <w:sz w:val="28"/>
              <w:szCs w:val="28"/>
            </w:rPr>
            <w:fldChar w:fldCharType="begin"/>
          </w:r>
          <w:r>
            <w:rPr>
              <w:sz w:val="28"/>
              <w:szCs w:val="28"/>
            </w:rPr>
            <w:instrText xml:space="preserve"> PAGEREF _Toc10689 \h </w:instrText>
          </w:r>
          <w:r>
            <w:rPr>
              <w:sz w:val="28"/>
              <w:szCs w:val="28"/>
            </w:rPr>
            <w:fldChar w:fldCharType="separate"/>
          </w:r>
          <w:r>
            <w:rPr>
              <w:sz w:val="28"/>
              <w:szCs w:val="28"/>
            </w:rPr>
            <w:t>27</w:t>
          </w:r>
          <w:r>
            <w:rPr>
              <w:sz w:val="28"/>
              <w:szCs w:val="28"/>
            </w:rPr>
            <w:fldChar w:fldCharType="end"/>
          </w:r>
          <w:r>
            <w:rPr>
              <w:sz w:val="28"/>
              <w:szCs w:val="28"/>
            </w:rPr>
            <w:fldChar w:fldCharType="end"/>
          </w:r>
        </w:p>
        <w:p>
          <w:pPr>
            <w:pStyle w:val="25"/>
            <w:tabs>
              <w:tab w:val="right" w:leader="dot" w:pos="9746"/>
            </w:tabs>
            <w:spacing w:line="600" w:lineRule="auto"/>
            <w:rPr>
              <w:sz w:val="28"/>
              <w:szCs w:val="28"/>
            </w:rPr>
          </w:pPr>
          <w:r>
            <w:fldChar w:fldCharType="begin"/>
          </w:r>
          <w:r>
            <w:instrText xml:space="preserve"> HYPERLINK \l "_Toc24993" </w:instrText>
          </w:r>
          <w:r>
            <w:fldChar w:fldCharType="separate"/>
          </w:r>
          <w:r>
            <w:rPr>
              <w:rFonts w:hint="eastAsia" w:ascii="宋体" w:hAnsi="宋体" w:eastAsia="宋体" w:cs="宋体"/>
              <w:sz w:val="28"/>
              <w:szCs w:val="28"/>
            </w:rPr>
            <w:t>第四章 合同草案</w:t>
          </w:r>
          <w:r>
            <w:rPr>
              <w:sz w:val="28"/>
              <w:szCs w:val="28"/>
            </w:rPr>
            <w:tab/>
          </w:r>
          <w:r>
            <w:rPr>
              <w:sz w:val="28"/>
              <w:szCs w:val="28"/>
            </w:rPr>
            <w:fldChar w:fldCharType="begin"/>
          </w:r>
          <w:r>
            <w:rPr>
              <w:sz w:val="28"/>
              <w:szCs w:val="28"/>
            </w:rPr>
            <w:instrText xml:space="preserve"> PAGEREF _Toc24993 \h </w:instrText>
          </w:r>
          <w:r>
            <w:rPr>
              <w:sz w:val="28"/>
              <w:szCs w:val="28"/>
            </w:rPr>
            <w:fldChar w:fldCharType="separate"/>
          </w:r>
          <w:r>
            <w:rPr>
              <w:sz w:val="28"/>
              <w:szCs w:val="28"/>
            </w:rPr>
            <w:t>35</w:t>
          </w:r>
          <w:r>
            <w:rPr>
              <w:sz w:val="28"/>
              <w:szCs w:val="28"/>
            </w:rPr>
            <w:fldChar w:fldCharType="end"/>
          </w:r>
          <w:r>
            <w:rPr>
              <w:sz w:val="28"/>
              <w:szCs w:val="28"/>
            </w:rPr>
            <w:fldChar w:fldCharType="end"/>
          </w:r>
        </w:p>
        <w:p>
          <w:pPr>
            <w:pStyle w:val="25"/>
            <w:tabs>
              <w:tab w:val="right" w:leader="dot" w:pos="9746"/>
            </w:tabs>
            <w:spacing w:line="600" w:lineRule="auto"/>
            <w:rPr>
              <w:sz w:val="28"/>
              <w:szCs w:val="28"/>
            </w:rPr>
          </w:pPr>
          <w:r>
            <w:fldChar w:fldCharType="begin"/>
          </w:r>
          <w:r>
            <w:instrText xml:space="preserve"> HYPERLINK \l "_Toc4310" </w:instrText>
          </w:r>
          <w:r>
            <w:fldChar w:fldCharType="separate"/>
          </w:r>
          <w:r>
            <w:rPr>
              <w:rFonts w:hint="eastAsia" w:ascii="宋体" w:hAnsi="宋体" w:eastAsia="宋体" w:cs="宋体"/>
              <w:sz w:val="28"/>
              <w:szCs w:val="28"/>
            </w:rPr>
            <w:t>第五章 响应文件格式</w:t>
          </w:r>
          <w:r>
            <w:rPr>
              <w:sz w:val="28"/>
              <w:szCs w:val="28"/>
            </w:rPr>
            <w:tab/>
          </w:r>
          <w:r>
            <w:rPr>
              <w:sz w:val="28"/>
              <w:szCs w:val="28"/>
            </w:rPr>
            <w:fldChar w:fldCharType="begin"/>
          </w:r>
          <w:r>
            <w:rPr>
              <w:sz w:val="28"/>
              <w:szCs w:val="28"/>
            </w:rPr>
            <w:instrText xml:space="preserve"> PAGEREF _Toc4310 \h </w:instrText>
          </w:r>
          <w:r>
            <w:rPr>
              <w:sz w:val="28"/>
              <w:szCs w:val="28"/>
            </w:rPr>
            <w:fldChar w:fldCharType="separate"/>
          </w:r>
          <w:r>
            <w:rPr>
              <w:sz w:val="28"/>
              <w:szCs w:val="28"/>
            </w:rPr>
            <w:t>48</w:t>
          </w:r>
          <w:r>
            <w:rPr>
              <w:sz w:val="28"/>
              <w:szCs w:val="28"/>
            </w:rPr>
            <w:fldChar w:fldCharType="end"/>
          </w:r>
          <w:r>
            <w:rPr>
              <w:sz w:val="28"/>
              <w:szCs w:val="28"/>
            </w:rPr>
            <w:fldChar w:fldCharType="end"/>
          </w:r>
        </w:p>
        <w:p>
          <w:pPr>
            <w:pStyle w:val="25"/>
            <w:tabs>
              <w:tab w:val="right" w:leader="dot" w:pos="9746"/>
            </w:tabs>
            <w:spacing w:line="600" w:lineRule="auto"/>
          </w:pPr>
          <w:r>
            <w:fldChar w:fldCharType="begin"/>
          </w:r>
          <w:r>
            <w:instrText xml:space="preserve"> HYPERLINK \l "_Toc5991" </w:instrText>
          </w:r>
          <w:r>
            <w:fldChar w:fldCharType="separate"/>
          </w:r>
          <w:r>
            <w:rPr>
              <w:rFonts w:hint="eastAsia" w:ascii="宋体" w:hAnsi="宋体" w:eastAsia="宋体" w:cs="宋体"/>
              <w:bCs/>
              <w:sz w:val="28"/>
              <w:szCs w:val="28"/>
            </w:rPr>
            <w:t>第六章 技术规范书</w:t>
          </w:r>
          <w:r>
            <w:rPr>
              <w:sz w:val="28"/>
              <w:szCs w:val="28"/>
            </w:rPr>
            <w:tab/>
          </w:r>
          <w:r>
            <w:rPr>
              <w:sz w:val="28"/>
              <w:szCs w:val="28"/>
            </w:rPr>
            <w:fldChar w:fldCharType="begin"/>
          </w:r>
          <w:r>
            <w:rPr>
              <w:sz w:val="28"/>
              <w:szCs w:val="28"/>
            </w:rPr>
            <w:instrText xml:space="preserve"> PAGEREF _Toc5991 \h </w:instrText>
          </w:r>
          <w:r>
            <w:rPr>
              <w:sz w:val="28"/>
              <w:szCs w:val="28"/>
            </w:rPr>
            <w:fldChar w:fldCharType="separate"/>
          </w:r>
          <w:r>
            <w:rPr>
              <w:sz w:val="28"/>
              <w:szCs w:val="28"/>
            </w:rPr>
            <w:t>60</w:t>
          </w:r>
          <w:r>
            <w:rPr>
              <w:sz w:val="28"/>
              <w:szCs w:val="28"/>
            </w:rPr>
            <w:fldChar w:fldCharType="end"/>
          </w:r>
          <w:r>
            <w:rPr>
              <w:sz w:val="28"/>
              <w:szCs w:val="28"/>
            </w:rPr>
            <w:fldChar w:fldCharType="end"/>
          </w:r>
        </w:p>
        <w:p>
          <w:pPr>
            <w:spacing w:line="360" w:lineRule="auto"/>
            <w:rPr>
              <w:rFonts w:ascii="宋体" w:hAnsi="宋体" w:eastAsia="宋体" w:cs="宋体"/>
            </w:rPr>
          </w:pPr>
          <w:r>
            <w:rPr>
              <w:rFonts w:hint="eastAsia" w:ascii="宋体" w:hAnsi="宋体" w:eastAsia="宋体" w:cs="宋体"/>
            </w:rPr>
            <w:fldChar w:fldCharType="end"/>
          </w:r>
        </w:p>
      </w:sdtContent>
    </w:sdt>
    <w:p>
      <w:pPr>
        <w:tabs>
          <w:tab w:val="left" w:pos="6380"/>
        </w:tabs>
        <w:spacing w:line="360" w:lineRule="auto"/>
        <w:ind w:firstLine="562" w:firstLineChars="20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ab/>
      </w:r>
    </w:p>
    <w:p>
      <w:pPr>
        <w:widowControl/>
        <w:spacing w:line="360" w:lineRule="auto"/>
        <w:jc w:val="left"/>
        <w:rPr>
          <w:rFonts w:ascii="宋体" w:hAnsi="宋体" w:eastAsia="宋体" w:cs="宋体"/>
          <w:b/>
          <w:color w:val="000000" w:themeColor="text1"/>
          <w:sz w:val="28"/>
          <w:szCs w:val="28"/>
          <w14:textFill>
            <w14:solidFill>
              <w14:schemeClr w14:val="tx1"/>
            </w14:solidFill>
          </w14:textFill>
        </w:rPr>
      </w:pPr>
    </w:p>
    <w:p>
      <w:pPr>
        <w:pStyle w:val="29"/>
        <w:tabs>
          <w:tab w:val="right" w:leader="dot" w:pos="9016"/>
        </w:tabs>
        <w:spacing w:line="360" w:lineRule="auto"/>
        <w:rPr>
          <w:rFonts w:ascii="宋体" w:hAnsi="宋体" w:eastAsia="宋体" w:cs="宋体"/>
          <w:color w:val="000000" w:themeColor="text1"/>
          <w14:textFill>
            <w14:solidFill>
              <w14:schemeClr w14:val="tx1"/>
            </w14:solidFill>
          </w14:textFill>
        </w:rPr>
      </w:pPr>
    </w:p>
    <w:p>
      <w:pPr>
        <w:pStyle w:val="3"/>
        <w:jc w:val="center"/>
        <w:rPr>
          <w:rFonts w:ascii="宋体" w:hAnsi="宋体" w:eastAsia="宋体" w:cs="宋体"/>
          <w:color w:val="000000" w:themeColor="text1"/>
          <w:sz w:val="32"/>
          <w:szCs w:val="32"/>
          <w14:textFill>
            <w14:solidFill>
              <w14:schemeClr w14:val="tx1"/>
            </w14:solidFill>
          </w14:textFill>
        </w:rPr>
        <w:sectPr>
          <w:pgSz w:w="11906" w:h="16838"/>
          <w:pgMar w:top="1440" w:right="1080" w:bottom="1440" w:left="1080" w:header="680" w:footer="964" w:gutter="0"/>
          <w:cols w:space="425" w:num="1"/>
          <w:docGrid w:linePitch="312" w:charSpace="0"/>
        </w:sectPr>
      </w:pPr>
    </w:p>
    <w:p>
      <w:pPr>
        <w:pStyle w:val="34"/>
        <w:spacing w:before="0" w:afterLines="50" w:line="360" w:lineRule="auto"/>
        <w:rPr>
          <w:rFonts w:ascii="宋体" w:hAnsi="宋体" w:cs="宋体"/>
          <w:color w:val="000000" w:themeColor="text1"/>
          <w14:textFill>
            <w14:solidFill>
              <w14:schemeClr w14:val="tx1"/>
            </w14:solidFill>
          </w14:textFill>
        </w:rPr>
      </w:pPr>
      <w:bookmarkStart w:id="3" w:name="_Toc6550"/>
      <w:bookmarkStart w:id="4" w:name="_Toc529391551"/>
      <w:bookmarkStart w:id="5" w:name="_Toc78019890"/>
      <w:r>
        <w:rPr>
          <w:rFonts w:hint="eastAsia" w:ascii="宋体" w:hAnsi="宋体" w:cs="宋体"/>
          <w:color w:val="000000" w:themeColor="text1"/>
          <w14:textFill>
            <w14:solidFill>
              <w14:schemeClr w14:val="tx1"/>
            </w14:solidFill>
          </w14:textFill>
        </w:rPr>
        <w:t xml:space="preserve">第一章 </w:t>
      </w:r>
      <w:bookmarkEnd w:id="3"/>
      <w:bookmarkEnd w:id="4"/>
      <w:bookmarkEnd w:id="5"/>
      <w:r>
        <w:rPr>
          <w:rFonts w:hint="eastAsia" w:ascii="宋体" w:hAnsi="宋体" w:cs="宋体"/>
          <w:color w:val="000000" w:themeColor="text1"/>
          <w14:textFill>
            <w14:solidFill>
              <w14:schemeClr w14:val="tx1"/>
            </w14:solidFill>
          </w14:textFill>
        </w:rPr>
        <w:t>竞争性谈判采购公告</w:t>
      </w:r>
    </w:p>
    <w:p>
      <w:pPr>
        <w:widowControl/>
        <w:spacing w:line="360" w:lineRule="auto"/>
        <w:jc w:val="left"/>
        <w:rPr>
          <w:rFonts w:ascii="宋体" w:hAnsi="宋体" w:eastAsia="宋体" w:cs="Times New Roman"/>
          <w:sz w:val="24"/>
          <w:szCs w:val="24"/>
          <w:u w:val="single"/>
        </w:rPr>
      </w:pPr>
      <w:r>
        <w:rPr>
          <w:rFonts w:hint="eastAsia" w:ascii="宋体" w:hAnsi="宋体" w:eastAsia="宋体" w:cs="Times New Roman"/>
          <w:sz w:val="24"/>
          <w:szCs w:val="24"/>
          <w:u w:val="single"/>
        </w:rPr>
        <w:t>各服务商：</w:t>
      </w:r>
    </w:p>
    <w:p>
      <w:pPr>
        <w:widowControl/>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u w:val="single"/>
        </w:rPr>
        <w:t>“云南能投曲靖发电有限公司三期扩建项目可行性研究报告编制服务项目”</w:t>
      </w:r>
      <w:r>
        <w:rPr>
          <w:rFonts w:hint="eastAsia" w:ascii="宋体" w:hAnsi="宋体" w:eastAsia="宋体" w:cs="Times New Roman"/>
          <w:sz w:val="24"/>
          <w:szCs w:val="24"/>
        </w:rPr>
        <w:t>已获相关主管部门批准，资金来源</w:t>
      </w:r>
      <w:r>
        <w:rPr>
          <w:rFonts w:hint="eastAsia" w:ascii="宋体" w:hAnsi="宋体" w:eastAsia="宋体" w:cs="Times New Roman"/>
          <w:sz w:val="24"/>
          <w:szCs w:val="24"/>
          <w:u w:val="single"/>
        </w:rPr>
        <w:t>企业自筹</w:t>
      </w:r>
      <w:r>
        <w:rPr>
          <w:rFonts w:hint="eastAsia" w:ascii="宋体" w:hAnsi="宋体" w:eastAsia="宋体" w:cs="Times New Roman"/>
          <w:sz w:val="24"/>
          <w:szCs w:val="24"/>
        </w:rPr>
        <w:t>，资金情况</w:t>
      </w:r>
      <w:r>
        <w:rPr>
          <w:rFonts w:hint="eastAsia" w:ascii="宋体" w:hAnsi="宋体" w:eastAsia="宋体" w:cs="Times New Roman"/>
          <w:sz w:val="24"/>
          <w:szCs w:val="24"/>
          <w:u w:val="single"/>
        </w:rPr>
        <w:t>已落实</w:t>
      </w:r>
      <w:r>
        <w:rPr>
          <w:rFonts w:hint="eastAsia" w:ascii="宋体" w:hAnsi="宋体" w:eastAsia="宋体" w:cs="Times New Roman"/>
          <w:sz w:val="24"/>
          <w:szCs w:val="24"/>
        </w:rPr>
        <w:t>现，已具备谈判条件，现对本项目进行竞争性谈判采购。</w:t>
      </w:r>
    </w:p>
    <w:p>
      <w:pPr>
        <w:adjustRightInd w:val="0"/>
        <w:snapToGrid w:val="0"/>
        <w:spacing w:line="360" w:lineRule="auto"/>
        <w:rPr>
          <w:rFonts w:ascii="宋体" w:hAnsi="宋体" w:eastAsia="宋体" w:cs="Times New Roman"/>
          <w:b/>
          <w:sz w:val="24"/>
          <w:szCs w:val="24"/>
        </w:rPr>
      </w:pPr>
      <w:r>
        <w:rPr>
          <w:rFonts w:hint="eastAsia" w:ascii="宋体" w:hAnsi="宋体" w:eastAsia="宋体" w:cs="Times New Roman"/>
          <w:b/>
          <w:sz w:val="24"/>
          <w:szCs w:val="24"/>
        </w:rPr>
        <w:t>1．</w:t>
      </w:r>
      <w:r>
        <w:rPr>
          <w:rFonts w:ascii="宋体" w:hAnsi="宋体" w:eastAsia="宋体" w:cs="Times New Roman"/>
          <w:b/>
          <w:sz w:val="24"/>
          <w:szCs w:val="24"/>
        </w:rPr>
        <w:t>项目概况与</w:t>
      </w:r>
      <w:r>
        <w:rPr>
          <w:rFonts w:hint="eastAsia" w:ascii="宋体" w:hAnsi="宋体" w:eastAsia="宋体" w:cs="Times New Roman"/>
          <w:b/>
          <w:sz w:val="24"/>
          <w:szCs w:val="24"/>
        </w:rPr>
        <w:t>采购</w:t>
      </w:r>
      <w:r>
        <w:rPr>
          <w:rFonts w:ascii="宋体" w:hAnsi="宋体" w:eastAsia="宋体" w:cs="Times New Roman"/>
          <w:b/>
          <w:sz w:val="24"/>
          <w:szCs w:val="24"/>
        </w:rPr>
        <w:t>范围</w:t>
      </w:r>
    </w:p>
    <w:p>
      <w:pPr>
        <w:adjustRightInd w:val="0"/>
        <w:snapToGrid w:val="0"/>
        <w:spacing w:line="360" w:lineRule="auto"/>
        <w:ind w:firstLine="482" w:firstLineChars="200"/>
        <w:rPr>
          <w:rFonts w:ascii="宋体" w:hAnsi="宋体" w:eastAsia="宋体" w:cs="Times New Roman"/>
          <w:sz w:val="24"/>
          <w:szCs w:val="24"/>
        </w:rPr>
      </w:pPr>
      <w:r>
        <w:rPr>
          <w:rFonts w:hint="eastAsia" w:ascii="宋体" w:hAnsi="宋体" w:eastAsia="宋体" w:cs="Times New Roman"/>
          <w:b/>
          <w:sz w:val="24"/>
          <w:szCs w:val="24"/>
        </w:rPr>
        <w:t>1</w:t>
      </w:r>
      <w:r>
        <w:rPr>
          <w:rFonts w:ascii="宋体" w:hAnsi="宋体" w:eastAsia="宋体" w:cs="Times New Roman"/>
          <w:b/>
          <w:sz w:val="24"/>
          <w:szCs w:val="24"/>
        </w:rPr>
        <w:t>.1</w:t>
      </w:r>
      <w:r>
        <w:rPr>
          <w:rFonts w:hint="eastAsia" w:ascii="宋体" w:hAnsi="宋体" w:eastAsia="宋体" w:cs="Times New Roman"/>
          <w:b/>
          <w:sz w:val="24"/>
          <w:szCs w:val="24"/>
        </w:rPr>
        <w:t xml:space="preserve"> 项目</w:t>
      </w:r>
      <w:r>
        <w:rPr>
          <w:rFonts w:ascii="宋体" w:hAnsi="宋体" w:eastAsia="宋体" w:cs="Times New Roman"/>
          <w:b/>
          <w:sz w:val="24"/>
          <w:szCs w:val="24"/>
        </w:rPr>
        <w:t>名称：</w:t>
      </w:r>
      <w:r>
        <w:rPr>
          <w:rFonts w:hint="eastAsia" w:ascii="宋体" w:hAnsi="宋体" w:eastAsia="宋体" w:cs="Times New Roman"/>
          <w:sz w:val="24"/>
          <w:szCs w:val="24"/>
        </w:rPr>
        <w:t>云南能投曲靖发电有限公司三期扩建项目可行性研究报告编制服务</w:t>
      </w:r>
      <w:r>
        <w:rPr>
          <w:rFonts w:ascii="宋体" w:hAnsi="宋体" w:eastAsia="宋体" w:cs="Times New Roman"/>
          <w:sz w:val="24"/>
          <w:szCs w:val="24"/>
        </w:rPr>
        <w:t>。</w:t>
      </w:r>
    </w:p>
    <w:p>
      <w:pPr>
        <w:adjustRightInd w:val="0"/>
        <w:snapToGrid w:val="0"/>
        <w:spacing w:line="360" w:lineRule="auto"/>
        <w:ind w:firstLine="482" w:firstLineChars="200"/>
        <w:rPr>
          <w:rFonts w:ascii="Times New Roman" w:hAnsi="Times New Roman" w:eastAsia="宋体" w:cs="Times New Roman"/>
          <w:sz w:val="24"/>
          <w:szCs w:val="24"/>
        </w:rPr>
      </w:pPr>
      <w:r>
        <w:rPr>
          <w:rFonts w:hint="eastAsia" w:ascii="宋体" w:hAnsi="宋体" w:eastAsia="宋体" w:cs="Times New Roman"/>
          <w:b/>
          <w:sz w:val="24"/>
          <w:szCs w:val="24"/>
        </w:rPr>
        <w:t>1.2项目</w:t>
      </w:r>
      <w:r>
        <w:rPr>
          <w:rFonts w:ascii="宋体" w:hAnsi="宋体" w:eastAsia="宋体" w:cs="Times New Roman"/>
          <w:b/>
          <w:sz w:val="24"/>
          <w:szCs w:val="24"/>
        </w:rPr>
        <w:t>概况</w:t>
      </w:r>
      <w:r>
        <w:rPr>
          <w:rFonts w:hint="eastAsia" w:ascii="宋体" w:hAnsi="宋体" w:eastAsia="宋体" w:cs="Times New Roman"/>
          <w:b/>
          <w:sz w:val="24"/>
          <w:szCs w:val="24"/>
        </w:rPr>
        <w:t>：</w:t>
      </w:r>
      <w:r>
        <w:rPr>
          <w:rFonts w:hint="eastAsia" w:ascii="宋体" w:hAnsi="宋体" w:eastAsia="宋体" w:cs="Times New Roman"/>
          <w:sz w:val="24"/>
          <w:szCs w:val="24"/>
        </w:rPr>
        <w:t>云南能投曲靖发电有限公司为火力发电企业，现有装机容量为</w:t>
      </w:r>
      <w:r>
        <w:rPr>
          <w:rFonts w:ascii="宋体" w:hAnsi="宋体" w:eastAsia="宋体" w:cs="Times New Roman"/>
          <w:sz w:val="24"/>
          <w:szCs w:val="24"/>
        </w:rPr>
        <w:t>4×300MW</w:t>
      </w:r>
      <w:r>
        <w:rPr>
          <w:rFonts w:hint="eastAsia" w:ascii="宋体" w:hAnsi="宋体" w:eastAsia="宋体" w:cs="Times New Roman"/>
          <w:sz w:val="24"/>
          <w:szCs w:val="24"/>
        </w:rPr>
        <w:t>燃煤火力发电机组，公司位于云南省曲靖市沾益区白水镇横山村北面，石坝水库西面，鸡上河与石坝水库低缓分水岭北坡。云南能投曲靖发电有限公司三期扩建项目厂址位于云南省曲靖市沾益区白水镇，规划建设2×700MW高效超超临界燃煤发电机组，分两期实施，同步建设脱硫、脱硝等环保设施，机组按照</w:t>
      </w:r>
      <w:r>
        <w:rPr>
          <w:rFonts w:hint="eastAsia" w:ascii="宋体" w:hAnsi="宋体" w:eastAsia="宋体" w:cs="Times New Roman"/>
          <w:sz w:val="24"/>
          <w:szCs w:val="24"/>
          <w:lang w:val="en-US" w:eastAsia="zh-CN"/>
        </w:rPr>
        <w:t>新一代煤电灵活性要求和超低排放要求设计</w:t>
      </w:r>
      <w:r>
        <w:rPr>
          <w:rFonts w:hint="eastAsia" w:ascii="宋体" w:hAnsi="宋体" w:eastAsia="宋体" w:cs="Times New Roman"/>
          <w:sz w:val="24"/>
          <w:szCs w:val="24"/>
        </w:rPr>
        <w:t>。</w:t>
      </w:r>
    </w:p>
    <w:p>
      <w:pPr>
        <w:adjustRightInd w:val="0"/>
        <w:snapToGrid w:val="0"/>
        <w:spacing w:line="360" w:lineRule="auto"/>
        <w:ind w:firstLine="482" w:firstLineChars="200"/>
        <w:rPr>
          <w:rFonts w:ascii="宋体" w:hAnsi="宋体" w:eastAsia="宋体" w:cs="Times New Roman"/>
          <w:sz w:val="24"/>
          <w:szCs w:val="24"/>
        </w:rPr>
      </w:pPr>
      <w:r>
        <w:rPr>
          <w:rFonts w:hint="eastAsia" w:ascii="宋体" w:hAnsi="宋体" w:eastAsia="宋体" w:cs="Times New Roman"/>
          <w:b/>
          <w:sz w:val="24"/>
          <w:szCs w:val="24"/>
        </w:rPr>
        <w:t>1</w:t>
      </w:r>
      <w:r>
        <w:rPr>
          <w:rFonts w:ascii="宋体" w:hAnsi="宋体" w:eastAsia="宋体" w:cs="Times New Roman"/>
          <w:b/>
          <w:sz w:val="24"/>
          <w:szCs w:val="24"/>
        </w:rPr>
        <w:t>.</w:t>
      </w:r>
      <w:r>
        <w:rPr>
          <w:rFonts w:hint="eastAsia" w:ascii="宋体" w:hAnsi="宋体" w:eastAsia="宋体" w:cs="Times New Roman"/>
          <w:b/>
          <w:sz w:val="24"/>
          <w:szCs w:val="24"/>
        </w:rPr>
        <w:t>3采购范围：</w:t>
      </w:r>
      <w:r>
        <w:rPr>
          <w:rFonts w:hint="eastAsia" w:ascii="宋体" w:hAnsi="宋体" w:eastAsia="宋体" w:cs="Times New Roman"/>
          <w:bCs/>
          <w:sz w:val="24"/>
          <w:szCs w:val="24"/>
        </w:rPr>
        <w:t>对曲靖电厂三期（2×700MW燃煤发电机组）扩建项目进行可行性研究。包括但不限于可行性研究现场踏勘及收资、可行性研究报告编制及相关服务</w:t>
      </w:r>
      <w:r>
        <w:rPr>
          <w:rFonts w:hint="eastAsia" w:ascii="宋体" w:hAnsi="宋体" w:eastAsia="宋体" w:cs="Times New Roman"/>
          <w:sz w:val="24"/>
          <w:szCs w:val="24"/>
        </w:rPr>
        <w:t>。具体内容及要求详见采购文件“第六章 技术规范书”。</w:t>
      </w:r>
    </w:p>
    <w:p>
      <w:pPr>
        <w:adjustRightInd w:val="0"/>
        <w:snapToGrid w:val="0"/>
        <w:spacing w:line="360" w:lineRule="auto"/>
        <w:ind w:firstLine="482" w:firstLineChars="200"/>
        <w:rPr>
          <w:rFonts w:ascii="宋体" w:hAnsi="宋体" w:eastAsia="宋体" w:cs="Times New Roman"/>
          <w:sz w:val="24"/>
          <w:szCs w:val="24"/>
        </w:rPr>
      </w:pPr>
      <w:r>
        <w:rPr>
          <w:rFonts w:hint="eastAsia" w:ascii="宋体" w:hAnsi="宋体" w:eastAsia="宋体" w:cs="Times New Roman"/>
          <w:b/>
          <w:sz w:val="24"/>
          <w:szCs w:val="24"/>
        </w:rPr>
        <w:t>1.4服务期限：</w:t>
      </w:r>
      <w:r>
        <w:rPr>
          <w:rFonts w:ascii="Times New Roman" w:hAnsi="Times New Roman" w:eastAsia="宋体" w:cs="Times New Roman"/>
          <w:sz w:val="24"/>
          <w:szCs w:val="24"/>
        </w:rPr>
        <w:t>合同签订后60日内完成可行性研究报告初稿编制（并组织完成内部评审）</w:t>
      </w:r>
      <w:r>
        <w:rPr>
          <w:rFonts w:hint="eastAsia" w:eastAsia="宋体" w:cs="Times New Roman"/>
          <w:sz w:val="24"/>
          <w:szCs w:val="24"/>
        </w:rPr>
        <w:t>；</w:t>
      </w:r>
      <w:r>
        <w:rPr>
          <w:rFonts w:ascii="Times New Roman" w:hAnsi="Times New Roman" w:eastAsia="宋体" w:cs="Times New Roman"/>
          <w:sz w:val="24"/>
          <w:szCs w:val="24"/>
        </w:rPr>
        <w:t>合同签订后</w:t>
      </w:r>
      <w:r>
        <w:rPr>
          <w:rFonts w:hint="eastAsia" w:eastAsia="宋体" w:cs="Times New Roman"/>
          <w:sz w:val="24"/>
          <w:szCs w:val="24"/>
        </w:rPr>
        <w:t>75</w:t>
      </w:r>
      <w:r>
        <w:rPr>
          <w:rFonts w:ascii="Times New Roman" w:hAnsi="Times New Roman" w:eastAsia="宋体" w:cs="Times New Roman"/>
          <w:sz w:val="24"/>
          <w:szCs w:val="24"/>
        </w:rPr>
        <w:t>日内完成送审稿编制</w:t>
      </w:r>
      <w:r>
        <w:rPr>
          <w:rFonts w:hint="eastAsia" w:eastAsia="宋体" w:cs="Times New Roman"/>
          <w:sz w:val="24"/>
          <w:szCs w:val="24"/>
        </w:rPr>
        <w:t>。并</w:t>
      </w:r>
      <w:r>
        <w:rPr>
          <w:rFonts w:hint="eastAsia" w:ascii="Times New Roman" w:hAnsi="Times New Roman" w:eastAsia="宋体" w:cs="Times New Roman"/>
          <w:sz w:val="24"/>
          <w:szCs w:val="24"/>
        </w:rPr>
        <w:t>按</w:t>
      </w:r>
      <w:r>
        <w:rPr>
          <w:rFonts w:hint="eastAsia" w:eastAsia="宋体" w:cs="Times New Roman"/>
          <w:sz w:val="24"/>
          <w:szCs w:val="24"/>
        </w:rPr>
        <w:t>项目前期工作</w:t>
      </w:r>
      <w:r>
        <w:rPr>
          <w:rFonts w:hint="eastAsia" w:ascii="Times New Roman" w:hAnsi="Times New Roman" w:eastAsia="宋体" w:cs="Times New Roman"/>
          <w:sz w:val="24"/>
          <w:szCs w:val="24"/>
        </w:rPr>
        <w:t>进展</w:t>
      </w:r>
      <w:r>
        <w:rPr>
          <w:rFonts w:hint="eastAsia" w:eastAsia="宋体" w:cs="Times New Roman"/>
          <w:sz w:val="24"/>
          <w:szCs w:val="24"/>
        </w:rPr>
        <w:t>要求</w:t>
      </w:r>
      <w:r>
        <w:rPr>
          <w:rFonts w:hint="eastAsia" w:ascii="Times New Roman" w:hAnsi="Times New Roman" w:eastAsia="宋体" w:cs="Times New Roman"/>
          <w:sz w:val="24"/>
          <w:szCs w:val="24"/>
        </w:rPr>
        <w:t>，配合完成外部审查及可行性研究终版报告出版，做好可行性研究收口</w:t>
      </w:r>
      <w:r>
        <w:rPr>
          <w:rFonts w:hint="eastAsia" w:eastAsia="宋体" w:cs="Times New Roman"/>
          <w:sz w:val="24"/>
          <w:szCs w:val="24"/>
        </w:rPr>
        <w:t>（含图纸）、核准报告（核准申请）编制、项目用地范围矢量数据制作等</w:t>
      </w:r>
      <w:r>
        <w:rPr>
          <w:rFonts w:hint="eastAsia" w:ascii="Times New Roman" w:hAnsi="Times New Roman" w:eastAsia="宋体" w:cs="Times New Roman"/>
          <w:sz w:val="24"/>
          <w:szCs w:val="24"/>
        </w:rPr>
        <w:t>其他相关配合工作</w:t>
      </w:r>
      <w:r>
        <w:rPr>
          <w:rFonts w:hint="eastAsia" w:eastAsia="宋体" w:cs="Times New Roman"/>
          <w:sz w:val="24"/>
          <w:szCs w:val="24"/>
        </w:rPr>
        <w:t>，直至项目获得核准审批</w:t>
      </w:r>
      <w:r>
        <w:rPr>
          <w:rFonts w:hint="eastAsia" w:ascii="宋体" w:hAnsi="宋体" w:eastAsia="宋体" w:cs="Times New Roman"/>
          <w:sz w:val="24"/>
          <w:szCs w:val="24"/>
        </w:rPr>
        <w:t>。</w:t>
      </w:r>
    </w:p>
    <w:p>
      <w:pPr>
        <w:spacing w:line="360" w:lineRule="auto"/>
        <w:ind w:firstLine="482" w:firstLineChars="200"/>
        <w:rPr>
          <w:rFonts w:ascii="宋体" w:hAnsi="宋体" w:eastAsia="宋体" w:cs="Times New Roman"/>
          <w:sz w:val="24"/>
          <w:szCs w:val="24"/>
        </w:rPr>
      </w:pPr>
      <w:r>
        <w:rPr>
          <w:rFonts w:hint="eastAsia" w:ascii="宋体" w:hAnsi="宋体" w:eastAsia="宋体" w:cs="Times New Roman"/>
          <w:b/>
          <w:sz w:val="24"/>
          <w:szCs w:val="24"/>
        </w:rPr>
        <w:t>1</w:t>
      </w:r>
      <w:r>
        <w:rPr>
          <w:rFonts w:ascii="宋体" w:hAnsi="宋体" w:eastAsia="宋体" w:cs="Times New Roman"/>
          <w:b/>
          <w:sz w:val="24"/>
          <w:szCs w:val="24"/>
        </w:rPr>
        <w:t>.</w:t>
      </w:r>
      <w:r>
        <w:rPr>
          <w:rFonts w:hint="eastAsia" w:ascii="宋体" w:hAnsi="宋体" w:eastAsia="宋体" w:cs="Times New Roman"/>
          <w:b/>
          <w:sz w:val="24"/>
          <w:szCs w:val="24"/>
        </w:rPr>
        <w:t>5 服务地点为：</w:t>
      </w:r>
      <w:r>
        <w:rPr>
          <w:rFonts w:hint="eastAsia" w:ascii="宋体" w:hAnsi="宋体" w:eastAsia="宋体" w:cs="Times New Roman"/>
          <w:sz w:val="24"/>
          <w:szCs w:val="24"/>
        </w:rPr>
        <w:t>云南省曲靖市沾益区云南能投曲靖发电有限公司、采购人指定地点。</w:t>
      </w:r>
    </w:p>
    <w:p>
      <w:pPr>
        <w:adjustRightInd w:val="0"/>
        <w:snapToGrid w:val="0"/>
        <w:spacing w:line="360" w:lineRule="auto"/>
        <w:ind w:firstLine="482" w:firstLineChars="200"/>
        <w:rPr>
          <w:rFonts w:ascii="宋体" w:hAnsi="宋体" w:eastAsia="宋体" w:cs="Times New Roman"/>
          <w:sz w:val="24"/>
          <w:szCs w:val="24"/>
        </w:rPr>
      </w:pPr>
      <w:r>
        <w:rPr>
          <w:rFonts w:hint="eastAsia" w:ascii="宋体" w:hAnsi="宋体" w:eastAsia="宋体" w:cs="Times New Roman"/>
          <w:b/>
          <w:sz w:val="24"/>
          <w:szCs w:val="24"/>
        </w:rPr>
        <w:t>1</w:t>
      </w:r>
      <w:r>
        <w:rPr>
          <w:rFonts w:ascii="宋体" w:hAnsi="宋体" w:eastAsia="宋体" w:cs="Times New Roman"/>
          <w:b/>
          <w:sz w:val="24"/>
          <w:szCs w:val="24"/>
        </w:rPr>
        <w:t>.</w:t>
      </w:r>
      <w:r>
        <w:rPr>
          <w:rFonts w:hint="eastAsia" w:ascii="宋体" w:hAnsi="宋体" w:eastAsia="宋体" w:cs="Times New Roman"/>
          <w:b/>
          <w:sz w:val="24"/>
          <w:szCs w:val="24"/>
        </w:rPr>
        <w:t>6资金来源为：</w:t>
      </w:r>
      <w:r>
        <w:rPr>
          <w:rFonts w:hint="eastAsia" w:ascii="宋体" w:hAnsi="宋体" w:eastAsia="宋体" w:cs="Times New Roman"/>
          <w:sz w:val="24"/>
          <w:szCs w:val="24"/>
        </w:rPr>
        <w:t>企业自筹，已落实</w:t>
      </w:r>
      <w:r>
        <w:rPr>
          <w:rFonts w:ascii="宋体" w:hAnsi="宋体" w:eastAsia="宋体" w:cs="Times New Roman"/>
          <w:sz w:val="24"/>
          <w:szCs w:val="24"/>
        </w:rPr>
        <w:t>。</w:t>
      </w:r>
    </w:p>
    <w:p>
      <w:pPr>
        <w:adjustRightInd w:val="0"/>
        <w:snapToGrid w:val="0"/>
        <w:spacing w:line="360" w:lineRule="auto"/>
        <w:ind w:firstLine="482" w:firstLineChars="200"/>
        <w:rPr>
          <w:rFonts w:ascii="宋体" w:hAnsi="宋体" w:eastAsia="宋体" w:cs="Times New Roman"/>
          <w:sz w:val="24"/>
          <w:szCs w:val="24"/>
        </w:rPr>
      </w:pPr>
      <w:r>
        <w:rPr>
          <w:rFonts w:hint="eastAsia" w:ascii="宋体" w:hAnsi="宋体" w:eastAsia="宋体" w:cs="Times New Roman"/>
          <w:b/>
          <w:sz w:val="24"/>
          <w:szCs w:val="24"/>
        </w:rPr>
        <w:t>1</w:t>
      </w:r>
      <w:r>
        <w:rPr>
          <w:rFonts w:ascii="宋体" w:hAnsi="宋体" w:eastAsia="宋体" w:cs="Times New Roman"/>
          <w:b/>
          <w:sz w:val="24"/>
          <w:szCs w:val="24"/>
        </w:rPr>
        <w:t>.</w:t>
      </w:r>
      <w:r>
        <w:rPr>
          <w:rFonts w:hint="eastAsia" w:ascii="宋体" w:hAnsi="宋体" w:eastAsia="宋体" w:cs="Times New Roman"/>
          <w:b/>
          <w:sz w:val="24"/>
          <w:szCs w:val="24"/>
        </w:rPr>
        <w:t>7服务质量标准：</w:t>
      </w:r>
      <w:r>
        <w:rPr>
          <w:rFonts w:hint="eastAsia" w:ascii="宋体" w:hAnsi="宋体" w:eastAsia="宋体" w:cs="Times New Roman"/>
          <w:sz w:val="24"/>
          <w:szCs w:val="24"/>
        </w:rPr>
        <w:t>本次项目可行性研究内容及深度应符合国家、行业相关规范要求；可行性研究报告符合《火力发电厂可行性研究报告内容深度规定》（DL/T 5374-2018）</w:t>
      </w:r>
      <w:r>
        <w:rPr>
          <w:rFonts w:hint="eastAsia" w:ascii="宋体" w:hAnsi="宋体" w:eastAsia="宋体" w:cs="Times New Roman"/>
          <w:color w:val="auto"/>
          <w:sz w:val="24"/>
          <w:szCs w:val="24"/>
          <w:highlight w:val="none"/>
          <w:lang w:val="en-US" w:eastAsia="zh-CN"/>
        </w:rPr>
        <w:t>和国家发改委、能源局关于印发《新一代煤电升级专项行动实施方案（2025-2027年）》</w:t>
      </w:r>
      <w:r>
        <w:rPr>
          <w:rFonts w:hint="eastAsia" w:ascii="宋体" w:hAnsi="宋体" w:eastAsia="宋体" w:cs="Times New Roman"/>
          <w:sz w:val="24"/>
          <w:szCs w:val="24"/>
        </w:rPr>
        <w:t>的要求；可行性研究报告及附件、附图的深度、内容及质量需满足核准及各环节评审要求；可行性研研究报告需满足采购人下</w:t>
      </w:r>
      <w:r>
        <w:rPr>
          <w:rFonts w:hint="eastAsia" w:ascii="宋体" w:hAnsi="宋体" w:eastAsia="宋体" w:cs="Times New Roman"/>
          <w:sz w:val="24"/>
          <w:szCs w:val="24"/>
          <w:lang w:val="en-US" w:eastAsia="zh-CN"/>
        </w:rPr>
        <w:t>一</w:t>
      </w:r>
      <w:bookmarkStart w:id="408" w:name="_GoBack"/>
      <w:bookmarkEnd w:id="408"/>
      <w:r>
        <w:rPr>
          <w:rFonts w:hint="eastAsia" w:ascii="宋体" w:hAnsi="宋体" w:eastAsia="宋体" w:cs="Times New Roman"/>
          <w:sz w:val="24"/>
          <w:szCs w:val="24"/>
        </w:rPr>
        <w:t>步履行立项决策要求，其内容需包含但不限于以下内容：项目必要性、项目基本情况、机组设备选型、项目技术经济可行性、投资规模、财务分析（含敏感性分析和投资收益）、项目风险及措施、项目建设计划等内容。</w:t>
      </w:r>
    </w:p>
    <w:p>
      <w:pPr>
        <w:adjustRightInd w:val="0"/>
        <w:snapToGrid w:val="0"/>
        <w:spacing w:line="360" w:lineRule="auto"/>
        <w:ind w:firstLine="482" w:firstLineChars="200"/>
        <w:rPr>
          <w:rFonts w:ascii="宋体" w:hAnsi="宋体" w:eastAsia="宋体" w:cs="Times New Roman"/>
          <w:sz w:val="24"/>
          <w:szCs w:val="24"/>
        </w:rPr>
      </w:pPr>
      <w:r>
        <w:rPr>
          <w:rFonts w:hint="eastAsia" w:ascii="宋体" w:hAnsi="宋体" w:eastAsia="宋体" w:cs="Times New Roman"/>
          <w:b/>
          <w:sz w:val="24"/>
          <w:szCs w:val="24"/>
        </w:rPr>
        <w:t>1.8</w:t>
      </w:r>
      <w:r>
        <w:rPr>
          <w:rFonts w:ascii="宋体" w:hAnsi="宋体" w:eastAsia="宋体" w:cs="Times New Roman"/>
          <w:b/>
          <w:sz w:val="24"/>
          <w:szCs w:val="24"/>
        </w:rPr>
        <w:t>资格审查方式：</w:t>
      </w:r>
      <w:r>
        <w:rPr>
          <w:rFonts w:hint="eastAsia" w:ascii="宋体" w:hAnsi="宋体" w:eastAsia="宋体" w:cs="Times New Roman"/>
          <w:sz w:val="24"/>
          <w:szCs w:val="24"/>
        </w:rPr>
        <w:t>本次采购采用资格后审方式，开标后由谈判小组对各服务商的资质进行审查，资格条件没有达到采购文件规定要求的，谈判小组有权否决其响应</w:t>
      </w:r>
      <w:r>
        <w:rPr>
          <w:rFonts w:ascii="宋体" w:hAnsi="宋体" w:eastAsia="宋体" w:cs="Times New Roman"/>
          <w:sz w:val="24"/>
          <w:szCs w:val="24"/>
        </w:rPr>
        <w:t>。</w:t>
      </w:r>
    </w:p>
    <w:p>
      <w:pPr>
        <w:adjustRightInd w:val="0"/>
        <w:snapToGrid w:val="0"/>
        <w:spacing w:line="360" w:lineRule="auto"/>
        <w:ind w:firstLine="482" w:firstLineChars="200"/>
        <w:rPr>
          <w:rFonts w:ascii="Times New Roman" w:hAnsi="Times New Roman" w:eastAsia="宋体" w:cs="Times New Roman"/>
          <w:sz w:val="24"/>
          <w:szCs w:val="24"/>
        </w:rPr>
      </w:pPr>
      <w:r>
        <w:rPr>
          <w:rFonts w:hint="eastAsia" w:ascii="宋体" w:hAnsi="宋体" w:eastAsia="宋体" w:cs="Times New Roman"/>
          <w:b/>
          <w:sz w:val="24"/>
          <w:szCs w:val="24"/>
        </w:rPr>
        <w:t>1.9现场踏勘：</w:t>
      </w:r>
      <w:r>
        <w:rPr>
          <w:rFonts w:hint="eastAsia" w:ascii="Times New Roman" w:hAnsi="Times New Roman" w:eastAsia="宋体" w:cs="Times New Roman"/>
          <w:sz w:val="24"/>
          <w:szCs w:val="24"/>
        </w:rPr>
        <w:t>采购人不组织踏勘现场，由各服务商自行踏勘现场，现场踏勘的费用、人员安全、车辆、住宿等由各服务商自行负责</w:t>
      </w:r>
      <w:r>
        <w:rPr>
          <w:rFonts w:ascii="Times New Roman" w:hAnsi="Times New Roman" w:eastAsia="宋体" w:cs="Times New Roman"/>
          <w:sz w:val="24"/>
          <w:szCs w:val="24"/>
        </w:rPr>
        <w:t>。</w:t>
      </w:r>
    </w:p>
    <w:p>
      <w:pPr>
        <w:adjustRightInd w:val="0"/>
        <w:snapToGrid w:val="0"/>
        <w:spacing w:line="360" w:lineRule="auto"/>
        <w:rPr>
          <w:rFonts w:ascii="宋体" w:hAnsi="宋体" w:eastAsia="宋体" w:cs="Times New Roman"/>
          <w:b/>
          <w:sz w:val="24"/>
          <w:szCs w:val="24"/>
        </w:rPr>
      </w:pPr>
      <w:r>
        <w:rPr>
          <w:rFonts w:hint="eastAsia" w:ascii="宋体" w:hAnsi="宋体" w:eastAsia="宋体" w:cs="Times New Roman"/>
          <w:b/>
          <w:sz w:val="24"/>
          <w:szCs w:val="24"/>
        </w:rPr>
        <w:t>2．</w:t>
      </w:r>
      <w:r>
        <w:rPr>
          <w:rFonts w:ascii="宋体" w:hAnsi="宋体" w:eastAsia="宋体" w:cs="Times New Roman"/>
          <w:b/>
          <w:sz w:val="24"/>
          <w:szCs w:val="24"/>
        </w:rPr>
        <w:t>资格要求</w:t>
      </w:r>
    </w:p>
    <w:p>
      <w:pPr>
        <w:adjustRightInd w:val="0"/>
        <w:snapToGrid w:val="0"/>
        <w:spacing w:line="360" w:lineRule="auto"/>
        <w:ind w:firstLine="482" w:firstLineChars="200"/>
        <w:rPr>
          <w:rFonts w:ascii="宋体" w:hAnsi="宋体" w:eastAsia="宋体" w:cs="Times New Roman"/>
          <w:sz w:val="24"/>
          <w:szCs w:val="24"/>
        </w:rPr>
      </w:pPr>
      <w:r>
        <w:rPr>
          <w:rFonts w:hint="eastAsia" w:ascii="宋体" w:hAnsi="宋体" w:eastAsia="宋体" w:cs="Times New Roman"/>
          <w:b/>
          <w:sz w:val="24"/>
          <w:szCs w:val="24"/>
        </w:rPr>
        <w:t>2.1一般要求：</w:t>
      </w:r>
      <w:r>
        <w:rPr>
          <w:rFonts w:hint="eastAsia" w:ascii="宋体" w:hAnsi="宋体" w:eastAsia="宋体" w:cs="Times New Roman"/>
          <w:sz w:val="24"/>
          <w:szCs w:val="24"/>
        </w:rPr>
        <w:t>投标人须具备经国家工商行政管理部门登记注册的独立企业（事业）法人或组织，具有独立承担民事责任的能力及良好的商业信誉。</w:t>
      </w:r>
    </w:p>
    <w:p>
      <w:pPr>
        <w:spacing w:line="360" w:lineRule="auto"/>
        <w:ind w:left="420" w:leftChars="200"/>
        <w:rPr>
          <w:rFonts w:ascii="Times New Roman" w:hAnsi="Times New Roman" w:eastAsia="宋体" w:cs="Times New Roman"/>
          <w:sz w:val="24"/>
          <w:szCs w:val="24"/>
        </w:rPr>
      </w:pPr>
      <w:r>
        <w:rPr>
          <w:rFonts w:hint="eastAsia" w:ascii="宋体" w:hAnsi="宋体" w:eastAsia="宋体" w:cs="Times New Roman"/>
          <w:sz w:val="24"/>
          <w:szCs w:val="24"/>
        </w:rPr>
        <w:t>注：提供有效的营业执照扫描件或复印件。</w:t>
      </w:r>
    </w:p>
    <w:p>
      <w:pPr>
        <w:adjustRightInd w:val="0"/>
        <w:snapToGrid w:val="0"/>
        <w:spacing w:line="360" w:lineRule="auto"/>
        <w:ind w:firstLine="482" w:firstLineChars="200"/>
        <w:rPr>
          <w:rFonts w:ascii="宋体" w:hAnsi="宋体" w:eastAsia="宋体" w:cs="Times New Roman"/>
          <w:sz w:val="24"/>
          <w:szCs w:val="24"/>
        </w:rPr>
      </w:pPr>
      <w:r>
        <w:rPr>
          <w:rFonts w:hint="eastAsia" w:ascii="宋体" w:hAnsi="宋体" w:eastAsia="宋体" w:cs="Times New Roman"/>
          <w:b/>
          <w:sz w:val="24"/>
          <w:szCs w:val="24"/>
        </w:rPr>
        <w:t>2.2资质要求：</w:t>
      </w:r>
      <w:r>
        <w:rPr>
          <w:rFonts w:hint="eastAsia" w:ascii="宋体" w:hAnsi="宋体" w:eastAsia="宋体" w:cs="Times New Roman"/>
          <w:sz w:val="24"/>
          <w:szCs w:val="24"/>
        </w:rPr>
        <w:t>服务商须具有电力行业工程设计甲级及以上设计资质</w:t>
      </w:r>
      <w:r>
        <w:rPr>
          <w:rFonts w:hint="eastAsia" w:ascii="宋体" w:hAnsi="宋体" w:eastAsia="宋体" w:cs="Times New Roman"/>
          <w:sz w:val="24"/>
          <w:szCs w:val="24"/>
          <w:lang w:val="en-US" w:eastAsia="zh-CN"/>
        </w:rPr>
        <w:t>和工程勘察专业甲级及以上资质</w:t>
      </w:r>
      <w:r>
        <w:rPr>
          <w:rFonts w:hint="eastAsia" w:ascii="宋体" w:hAnsi="宋体" w:eastAsia="宋体" w:cs="Times New Roman"/>
          <w:sz w:val="24"/>
          <w:szCs w:val="24"/>
        </w:rPr>
        <w:t>，并提供相关资质文件复印件。</w:t>
      </w:r>
    </w:p>
    <w:p>
      <w:pPr>
        <w:adjustRightInd w:val="0"/>
        <w:snapToGrid w:val="0"/>
        <w:spacing w:line="360" w:lineRule="auto"/>
        <w:ind w:firstLine="482" w:firstLineChars="200"/>
        <w:rPr>
          <w:rFonts w:ascii="宋体" w:hAnsi="宋体" w:eastAsia="宋体" w:cs="Times New Roman"/>
          <w:sz w:val="24"/>
          <w:szCs w:val="24"/>
        </w:rPr>
      </w:pPr>
      <w:r>
        <w:rPr>
          <w:rFonts w:hint="eastAsia" w:ascii="宋体" w:hAnsi="宋体" w:eastAsia="宋体" w:cs="Times New Roman"/>
          <w:b/>
          <w:sz w:val="24"/>
          <w:szCs w:val="24"/>
        </w:rPr>
        <w:t>2.3业绩要求：</w:t>
      </w:r>
      <w:r>
        <w:rPr>
          <w:rFonts w:hint="eastAsia" w:ascii="宋体" w:hAnsi="宋体" w:eastAsia="宋体" w:cs="Times New Roman"/>
          <w:sz w:val="24"/>
          <w:szCs w:val="24"/>
        </w:rPr>
        <w:t>服务商近5年内（从2020年1月1日至今，以</w:t>
      </w:r>
      <w:r>
        <w:rPr>
          <w:rFonts w:hint="eastAsia" w:ascii="宋体" w:hAnsi="宋体" w:eastAsia="宋体" w:cs="Times New Roman"/>
          <w:sz w:val="24"/>
          <w:szCs w:val="24"/>
          <w:lang w:val="en-US" w:eastAsia="zh-CN"/>
        </w:rPr>
        <w:t>合同签订</w:t>
      </w:r>
      <w:r>
        <w:rPr>
          <w:rFonts w:hint="eastAsia" w:ascii="宋体" w:hAnsi="宋体" w:eastAsia="宋体" w:cs="Times New Roman"/>
          <w:sz w:val="24"/>
          <w:szCs w:val="24"/>
        </w:rPr>
        <w:t>时间为准），应具有独立完成至少1项600MW</w:t>
      </w:r>
      <w:r>
        <w:rPr>
          <w:rFonts w:hint="eastAsia" w:ascii="宋体" w:hAnsi="宋体" w:eastAsia="宋体" w:cs="Times New Roman"/>
          <w:sz w:val="24"/>
          <w:szCs w:val="24"/>
          <w:lang w:eastAsia="zh-CN"/>
        </w:rPr>
        <w:t>（</w:t>
      </w:r>
      <w:r>
        <w:rPr>
          <w:rFonts w:hint="eastAsia" w:ascii="宋体" w:hAnsi="宋体" w:eastAsia="宋体" w:cs="Times New Roman"/>
          <w:sz w:val="24"/>
          <w:szCs w:val="24"/>
        </w:rPr>
        <w:t>级</w:t>
      </w:r>
      <w:r>
        <w:rPr>
          <w:rFonts w:hint="eastAsia" w:ascii="宋体" w:hAnsi="宋体" w:eastAsia="宋体" w:cs="Times New Roman"/>
          <w:sz w:val="24"/>
          <w:szCs w:val="24"/>
          <w:lang w:eastAsia="zh-CN"/>
        </w:rPr>
        <w:t>）</w:t>
      </w:r>
      <w:r>
        <w:rPr>
          <w:rFonts w:hint="eastAsia" w:ascii="宋体" w:hAnsi="宋体" w:eastAsia="宋体" w:cs="Times New Roman"/>
          <w:sz w:val="24"/>
          <w:szCs w:val="24"/>
        </w:rPr>
        <w:t>及以上超超临界发电机组主体的可行性研究或初步设计或施工图设计业绩（业绩证明材料为：合同/订单（关键页），或中标通知书/成交通知书，或竣工验收报告/验收证明（关键页），或业主证明）。</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w:t>
      </w:r>
      <w:r>
        <w:rPr>
          <w:rFonts w:hint="eastAsia" w:ascii="宋体" w:hAnsi="宋体" w:eastAsia="宋体" w:cs="Times New Roman"/>
          <w:b/>
          <w:bCs/>
          <w:sz w:val="24"/>
          <w:szCs w:val="24"/>
        </w:rPr>
        <w:t>2.4 项目经理（或设计总工程师）要求：</w:t>
      </w:r>
      <w:r>
        <w:rPr>
          <w:rFonts w:hint="eastAsia" w:ascii="宋体" w:hAnsi="宋体" w:eastAsia="宋体" w:cs="Times New Roman"/>
          <w:sz w:val="24"/>
          <w:szCs w:val="24"/>
        </w:rPr>
        <w:t>拟委派本项目的项目经理（或设计总工程师），应具备高级工程师及以上职称，应具有承担过至少1项600MW</w:t>
      </w:r>
      <w:r>
        <w:rPr>
          <w:rFonts w:hint="eastAsia" w:ascii="宋体" w:hAnsi="宋体" w:eastAsia="宋体" w:cs="Times New Roman"/>
          <w:sz w:val="24"/>
          <w:szCs w:val="24"/>
          <w:lang w:eastAsia="zh-CN"/>
        </w:rPr>
        <w:t>（</w:t>
      </w:r>
      <w:r>
        <w:rPr>
          <w:rFonts w:hint="eastAsia" w:ascii="宋体" w:hAnsi="宋体" w:eastAsia="宋体" w:cs="Times New Roman"/>
          <w:sz w:val="24"/>
          <w:szCs w:val="24"/>
        </w:rPr>
        <w:t>级</w:t>
      </w:r>
      <w:r>
        <w:rPr>
          <w:rFonts w:hint="eastAsia" w:ascii="宋体" w:hAnsi="宋体" w:eastAsia="宋体" w:cs="Times New Roman"/>
          <w:sz w:val="24"/>
          <w:szCs w:val="24"/>
          <w:lang w:eastAsia="zh-CN"/>
        </w:rPr>
        <w:t>）</w:t>
      </w:r>
      <w:r>
        <w:rPr>
          <w:rFonts w:hint="eastAsia" w:ascii="宋体" w:hAnsi="宋体" w:eastAsia="宋体" w:cs="Times New Roman"/>
          <w:sz w:val="24"/>
          <w:szCs w:val="24"/>
        </w:rPr>
        <w:t>及以上超超临界燃煤发电机组的初步设计或施工图设计项目经理（或设计总工程师）的业绩（业绩证明材料为：合同/订单（关键页），或中标通知书/成交通知书，或竣工验收报告/验收证明（关键页），或业主证明，业绩证明材料无法体现项目经理（或设计总工程师）的可提供各服务商自身</w:t>
      </w:r>
      <w:r>
        <w:rPr>
          <w:rFonts w:hint="eastAsia" w:ascii="宋体" w:hAnsi="宋体" w:eastAsia="宋体"/>
          <w:sz w:val="24"/>
          <w:szCs w:val="24"/>
        </w:rPr>
        <w:t>公司的任命文件</w:t>
      </w:r>
      <w:r>
        <w:rPr>
          <w:rFonts w:hint="eastAsia" w:ascii="宋体" w:hAnsi="宋体" w:eastAsia="宋体" w:cs="Times New Roman"/>
          <w:sz w:val="24"/>
          <w:szCs w:val="24"/>
        </w:rPr>
        <w:t>）。</w:t>
      </w:r>
    </w:p>
    <w:p>
      <w:pPr>
        <w:adjustRightInd w:val="0"/>
        <w:snapToGrid w:val="0"/>
        <w:spacing w:line="360" w:lineRule="auto"/>
        <w:ind w:firstLine="482" w:firstLineChars="200"/>
        <w:rPr>
          <w:rFonts w:ascii="宋体" w:hAnsi="宋体" w:eastAsia="宋体" w:cs="Times New Roman"/>
          <w:sz w:val="24"/>
          <w:szCs w:val="24"/>
        </w:rPr>
      </w:pPr>
      <w:r>
        <w:rPr>
          <w:rFonts w:hint="eastAsia" w:ascii="宋体" w:hAnsi="宋体" w:eastAsia="宋体" w:cs="Times New Roman"/>
          <w:b/>
          <w:bCs/>
          <w:sz w:val="24"/>
          <w:szCs w:val="24"/>
        </w:rPr>
        <w:t>2.5其他要求：</w:t>
      </w:r>
      <w:r>
        <w:rPr>
          <w:rFonts w:hint="eastAsia" w:ascii="宋体" w:hAnsi="宋体" w:eastAsia="宋体" w:cs="Times New Roman"/>
          <w:sz w:val="24"/>
          <w:szCs w:val="24"/>
        </w:rPr>
        <w:t>本项目不接受联合体。</w:t>
      </w:r>
    </w:p>
    <w:p>
      <w:pPr>
        <w:adjustRightInd w:val="0"/>
        <w:snapToGrid w:val="0"/>
        <w:spacing w:line="360" w:lineRule="auto"/>
        <w:rPr>
          <w:rFonts w:ascii="宋体" w:hAnsi="宋体" w:eastAsia="宋体" w:cs="Times New Roman"/>
          <w:b/>
          <w:sz w:val="24"/>
          <w:szCs w:val="24"/>
        </w:rPr>
      </w:pPr>
      <w:r>
        <w:rPr>
          <w:rFonts w:hint="eastAsia" w:ascii="宋体" w:hAnsi="宋体" w:eastAsia="宋体" w:cs="Times New Roman"/>
          <w:b/>
          <w:sz w:val="24"/>
          <w:szCs w:val="24"/>
        </w:rPr>
        <w:t>3．</w:t>
      </w:r>
      <w:r>
        <w:rPr>
          <w:rFonts w:hint="eastAsia" w:ascii="宋体" w:hAnsi="宋体" w:eastAsia="宋体" w:cs="Times New Roman"/>
          <w:b/>
          <w:sz w:val="24"/>
          <w:szCs w:val="24"/>
          <w:lang w:val="en-US" w:eastAsia="zh-CN"/>
        </w:rPr>
        <w:t>竞谈采购文</w:t>
      </w:r>
      <w:r>
        <w:rPr>
          <w:rFonts w:ascii="宋体" w:hAnsi="宋体" w:eastAsia="宋体" w:cs="Times New Roman"/>
          <w:b/>
          <w:sz w:val="24"/>
          <w:szCs w:val="24"/>
        </w:rPr>
        <w:t>件的获取</w:t>
      </w:r>
    </w:p>
    <w:p>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宋体"/>
          <w:sz w:val="24"/>
        </w:rPr>
        <w:t>凡有意参加竞争性谈判采购活动的服务商，请登录云南省电力投资有限公司采购平台（http://dtsale.cnyeig.cn:83/），注册成功后，</w:t>
      </w:r>
      <w:r>
        <w:rPr>
          <w:rFonts w:hint="eastAsia" w:ascii="宋体" w:hAnsi="宋体" w:eastAsia="宋体" w:cs="宋体"/>
          <w:sz w:val="24"/>
          <w:lang w:val="en-US" w:eastAsia="zh-CN"/>
        </w:rPr>
        <w:t>可参加本项目报名，报名成功后在网站自行</w:t>
      </w:r>
      <w:r>
        <w:rPr>
          <w:rFonts w:hint="eastAsia" w:ascii="宋体" w:hAnsi="宋体" w:eastAsia="宋体" w:cs="宋体"/>
          <w:sz w:val="24"/>
        </w:rPr>
        <w:t>下载竞争性谈判采购文件</w:t>
      </w:r>
      <w:r>
        <w:rPr>
          <w:rFonts w:hint="eastAsia" w:ascii="宋体" w:hAnsi="宋体" w:eastAsia="宋体" w:cs="宋体"/>
          <w:sz w:val="24"/>
          <w:lang w:val="en-US" w:eastAsia="zh-CN"/>
        </w:rPr>
        <w:t>及参与项目后续事宜</w:t>
      </w:r>
      <w:r>
        <w:rPr>
          <w:rFonts w:hint="eastAsia" w:ascii="宋体" w:hAnsi="宋体" w:eastAsia="宋体" w:cs="宋体"/>
          <w:sz w:val="24"/>
        </w:rPr>
        <w:t>。</w:t>
      </w:r>
    </w:p>
    <w:p>
      <w:pPr>
        <w:pStyle w:val="46"/>
        <w:spacing w:line="360" w:lineRule="auto"/>
        <w:rPr>
          <w:rFonts w:ascii="宋体" w:hAnsi="宋体" w:eastAsia="宋体" w:cs="宋体"/>
          <w:bCs/>
          <w:sz w:val="24"/>
          <w:szCs w:val="24"/>
        </w:rPr>
      </w:pPr>
      <w:r>
        <w:rPr>
          <w:rFonts w:hint="eastAsia" w:ascii="宋体" w:hAnsi="宋体" w:eastAsia="宋体" w:cs="宋体"/>
          <w:bCs/>
          <w:sz w:val="24"/>
          <w:szCs w:val="24"/>
          <w:lang w:val="en-US" w:eastAsia="zh-CN"/>
        </w:rPr>
        <w:t>3</w:t>
      </w:r>
      <w:r>
        <w:rPr>
          <w:rFonts w:hint="eastAsia" w:ascii="宋体" w:hAnsi="宋体" w:eastAsia="宋体" w:cs="宋体"/>
          <w:bCs/>
          <w:sz w:val="24"/>
          <w:szCs w:val="24"/>
          <w:lang w:val="en-US"/>
        </w:rPr>
        <w:t>.</w:t>
      </w:r>
      <w:r>
        <w:rPr>
          <w:rFonts w:hint="eastAsia" w:ascii="宋体" w:hAnsi="宋体" w:eastAsia="宋体" w:cs="宋体"/>
          <w:bCs/>
          <w:sz w:val="24"/>
          <w:szCs w:val="24"/>
        </w:rPr>
        <w:t>响应文件的</w:t>
      </w:r>
      <w:r>
        <w:rPr>
          <w:rFonts w:hint="eastAsia" w:ascii="宋体" w:hAnsi="宋体" w:eastAsia="宋体" w:cs="宋体"/>
          <w:bCs/>
          <w:sz w:val="24"/>
          <w:szCs w:val="24"/>
          <w:lang w:val="en-US" w:eastAsia="zh-CN"/>
        </w:rPr>
        <w:t>递</w:t>
      </w:r>
      <w:r>
        <w:rPr>
          <w:rFonts w:hint="eastAsia" w:ascii="宋体" w:hAnsi="宋体" w:eastAsia="宋体" w:cs="宋体"/>
          <w:bCs/>
          <w:sz w:val="24"/>
          <w:szCs w:val="24"/>
        </w:rPr>
        <w:t>交</w:t>
      </w:r>
    </w:p>
    <w:p>
      <w:pPr>
        <w:pStyle w:val="46"/>
        <w:spacing w:line="360" w:lineRule="auto"/>
        <w:ind w:firstLine="480" w:firstLineChars="200"/>
        <w:rPr>
          <w:rFonts w:ascii="宋体" w:hAnsi="宋体" w:eastAsia="宋体" w:cs="宋体"/>
          <w:b w:val="0"/>
          <w:sz w:val="24"/>
          <w:szCs w:val="24"/>
        </w:rPr>
      </w:pPr>
      <w:r>
        <w:rPr>
          <w:rFonts w:hint="eastAsia" w:ascii="宋体" w:hAnsi="宋体" w:eastAsia="宋体" w:cs="宋体"/>
          <w:b w:val="0"/>
          <w:sz w:val="24"/>
          <w:szCs w:val="24"/>
          <w:lang w:val="en-US" w:eastAsia="zh-CN"/>
        </w:rPr>
        <w:t>3.1</w:t>
      </w:r>
      <w:r>
        <w:rPr>
          <w:rFonts w:hint="eastAsia" w:ascii="宋体" w:hAnsi="宋体" w:eastAsia="宋体" w:cs="宋体"/>
          <w:b/>
          <w:bCs/>
          <w:sz w:val="24"/>
          <w:szCs w:val="24"/>
        </w:rPr>
        <w:t>报名截止时间：</w:t>
      </w:r>
      <w:r>
        <w:rPr>
          <w:rFonts w:hint="eastAsia" w:ascii="宋体" w:hAnsi="宋体" w:eastAsia="宋体" w:cs="宋体"/>
          <w:b w:val="0"/>
          <w:sz w:val="24"/>
          <w:szCs w:val="24"/>
          <w:lang w:val="en-US"/>
        </w:rPr>
        <w:t>2025年4月</w:t>
      </w:r>
      <w:r>
        <w:rPr>
          <w:rFonts w:hint="eastAsia" w:ascii="宋体" w:hAnsi="宋体" w:eastAsia="宋体" w:cs="宋体"/>
          <w:b w:val="0"/>
          <w:sz w:val="24"/>
          <w:szCs w:val="24"/>
          <w:u w:val="single"/>
          <w:lang w:val="en-US" w:eastAsia="zh-CN"/>
        </w:rPr>
        <w:t>18</w:t>
      </w:r>
      <w:r>
        <w:rPr>
          <w:rFonts w:hint="eastAsia" w:ascii="宋体" w:hAnsi="宋体" w:eastAsia="宋体" w:cs="宋体"/>
          <w:b w:val="0"/>
          <w:sz w:val="24"/>
          <w:szCs w:val="24"/>
          <w:lang w:val="en-US"/>
        </w:rPr>
        <w:t xml:space="preserve">日 </w:t>
      </w:r>
      <w:r>
        <w:rPr>
          <w:rFonts w:hint="eastAsia" w:ascii="宋体" w:hAnsi="宋体" w:eastAsia="宋体" w:cs="宋体"/>
          <w:b w:val="0"/>
          <w:sz w:val="24"/>
          <w:szCs w:val="24"/>
          <w:u w:val="single"/>
          <w:lang w:val="en-US" w:eastAsia="zh-CN"/>
        </w:rPr>
        <w:t>18：00</w:t>
      </w:r>
      <w:r>
        <w:rPr>
          <w:rFonts w:hint="eastAsia" w:ascii="宋体" w:hAnsi="宋体" w:eastAsia="宋体" w:cs="宋体"/>
          <w:b w:val="0"/>
          <w:sz w:val="24"/>
          <w:szCs w:val="24"/>
        </w:rPr>
        <w:t>（北京时间，若有变化另行通知）。</w:t>
      </w:r>
    </w:p>
    <w:p>
      <w:pPr>
        <w:pStyle w:val="46"/>
        <w:spacing w:line="360" w:lineRule="auto"/>
        <w:ind w:firstLine="480" w:firstLineChars="200"/>
        <w:rPr>
          <w:rFonts w:ascii="宋体" w:hAnsi="宋体" w:eastAsia="宋体" w:cs="宋体"/>
          <w:b w:val="0"/>
          <w:sz w:val="24"/>
          <w:szCs w:val="24"/>
        </w:rPr>
      </w:pPr>
      <w:r>
        <w:rPr>
          <w:rFonts w:hint="eastAsia" w:ascii="宋体" w:hAnsi="宋体" w:eastAsia="宋体" w:cs="宋体"/>
          <w:b w:val="0"/>
          <w:sz w:val="24"/>
          <w:szCs w:val="24"/>
          <w:lang w:val="en-US" w:eastAsia="zh-CN"/>
        </w:rPr>
        <w:t>3.2</w:t>
      </w:r>
      <w:r>
        <w:rPr>
          <w:rFonts w:hint="eastAsia" w:ascii="宋体" w:hAnsi="宋体" w:eastAsia="宋体" w:cs="宋体"/>
          <w:b/>
          <w:bCs/>
          <w:sz w:val="24"/>
          <w:szCs w:val="24"/>
        </w:rPr>
        <w:t>响应文件</w:t>
      </w:r>
      <w:r>
        <w:rPr>
          <w:rFonts w:hint="eastAsia" w:ascii="宋体" w:hAnsi="宋体" w:eastAsia="宋体" w:cs="宋体"/>
          <w:b/>
          <w:bCs/>
          <w:sz w:val="24"/>
          <w:szCs w:val="24"/>
          <w:lang w:val="en-US" w:eastAsia="zh-CN"/>
        </w:rPr>
        <w:t>递</w:t>
      </w:r>
      <w:r>
        <w:rPr>
          <w:rFonts w:hint="eastAsia" w:ascii="宋体" w:hAnsi="宋体" w:eastAsia="宋体" w:cs="宋体"/>
          <w:b/>
          <w:bCs/>
          <w:sz w:val="24"/>
          <w:szCs w:val="24"/>
        </w:rPr>
        <w:t>交截止时间：</w:t>
      </w:r>
      <w:r>
        <w:rPr>
          <w:rFonts w:hint="eastAsia" w:ascii="宋体" w:hAnsi="宋体" w:eastAsia="宋体" w:cs="宋体"/>
          <w:b w:val="0"/>
          <w:sz w:val="24"/>
          <w:szCs w:val="24"/>
          <w:lang w:val="en-US"/>
        </w:rPr>
        <w:t>2025年4月</w:t>
      </w:r>
      <w:r>
        <w:rPr>
          <w:rFonts w:hint="eastAsia" w:ascii="宋体" w:hAnsi="宋体" w:eastAsia="宋体" w:cs="宋体"/>
          <w:b w:val="0"/>
          <w:sz w:val="24"/>
          <w:szCs w:val="24"/>
          <w:u w:val="single"/>
          <w:lang w:val="en-US" w:eastAsia="zh-CN"/>
        </w:rPr>
        <w:t>24</w:t>
      </w:r>
      <w:r>
        <w:rPr>
          <w:rFonts w:hint="eastAsia" w:ascii="宋体" w:hAnsi="宋体" w:eastAsia="宋体" w:cs="宋体"/>
          <w:b w:val="0"/>
          <w:sz w:val="24"/>
          <w:szCs w:val="24"/>
          <w:lang w:val="en-US"/>
        </w:rPr>
        <w:t>日</w:t>
      </w:r>
      <w:r>
        <w:rPr>
          <w:rFonts w:hint="eastAsia" w:ascii="宋体" w:hAnsi="宋体" w:eastAsia="宋体" w:cs="宋体"/>
          <w:b w:val="0"/>
          <w:sz w:val="24"/>
          <w:szCs w:val="24"/>
          <w:u w:val="none"/>
          <w:lang w:val="en-US"/>
        </w:rPr>
        <w:t xml:space="preserve">10：00 </w:t>
      </w:r>
      <w:r>
        <w:rPr>
          <w:rFonts w:hint="eastAsia" w:ascii="宋体" w:hAnsi="宋体" w:eastAsia="宋体" w:cs="宋体"/>
          <w:b w:val="0"/>
          <w:sz w:val="24"/>
          <w:szCs w:val="24"/>
        </w:rPr>
        <w:t>（北京时间，若有变化另行通知）。</w:t>
      </w:r>
    </w:p>
    <w:p>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宋体"/>
          <w:b w:val="0"/>
          <w:sz w:val="24"/>
          <w:szCs w:val="24"/>
          <w:lang w:val="en-US" w:eastAsia="zh-CN"/>
        </w:rPr>
        <w:t>3.3</w:t>
      </w:r>
      <w:r>
        <w:rPr>
          <w:rFonts w:hint="eastAsia" w:ascii="宋体" w:hAnsi="宋体" w:eastAsia="宋体" w:cs="Times New Roman"/>
          <w:b/>
          <w:sz w:val="24"/>
          <w:szCs w:val="24"/>
        </w:rPr>
        <w:t>响应文件</w:t>
      </w:r>
      <w:r>
        <w:rPr>
          <w:rFonts w:hint="eastAsia" w:ascii="宋体" w:hAnsi="宋体" w:eastAsia="宋体" w:cs="Times New Roman"/>
          <w:b/>
          <w:sz w:val="24"/>
          <w:szCs w:val="24"/>
          <w:lang w:val="en-US" w:eastAsia="zh-CN"/>
        </w:rPr>
        <w:t>递</w:t>
      </w:r>
      <w:r>
        <w:rPr>
          <w:rFonts w:hint="eastAsia" w:ascii="宋体" w:hAnsi="宋体" w:eastAsia="宋体" w:cs="Times New Roman"/>
          <w:b/>
          <w:sz w:val="24"/>
          <w:szCs w:val="24"/>
        </w:rPr>
        <w:t>交地点：</w:t>
      </w:r>
      <w:r>
        <w:rPr>
          <w:rFonts w:hint="eastAsia" w:ascii="宋体" w:hAnsi="宋体" w:eastAsia="宋体" w:cs="Times New Roman"/>
          <w:sz w:val="24"/>
          <w:szCs w:val="24"/>
        </w:rPr>
        <w:t>云南省曲靖市沾益区</w:t>
      </w:r>
      <w:r>
        <w:rPr>
          <w:rFonts w:hint="eastAsia" w:ascii="宋体" w:hAnsi="宋体" w:eastAsia="宋体" w:cs="Times New Roman"/>
          <w:sz w:val="24"/>
          <w:szCs w:val="24"/>
          <w:lang w:val="en-US" w:eastAsia="zh-CN"/>
        </w:rPr>
        <w:t>白水镇</w:t>
      </w:r>
      <w:r>
        <w:rPr>
          <w:rFonts w:hint="eastAsia" w:ascii="宋体" w:hAnsi="宋体" w:eastAsia="宋体" w:cs="Times New Roman"/>
          <w:sz w:val="24"/>
          <w:szCs w:val="24"/>
        </w:rPr>
        <w:t>云南能投曲靖发电有限公司一号办公楼一楼会议室。</w:t>
      </w:r>
    </w:p>
    <w:p>
      <w:pPr>
        <w:adjustRightInd w:val="0"/>
        <w:snapToGrid w:val="0"/>
        <w:spacing w:line="360" w:lineRule="auto"/>
        <w:ind w:firstLine="482" w:firstLineChars="200"/>
        <w:rPr>
          <w:rFonts w:hint="eastAsia" w:ascii="宋体" w:hAnsi="宋体" w:eastAsia="宋体" w:cs="Times New Roman"/>
          <w:sz w:val="24"/>
          <w:szCs w:val="24"/>
          <w:lang w:val="en-US" w:eastAsia="zh-CN"/>
        </w:rPr>
      </w:pPr>
      <w:r>
        <w:rPr>
          <w:rFonts w:hint="eastAsia" w:ascii="宋体" w:hAnsi="宋体" w:eastAsia="宋体" w:cs="Times New Roman"/>
          <w:b/>
          <w:sz w:val="24"/>
          <w:szCs w:val="24"/>
          <w:lang w:val="en-US" w:eastAsia="zh-CN"/>
        </w:rPr>
        <w:t>3.4</w:t>
      </w:r>
      <w:r>
        <w:rPr>
          <w:rFonts w:hint="eastAsia" w:ascii="宋体" w:hAnsi="宋体" w:eastAsia="宋体" w:cs="Times New Roman"/>
          <w:b/>
          <w:sz w:val="24"/>
          <w:szCs w:val="24"/>
        </w:rPr>
        <w:t>响应文件</w:t>
      </w:r>
      <w:r>
        <w:rPr>
          <w:rFonts w:hint="eastAsia" w:ascii="宋体" w:hAnsi="宋体" w:eastAsia="宋体" w:cs="Times New Roman"/>
          <w:b/>
          <w:sz w:val="24"/>
          <w:szCs w:val="24"/>
          <w:lang w:val="en-US" w:eastAsia="zh-CN"/>
        </w:rPr>
        <w:t>递</w:t>
      </w:r>
      <w:r>
        <w:rPr>
          <w:rFonts w:hint="eastAsia" w:ascii="宋体" w:hAnsi="宋体" w:eastAsia="宋体" w:cs="Times New Roman"/>
          <w:b/>
          <w:sz w:val="24"/>
          <w:szCs w:val="24"/>
        </w:rPr>
        <w:t>交方式：</w:t>
      </w:r>
      <w:r>
        <w:rPr>
          <w:rFonts w:hint="eastAsia" w:ascii="宋体" w:hAnsi="宋体" w:eastAsia="宋体" w:cs="Times New Roman"/>
          <w:b w:val="0"/>
          <w:bCs/>
          <w:sz w:val="24"/>
          <w:szCs w:val="24"/>
          <w:lang w:val="en-US" w:eastAsia="zh-CN"/>
        </w:rPr>
        <w:t>现场提交或邮寄，现场提交的</w:t>
      </w:r>
      <w:r>
        <w:rPr>
          <w:rFonts w:hint="eastAsia" w:ascii="宋体" w:hAnsi="宋体" w:eastAsia="宋体" w:cs="Times New Roman"/>
          <w:sz w:val="24"/>
          <w:szCs w:val="24"/>
        </w:rPr>
        <w:t>应由服务商法定代表人或其委托代理人送达响应地点，</w:t>
      </w:r>
      <w:r>
        <w:rPr>
          <w:rFonts w:hint="eastAsia" w:ascii="宋体" w:hAnsi="宋体" w:eastAsia="宋体" w:cs="Times New Roman"/>
          <w:sz w:val="24"/>
          <w:szCs w:val="24"/>
          <w:lang w:val="en-US" w:eastAsia="zh-CN"/>
        </w:rPr>
        <w:t>邮寄提交的应充分考虑在途时间，确保在开标时间前送达开标地点。</w:t>
      </w:r>
      <w:r>
        <w:rPr>
          <w:rFonts w:hint="eastAsia" w:ascii="宋体" w:hAnsi="宋体" w:eastAsia="宋体" w:cs="Times New Roman"/>
          <w:sz w:val="24"/>
          <w:szCs w:val="24"/>
        </w:rPr>
        <w:t>逾期送达的或者未送达指定地点的响应文件，采购人将不予受理</w:t>
      </w:r>
      <w:r>
        <w:rPr>
          <w:rFonts w:hint="eastAsia" w:ascii="宋体" w:hAnsi="宋体" w:eastAsia="宋体" w:cs="Times New Roman"/>
          <w:sz w:val="24"/>
          <w:szCs w:val="24"/>
          <w:lang w:eastAsia="zh-CN"/>
        </w:rPr>
        <w:t>。</w:t>
      </w:r>
    </w:p>
    <w:p>
      <w:pPr>
        <w:adjustRightInd w:val="0"/>
        <w:snapToGrid w:val="0"/>
        <w:spacing w:line="360" w:lineRule="auto"/>
        <w:ind w:firstLine="482" w:firstLineChars="200"/>
        <w:rPr>
          <w:rFonts w:ascii="宋体" w:hAnsi="宋体" w:eastAsia="宋体" w:cs="Times New Roman"/>
          <w:sz w:val="24"/>
          <w:szCs w:val="24"/>
        </w:rPr>
      </w:pPr>
      <w:r>
        <w:rPr>
          <w:rFonts w:hint="eastAsia" w:ascii="宋体" w:hAnsi="宋体" w:eastAsia="宋体" w:cs="Times New Roman"/>
          <w:b/>
          <w:sz w:val="24"/>
          <w:szCs w:val="24"/>
          <w:lang w:val="en-US" w:eastAsia="zh-CN"/>
        </w:rPr>
        <w:t>3.5</w:t>
      </w:r>
      <w:r>
        <w:rPr>
          <w:rFonts w:hint="eastAsia" w:ascii="宋体" w:hAnsi="宋体" w:eastAsia="宋体" w:cs="Times New Roman"/>
          <w:b/>
          <w:sz w:val="24"/>
          <w:szCs w:val="24"/>
        </w:rPr>
        <w:t>响应文件的开启时间：</w:t>
      </w:r>
      <w:r>
        <w:rPr>
          <w:rFonts w:hint="eastAsia" w:ascii="宋体" w:hAnsi="宋体" w:eastAsia="宋体" w:cs="Times New Roman"/>
          <w:sz w:val="24"/>
          <w:szCs w:val="24"/>
        </w:rPr>
        <w:t>同响应</w:t>
      </w:r>
      <w:r>
        <w:rPr>
          <w:rFonts w:hint="eastAsia" w:ascii="宋体" w:hAnsi="宋体" w:eastAsia="宋体" w:cs="Times New Roman"/>
          <w:sz w:val="24"/>
          <w:szCs w:val="24"/>
          <w:lang w:val="en-US" w:eastAsia="zh-CN"/>
        </w:rPr>
        <w:t>文件递交</w:t>
      </w:r>
      <w:r>
        <w:rPr>
          <w:rFonts w:hint="eastAsia" w:ascii="宋体" w:hAnsi="宋体" w:eastAsia="宋体" w:cs="Times New Roman"/>
          <w:sz w:val="24"/>
          <w:szCs w:val="24"/>
        </w:rPr>
        <w:t>截止时间。</w:t>
      </w:r>
    </w:p>
    <w:p>
      <w:pPr>
        <w:adjustRightInd w:val="0"/>
        <w:snapToGrid w:val="0"/>
        <w:spacing w:line="360" w:lineRule="auto"/>
        <w:ind w:firstLine="482" w:firstLineChars="200"/>
        <w:rPr>
          <w:rFonts w:ascii="宋体" w:hAnsi="宋体" w:eastAsia="宋体" w:cs="Times New Roman"/>
          <w:sz w:val="24"/>
          <w:szCs w:val="24"/>
        </w:rPr>
      </w:pPr>
      <w:r>
        <w:rPr>
          <w:rFonts w:hint="eastAsia" w:ascii="宋体" w:hAnsi="宋体" w:eastAsia="宋体" w:cs="Times New Roman"/>
          <w:b/>
          <w:sz w:val="24"/>
          <w:szCs w:val="24"/>
          <w:lang w:val="en-US" w:eastAsia="zh-CN"/>
        </w:rPr>
        <w:t>3.6</w:t>
      </w:r>
      <w:r>
        <w:rPr>
          <w:rFonts w:hint="eastAsia" w:ascii="宋体" w:hAnsi="宋体" w:eastAsia="宋体" w:cs="Times New Roman"/>
          <w:b/>
          <w:sz w:val="24"/>
          <w:szCs w:val="24"/>
        </w:rPr>
        <w:t>响应文件的开启地点：</w:t>
      </w:r>
      <w:r>
        <w:rPr>
          <w:rFonts w:hint="eastAsia" w:ascii="宋体" w:hAnsi="宋体" w:eastAsia="宋体" w:cs="Times New Roman"/>
          <w:sz w:val="24"/>
          <w:szCs w:val="24"/>
        </w:rPr>
        <w:t>同响应文件递交地点。</w:t>
      </w:r>
    </w:p>
    <w:p>
      <w:pPr>
        <w:adjustRightInd w:val="0"/>
        <w:snapToGrid w:val="0"/>
        <w:spacing w:line="360" w:lineRule="auto"/>
        <w:rPr>
          <w:rFonts w:ascii="宋体" w:hAnsi="宋体" w:eastAsia="宋体" w:cs="Times New Roman"/>
          <w:b/>
          <w:sz w:val="24"/>
          <w:szCs w:val="24"/>
        </w:rPr>
      </w:pPr>
      <w:bookmarkStart w:id="6" w:name="_Toc319253025"/>
      <w:bookmarkStart w:id="7" w:name="_Toc319253181"/>
      <w:r>
        <w:rPr>
          <w:rFonts w:hint="eastAsia" w:ascii="宋体" w:hAnsi="宋体" w:eastAsia="宋体" w:cs="Times New Roman"/>
          <w:b/>
          <w:sz w:val="24"/>
          <w:szCs w:val="24"/>
          <w:lang w:val="en-US" w:eastAsia="zh-CN"/>
        </w:rPr>
        <w:t>4</w:t>
      </w:r>
      <w:r>
        <w:rPr>
          <w:rFonts w:hint="eastAsia" w:ascii="宋体" w:hAnsi="宋体" w:eastAsia="宋体" w:cs="Times New Roman"/>
          <w:b/>
          <w:sz w:val="24"/>
          <w:szCs w:val="24"/>
        </w:rPr>
        <w:t>．联系方式</w:t>
      </w:r>
      <w:bookmarkEnd w:id="6"/>
      <w:bookmarkEnd w:id="7"/>
    </w:p>
    <w:p>
      <w:pPr>
        <w:adjustRightInd w:val="0"/>
        <w:snapToGrid w:val="0"/>
        <w:spacing w:line="360"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rPr>
        <w:t>采购人：云南能投曲靖发电有限公司</w:t>
      </w:r>
    </w:p>
    <w:p>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地址：云南省曲靖市沾益区白水镇</w:t>
      </w:r>
    </w:p>
    <w:p>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商务联系人：贾艳艳</w:t>
      </w:r>
    </w:p>
    <w:p>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电话：15331582275</w:t>
      </w:r>
    </w:p>
    <w:p>
      <w:pPr>
        <w:adjustRightInd w:val="0"/>
        <w:snapToGrid w:val="0"/>
        <w:spacing w:line="360" w:lineRule="auto"/>
        <w:ind w:firstLine="480" w:firstLineChars="20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邮箱：120299058@qq.com</w:t>
      </w:r>
    </w:p>
    <w:p>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技术联系人：顾上成</w:t>
      </w:r>
    </w:p>
    <w:p>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电话：0874-3081458</w:t>
      </w:r>
      <w:r>
        <w:rPr>
          <w:rFonts w:hint="eastAsia" w:ascii="Times New Roman" w:hAnsi="Times New Roman" w:eastAsia="宋体" w:cs="Times New Roman"/>
          <w:sz w:val="24"/>
          <w:szCs w:val="24"/>
        </w:rPr>
        <w:t>、</w:t>
      </w:r>
      <w:r>
        <w:rPr>
          <w:rFonts w:hint="eastAsia" w:ascii="宋体" w:hAnsi="宋体" w:eastAsia="宋体" w:cs="Times New Roman"/>
          <w:sz w:val="24"/>
          <w:szCs w:val="24"/>
        </w:rPr>
        <w:t>18182960516</w:t>
      </w:r>
    </w:p>
    <w:p>
      <w:pPr>
        <w:widowControl/>
        <w:adjustRightInd w:val="0"/>
        <w:snapToGrid w:val="0"/>
        <w:spacing w:line="360" w:lineRule="auto"/>
        <w:jc w:val="left"/>
        <w:rPr>
          <w:rFonts w:hint="eastAsia" w:ascii="宋体" w:hAnsi="宋体" w:eastAsia="宋体" w:cs="Times New Roman"/>
          <w:b/>
          <w:color w:val="auto"/>
          <w:sz w:val="24"/>
          <w:szCs w:val="24"/>
          <w:lang w:val="en-US" w:eastAsia="zh-CN"/>
        </w:rPr>
      </w:pPr>
      <w:r>
        <w:rPr>
          <w:rFonts w:hint="eastAsia" w:ascii="宋体" w:hAnsi="宋体" w:eastAsia="宋体" w:cs="Times New Roman"/>
          <w:b/>
          <w:sz w:val="24"/>
          <w:szCs w:val="24"/>
          <w:lang w:val="en-US" w:eastAsia="zh-CN"/>
        </w:rPr>
        <w:t>5.</w:t>
      </w:r>
      <w:r>
        <w:rPr>
          <w:rFonts w:hint="eastAsia" w:ascii="宋体" w:hAnsi="宋体" w:eastAsia="宋体" w:cs="Times New Roman"/>
          <w:b/>
          <w:color w:val="auto"/>
          <w:sz w:val="24"/>
          <w:szCs w:val="24"/>
          <w:lang w:val="en-US" w:eastAsia="zh-CN"/>
        </w:rPr>
        <w:t>收件地址</w:t>
      </w:r>
    </w:p>
    <w:p>
      <w:pPr>
        <w:widowControl/>
        <w:adjustRightInd w:val="0"/>
        <w:snapToGrid w:val="0"/>
        <w:spacing w:line="360" w:lineRule="auto"/>
        <w:ind w:firstLine="240" w:firstLineChars="100"/>
        <w:jc w:val="left"/>
        <w:rPr>
          <w:rFonts w:hint="eastAsia" w:ascii="宋体" w:hAnsi="宋体" w:eastAsia="宋体" w:cs="Times New Roman"/>
          <w:sz w:val="24"/>
          <w:szCs w:val="24"/>
          <w:lang w:val="en-US" w:eastAsia="zh-CN"/>
        </w:rPr>
      </w:pPr>
      <w:r>
        <w:rPr>
          <w:rFonts w:hint="eastAsia" w:ascii="宋体" w:hAnsi="宋体" w:eastAsia="宋体" w:cs="Times New Roman"/>
          <w:color w:val="auto"/>
          <w:sz w:val="24"/>
          <w:szCs w:val="24"/>
          <w:lang w:val="en-US" w:eastAsia="zh-CN"/>
        </w:rPr>
        <w:t>收件人：贾艳艳</w:t>
      </w:r>
    </w:p>
    <w:p>
      <w:pPr>
        <w:widowControl/>
        <w:adjustRightInd w:val="0"/>
        <w:snapToGrid w:val="0"/>
        <w:spacing w:line="360" w:lineRule="auto"/>
        <w:ind w:firstLine="240" w:firstLineChars="100"/>
        <w:jc w:val="left"/>
        <w:rPr>
          <w:rFonts w:hint="default" w:ascii="宋体" w:hAnsi="宋体" w:eastAsia="宋体" w:cs="Times New Roman"/>
          <w:color w:val="auto"/>
          <w:sz w:val="24"/>
          <w:szCs w:val="24"/>
          <w:lang w:val="en-US" w:eastAsia="zh-CN"/>
        </w:rPr>
      </w:pPr>
      <w:r>
        <w:rPr>
          <w:rFonts w:hint="eastAsia" w:ascii="宋体" w:hAnsi="宋体" w:eastAsia="宋体" w:cs="Times New Roman"/>
          <w:sz w:val="24"/>
          <w:szCs w:val="24"/>
          <w:lang w:val="en-US" w:eastAsia="zh-CN"/>
        </w:rPr>
        <w:t>电话：15331582275</w:t>
      </w:r>
    </w:p>
    <w:p>
      <w:pPr>
        <w:widowControl/>
        <w:adjustRightInd w:val="0"/>
        <w:snapToGrid w:val="0"/>
        <w:spacing w:line="360" w:lineRule="auto"/>
        <w:ind w:firstLine="240" w:firstLineChars="100"/>
        <w:jc w:val="left"/>
        <w:rPr>
          <w:rFonts w:ascii="宋体" w:hAnsi="宋体" w:eastAsia="宋体" w:cs="宋体"/>
          <w:b/>
          <w:bCs/>
          <w:color w:val="000000" w:themeColor="text1"/>
          <w:kern w:val="44"/>
          <w:sz w:val="32"/>
          <w:szCs w:val="32"/>
          <w14:textFill>
            <w14:solidFill>
              <w14:schemeClr w14:val="tx1"/>
            </w14:solidFill>
          </w14:textFill>
        </w:rPr>
      </w:pPr>
      <w:r>
        <w:rPr>
          <w:rFonts w:hint="eastAsia" w:ascii="宋体" w:hAnsi="宋体" w:eastAsia="宋体" w:cs="Times New Roman"/>
          <w:color w:val="auto"/>
          <w:sz w:val="24"/>
          <w:szCs w:val="24"/>
          <w:lang w:val="en-US" w:eastAsia="zh-CN"/>
        </w:rPr>
        <w:t>收件地址：云南省曲靖市沾益区白水镇云南能投曲靖发电有限公司</w:t>
      </w:r>
      <w:r>
        <w:rPr>
          <w:rFonts w:hint="eastAsia" w:ascii="宋体" w:hAnsi="宋体" w:eastAsia="宋体" w:cs="宋体"/>
          <w:color w:val="000000" w:themeColor="text1"/>
          <w:sz w:val="32"/>
          <w:szCs w:val="32"/>
          <w14:textFill>
            <w14:solidFill>
              <w14:schemeClr w14:val="tx1"/>
            </w14:solidFill>
          </w14:textFill>
        </w:rPr>
        <w:br w:type="page"/>
      </w:r>
    </w:p>
    <w:p>
      <w:pPr>
        <w:pStyle w:val="3"/>
        <w:jc w:val="center"/>
        <w:rPr>
          <w:rFonts w:ascii="宋体" w:hAnsi="宋体" w:eastAsia="宋体" w:cs="宋体"/>
          <w:color w:val="000000" w:themeColor="text1"/>
          <w:sz w:val="32"/>
          <w:szCs w:val="32"/>
          <w14:textFill>
            <w14:solidFill>
              <w14:schemeClr w14:val="tx1"/>
            </w14:solidFill>
          </w14:textFill>
        </w:rPr>
      </w:pPr>
      <w:bookmarkStart w:id="8" w:name="_Toc78019891"/>
      <w:bookmarkStart w:id="9" w:name="_Toc20489"/>
      <w:r>
        <w:rPr>
          <w:rFonts w:hint="eastAsia" w:ascii="宋体" w:hAnsi="宋体" w:eastAsia="宋体" w:cs="宋体"/>
          <w:color w:val="000000" w:themeColor="text1"/>
          <w:sz w:val="32"/>
          <w:szCs w:val="32"/>
          <w14:textFill>
            <w14:solidFill>
              <w14:schemeClr w14:val="tx1"/>
            </w14:solidFill>
          </w14:textFill>
        </w:rPr>
        <w:t>第二章 竞争性服务商须知</w:t>
      </w:r>
      <w:bookmarkEnd w:id="8"/>
      <w:bookmarkEnd w:id="9"/>
    </w:p>
    <w:tbl>
      <w:tblPr>
        <w:tblStyle w:val="39"/>
        <w:tblW w:w="9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814"/>
        <w:gridCol w:w="6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1022" w:type="dxa"/>
            <w:vAlign w:val="center"/>
          </w:tcPr>
          <w:p>
            <w:pPr>
              <w:spacing w:line="360" w:lineRule="auto"/>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条款号</w:t>
            </w:r>
          </w:p>
        </w:tc>
        <w:tc>
          <w:tcPr>
            <w:tcW w:w="1814" w:type="dxa"/>
            <w:vAlign w:val="center"/>
          </w:tcPr>
          <w:p>
            <w:pPr>
              <w:spacing w:line="360" w:lineRule="auto"/>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条款内容</w:t>
            </w:r>
          </w:p>
        </w:tc>
        <w:tc>
          <w:tcPr>
            <w:tcW w:w="6365" w:type="dxa"/>
            <w:vAlign w:val="center"/>
          </w:tcPr>
          <w:p>
            <w:pPr>
              <w:spacing w:line="360" w:lineRule="auto"/>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1.2.2</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服务商资格要求</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见第一章 竞争性谈判采购公告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1.7.1</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踏勘现场</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0052"/>
            </w:r>
            <w:r>
              <w:rPr>
                <w:rFonts w:hint="eastAsia" w:ascii="宋体" w:hAnsi="宋体" w:eastAsia="宋体" w:cs="宋体"/>
                <w:color w:val="000000" w:themeColor="text1"/>
                <w:szCs w:val="21"/>
                <w14:textFill>
                  <w14:solidFill>
                    <w14:schemeClr w14:val="tx1"/>
                  </w14:solidFill>
                </w14:textFill>
              </w:rPr>
              <w:t>不组织</w:t>
            </w:r>
          </w:p>
          <w:p>
            <w:pPr>
              <w:spacing w:line="360" w:lineRule="auto"/>
              <w:rPr>
                <w:rFonts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1.8</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谈判采购预备会</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0052"/>
            </w:r>
            <w:r>
              <w:rPr>
                <w:rFonts w:hint="eastAsia" w:ascii="宋体" w:hAnsi="宋体" w:eastAsia="宋体" w:cs="宋体"/>
                <w:color w:val="000000" w:themeColor="text1"/>
                <w:szCs w:val="21"/>
                <w14:textFill>
                  <w14:solidFill>
                    <w14:schemeClr w14:val="tx1"/>
                  </w14:solidFill>
                </w14:textFill>
              </w:rPr>
              <w:t>不召开</w:t>
            </w:r>
          </w:p>
          <w:p>
            <w:pPr>
              <w:spacing w:line="360" w:lineRule="auto"/>
              <w:rPr>
                <w:rFonts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1.9</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分包</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0052"/>
            </w:r>
            <w:r>
              <w:rPr>
                <w:rFonts w:hint="eastAsia" w:ascii="宋体" w:hAnsi="宋体" w:eastAsia="宋体" w:cs="宋体"/>
                <w:color w:val="000000" w:themeColor="text1"/>
                <w:szCs w:val="21"/>
                <w14:textFill>
                  <w14:solidFill>
                    <w14:schemeClr w14:val="tx1"/>
                  </w14:solidFill>
                </w14:textFill>
              </w:rPr>
              <w:t>不允许</w:t>
            </w:r>
          </w:p>
          <w:p>
            <w:pPr>
              <w:spacing w:line="360" w:lineRule="auto"/>
              <w:rPr>
                <w:rFonts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1.10.2</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对关键条款的偏差</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0052"/>
            </w:r>
            <w:r>
              <w:rPr>
                <w:rFonts w:hint="eastAsia" w:ascii="宋体" w:hAnsi="宋体" w:eastAsia="宋体" w:cs="宋体"/>
                <w:color w:val="000000" w:themeColor="text1"/>
                <w:szCs w:val="21"/>
                <w14:textFill>
                  <w14:solidFill>
                    <w14:schemeClr w14:val="tx1"/>
                  </w14:solidFill>
                </w14:textFill>
              </w:rPr>
              <w:t>不允许</w:t>
            </w:r>
          </w:p>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□允许，</w:t>
            </w:r>
          </w:p>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允许偏差的范围：</w:t>
            </w:r>
            <w:r>
              <w:rPr>
                <w:rFonts w:hint="eastAsia" w:ascii="宋体" w:hAnsi="宋体" w:eastAsia="宋体" w:cs="宋体"/>
                <w:color w:val="000000" w:themeColor="text1"/>
                <w:szCs w:val="21"/>
                <w:u w:val="single"/>
                <w14:textFill>
                  <w14:solidFill>
                    <w14:schemeClr w14:val="tx1"/>
                  </w14:solidFill>
                </w14:textFill>
              </w:rPr>
              <w:t xml:space="preserve">           </w:t>
            </w:r>
          </w:p>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允许偏差的项数：</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2.1</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构成采购文件的其他资料</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资料名称：</w:t>
            </w:r>
            <w:r>
              <w:rPr>
                <w:rFonts w:hint="eastAsia" w:ascii="宋体" w:hAnsi="宋体" w:eastAsia="宋体" w:cs="宋体"/>
                <w:color w:val="000000" w:themeColor="text1"/>
                <w:szCs w:val="21"/>
                <w:u w:val="single"/>
                <w14:textFill>
                  <w14:solidFill>
                    <w14:schemeClr w14:val="tx1"/>
                  </w14:solidFill>
                </w14:textFill>
              </w:rPr>
              <w:t xml:space="preserve">补遗、答疑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2.2.1</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服务商要求澄清采购文件的时间</w:t>
            </w:r>
          </w:p>
        </w:tc>
        <w:tc>
          <w:tcPr>
            <w:tcW w:w="6365" w:type="dxa"/>
            <w:vAlign w:val="center"/>
          </w:tcPr>
          <w:p>
            <w:pPr>
              <w:spacing w:line="360" w:lineRule="auto"/>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在提交响应文件截止时间</w:t>
            </w:r>
            <w:r>
              <w:rPr>
                <w:rFonts w:hint="eastAsia" w:ascii="宋体" w:hAnsi="宋体" w:eastAsia="宋体" w:cs="宋体"/>
                <w:color w:val="000000" w:themeColor="text1"/>
                <w:szCs w:val="21"/>
                <w:u w:val="single"/>
                <w14:textFill>
                  <w14:solidFill>
                    <w14:schemeClr w14:val="tx1"/>
                  </w14:solidFill>
                </w14:textFill>
              </w:rPr>
              <w:t xml:space="preserve"> 3日 </w:t>
            </w:r>
            <w:r>
              <w:rPr>
                <w:rFonts w:hint="eastAsia" w:ascii="宋体" w:hAnsi="宋体" w:eastAsia="宋体" w:cs="宋体"/>
                <w:color w:val="000000" w:themeColor="text1"/>
                <w:szCs w:val="21"/>
                <w14:textFill>
                  <w14:solidFill>
                    <w14:schemeClr w14:val="tx1"/>
                  </w14:solidFill>
                </w14:textFill>
              </w:rPr>
              <w:t>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2.2.2</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采购人澄清或修改采购文件</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采购人可根据服务商的要求或主动对采购文件进行澄清或修改。澄清或修改的内容以补充文件的形式发给所有获取采购文件的服务商。采购人可视具体情况在补充文件中通知服务商推迟递交响应文件的截止时间。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2.2.3</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服务商确认收到采购文件补充文件</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确认的最晚时间：</w:t>
            </w:r>
            <w:r>
              <w:rPr>
                <w:rFonts w:hint="eastAsia" w:ascii="宋体" w:hAnsi="宋体" w:eastAsia="宋体" w:cs="宋体"/>
                <w:color w:val="000000" w:themeColor="text1"/>
                <w:szCs w:val="21"/>
                <w:u w:val="single"/>
                <w14:textFill>
                  <w14:solidFill>
                    <w14:schemeClr w14:val="tx1"/>
                  </w14:solidFill>
                </w14:textFill>
              </w:rPr>
              <w:t>响应截止时间3日前</w:t>
            </w:r>
          </w:p>
          <w:p>
            <w:pPr>
              <w:spacing w:line="360" w:lineRule="auto"/>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确认的方式：</w:t>
            </w:r>
            <w:r>
              <w:rPr>
                <w:rFonts w:hint="eastAsia" w:ascii="宋体" w:hAnsi="宋体" w:eastAsia="宋体" w:cs="宋体"/>
                <w:color w:val="000000" w:themeColor="text1"/>
                <w:szCs w:val="21"/>
                <w:lang w:val="en-US" w:eastAsia="zh-CN"/>
                <w14:textFill>
                  <w14:solidFill>
                    <w14:schemeClr w14:val="tx1"/>
                  </w14:solidFill>
                </w14:textFill>
              </w:rPr>
              <w:t>采购人通过邮件方式向</w:t>
            </w:r>
            <w:r>
              <w:rPr>
                <w:rFonts w:hint="eastAsia" w:ascii="宋体" w:hAnsi="宋体" w:eastAsia="宋体" w:cs="宋体"/>
                <w:color w:val="000000" w:themeColor="text1"/>
                <w:szCs w:val="21"/>
                <w14:textFill>
                  <w14:solidFill>
                    <w14:schemeClr w14:val="tx1"/>
                  </w14:solidFill>
                </w14:textFill>
              </w:rPr>
              <w:t>所有报名服务商发出澄清或修改文件，服务商及时查阅澄清或修改文件。如未及时查阅或查看的，视为已签收。由于服务商原因未查阅或查看的，造成的后果由服务商自行负责。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3.1.1</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构成响应文件的其他资料</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服务商在竞争性谈判采购文件要求提交响应文件的截止日期前，提交的对响应文件的修改、补充部分以及服务商对谈判小组提出问题所做出的书面澄清。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3.2.2</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采购标的数量增减幅度</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3.2.3</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最高限价</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0052"/>
            </w:r>
            <w:r>
              <w:rPr>
                <w:rFonts w:hint="eastAsia" w:ascii="宋体" w:hAnsi="宋体" w:eastAsia="宋体" w:cs="宋体"/>
                <w:color w:val="000000" w:themeColor="text1"/>
                <w:szCs w:val="21"/>
                <w14:textFill>
                  <w14:solidFill>
                    <w14:schemeClr w14:val="tx1"/>
                  </w14:solidFill>
                </w14:textFill>
              </w:rPr>
              <w:t>无，本项目无最高限价</w:t>
            </w:r>
          </w:p>
          <w:p>
            <w:pPr>
              <w:spacing w:line="360" w:lineRule="auto"/>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szCs w:val="21"/>
              </w:rPr>
              <w:sym w:font="Wingdings 2" w:char="00A3"/>
            </w:r>
            <w:r>
              <w:rPr>
                <w:rFonts w:hint="eastAsia" w:ascii="宋体" w:hAnsi="宋体" w:eastAsia="宋体" w:cs="宋体"/>
                <w:szCs w:val="21"/>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3.2.4</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报价其他要求</w:t>
            </w:r>
          </w:p>
        </w:tc>
        <w:tc>
          <w:tcPr>
            <w:tcW w:w="6365" w:type="dxa"/>
            <w:vAlign w:val="center"/>
          </w:tcPr>
          <w:p>
            <w:pPr>
              <w:spacing w:line="360" w:lineRule="auto"/>
              <w:rPr>
                <w:rFonts w:ascii="宋体" w:hAnsi="宋体" w:cs="宋体"/>
                <w:color w:val="000000" w:themeColor="text1"/>
                <w:szCs w:val="21"/>
                <w14:textFill>
                  <w14:solidFill>
                    <w14:schemeClr w14:val="tx1"/>
                  </w14:solidFill>
                </w14:textFill>
              </w:rPr>
            </w:pPr>
            <w:r>
              <w:rPr>
                <w:rFonts w:hint="eastAsia" w:ascii="宋体" w:hAnsi="宋体" w:eastAsia="宋体" w:cs="宋体"/>
                <w:b/>
                <w:szCs w:val="21"/>
              </w:rPr>
              <w:t>本次报价为固定</w:t>
            </w:r>
            <w:r>
              <w:rPr>
                <w:rFonts w:hint="eastAsia" w:ascii="宋体" w:hAnsi="宋体" w:eastAsia="宋体" w:cs="宋体"/>
                <w:b/>
                <w:szCs w:val="21"/>
                <w:lang w:val="en-US" w:eastAsia="zh-CN"/>
              </w:rPr>
              <w:t>总</w:t>
            </w:r>
            <w:r>
              <w:rPr>
                <w:rFonts w:hint="eastAsia" w:ascii="宋体" w:hAnsi="宋体" w:eastAsia="宋体" w:cs="宋体"/>
                <w:b/>
                <w:szCs w:val="21"/>
              </w:rPr>
              <w:t>价。</w:t>
            </w:r>
            <w:r>
              <w:rPr>
                <w:rFonts w:hint="eastAsia" w:ascii="宋体" w:hAnsi="宋体" w:eastAsia="宋体" w:cs="宋体"/>
                <w:szCs w:val="21"/>
              </w:rPr>
              <w:t>报价</w:t>
            </w:r>
            <w:r>
              <w:rPr>
                <w:rFonts w:hint="eastAsia" w:ascii="宋体" w:hAnsi="宋体" w:eastAsia="宋体" w:cs="Times New Roman"/>
                <w:szCs w:val="28"/>
              </w:rPr>
              <w:t>包含可行性研究报告编制费、办公费、差旅费、资料费、人工费、税金、利润等发生的一切费用，在合同有效期内合同价格固定不变</w:t>
            </w: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3.3.1</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响应有效期</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响应文件递交截止时间后的90个日历天内有效。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3.4.1</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响应保证金</w:t>
            </w:r>
          </w:p>
        </w:tc>
        <w:tc>
          <w:tcPr>
            <w:tcW w:w="6365" w:type="dxa"/>
            <w:vAlign w:val="center"/>
          </w:tcPr>
          <w:p>
            <w:pPr>
              <w:spacing w:line="360" w:lineRule="auto"/>
              <w:rPr>
                <w:rFonts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不要求递交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3.4.2</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退还响应保证金的时间</w:t>
            </w:r>
          </w:p>
        </w:tc>
        <w:tc>
          <w:tcPr>
            <w:tcW w:w="6365" w:type="dxa"/>
            <w:vAlign w:val="center"/>
          </w:tcPr>
          <w:p>
            <w:pPr>
              <w:spacing w:line="360" w:lineRule="auto"/>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3.4.3</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不退还响应保证金的其他情形</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3.5（1）</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依法设立的证明材料</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服务商应提供市场监管部门或其他行政机关颁发的可以合法开展业务的执照或证书复印件。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3.5（2）</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资质要求证明材料</w:t>
            </w:r>
          </w:p>
        </w:tc>
        <w:tc>
          <w:tcPr>
            <w:tcW w:w="6365" w:type="dxa"/>
            <w:vAlign w:val="center"/>
          </w:tcPr>
          <w:p>
            <w:pPr>
              <w:spacing w:line="360" w:lineRule="auto"/>
              <w:ind w:firstLine="210" w:firstLineChars="100"/>
              <w:rPr>
                <w:rFonts w:ascii="宋体" w:hAnsi="宋体" w:eastAsia="宋体" w:cs="宋体"/>
                <w:color w:val="000000"/>
                <w:szCs w:val="21"/>
              </w:rPr>
            </w:pPr>
            <w:r>
              <w:rPr>
                <w:rFonts w:hint="eastAsia" w:ascii="宋体" w:hAnsi="宋体" w:eastAsia="宋体" w:cs="宋体"/>
                <w:color w:val="000000"/>
                <w:szCs w:val="21"/>
              </w:rPr>
              <w:sym w:font="Wingdings 2" w:char="00A3"/>
            </w:r>
            <w:r>
              <w:rPr>
                <w:rFonts w:hint="eastAsia" w:ascii="宋体" w:hAnsi="宋体" w:eastAsia="宋体" w:cs="宋体"/>
                <w:color w:val="000000"/>
                <w:szCs w:val="21"/>
              </w:rPr>
              <w:t>不适用</w:t>
            </w:r>
          </w:p>
          <w:p>
            <w:pPr>
              <w:spacing w:line="360" w:lineRule="auto"/>
              <w:ind w:firstLine="210" w:firstLine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0052"/>
            </w:r>
            <w:r>
              <w:rPr>
                <w:rFonts w:hint="eastAsia" w:ascii="宋体" w:hAnsi="宋体" w:eastAsia="宋体" w:cs="宋体"/>
                <w:color w:val="000000" w:themeColor="text1"/>
                <w:szCs w:val="21"/>
                <w14:textFill>
                  <w14:solidFill>
                    <w14:schemeClr w14:val="tx1"/>
                  </w14:solidFill>
                </w14:textFill>
              </w:rPr>
              <w:t>适用。服务商应提供相关执业证书的扫描件，以证明服务商具有承担本项目要求的执业资格</w:t>
            </w:r>
          </w:p>
          <w:p>
            <w:pPr>
              <w:spacing w:line="360" w:lineRule="auto"/>
              <w:rPr>
                <w:rFonts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资质证书包括：</w:t>
            </w:r>
            <w:r>
              <w:rPr>
                <w:rFonts w:hint="eastAsia" w:ascii="宋体" w:hAnsi="宋体" w:eastAsia="宋体" w:cs="宋体"/>
                <w:color w:val="000000" w:themeColor="text1"/>
                <w:szCs w:val="21"/>
                <w:u w:val="single"/>
                <w14:textFill>
                  <w14:solidFill>
                    <w14:schemeClr w14:val="tx1"/>
                  </w14:solidFill>
                </w14:textFill>
              </w:rPr>
              <w:t>同竞争性谈判采购公告要求一致。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3.5（4）</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业绩要求证明材料</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□不适用</w:t>
            </w:r>
          </w:p>
          <w:p>
            <w:pPr>
              <w:spacing w:line="360" w:lineRule="auto"/>
              <w:rPr>
                <w:rFonts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sym w:font="Wingdings 2" w:char="0052"/>
            </w:r>
            <w:r>
              <w:rPr>
                <w:rFonts w:hint="eastAsia" w:ascii="宋体" w:hAnsi="宋体" w:eastAsia="宋体" w:cs="宋体"/>
                <w:color w:val="000000" w:themeColor="text1"/>
                <w:szCs w:val="21"/>
                <w14:textFill>
                  <w14:solidFill>
                    <w14:schemeClr w14:val="tx1"/>
                  </w14:solidFill>
                </w14:textFill>
              </w:rPr>
              <w:t>适用：</w:t>
            </w:r>
            <w:r>
              <w:rPr>
                <w:rFonts w:hint="eastAsia" w:ascii="宋体" w:hAnsi="宋体" w:eastAsia="宋体" w:cs="宋体"/>
                <w:color w:val="000000" w:themeColor="text1"/>
                <w:szCs w:val="21"/>
                <w:u w:val="single"/>
                <w14:textFill>
                  <w14:solidFill>
                    <w14:schemeClr w14:val="tx1"/>
                  </w14:solidFill>
                </w14:textFill>
              </w:rPr>
              <w:t>同竞争性谈判采购公告要求一致。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3.5（5）</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承担本项目的项目经理（或设计总工程师）要求证明材料</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00A3"/>
            </w:r>
            <w:r>
              <w:rPr>
                <w:rFonts w:hint="eastAsia" w:ascii="宋体" w:hAnsi="宋体" w:eastAsia="宋体" w:cs="宋体"/>
                <w:color w:val="000000" w:themeColor="text1"/>
                <w:szCs w:val="21"/>
                <w14:textFill>
                  <w14:solidFill>
                    <w14:schemeClr w14:val="tx1"/>
                  </w14:solidFill>
                </w14:textFill>
              </w:rPr>
              <w:t>不适用</w:t>
            </w:r>
          </w:p>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0052"/>
            </w:r>
            <w:r>
              <w:rPr>
                <w:rFonts w:hint="eastAsia" w:ascii="宋体" w:hAnsi="宋体" w:eastAsia="宋体" w:cs="宋体"/>
                <w:color w:val="000000" w:themeColor="text1"/>
                <w:szCs w:val="21"/>
                <w14:textFill>
                  <w14:solidFill>
                    <w14:schemeClr w14:val="tx1"/>
                  </w14:solidFill>
                </w14:textFill>
              </w:rPr>
              <w:t>适用：同竞争性谈判采购公告要求一致。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3.5（6）</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其他要求的证明材料</w:t>
            </w:r>
          </w:p>
        </w:tc>
        <w:tc>
          <w:tcPr>
            <w:tcW w:w="6365" w:type="dxa"/>
            <w:vAlign w:val="center"/>
          </w:tcPr>
          <w:p>
            <w:pPr>
              <w:spacing w:line="360" w:lineRule="auto"/>
              <w:ind w:firstLine="210" w:firstLine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3.5（7）</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联合体要求的证明材料</w:t>
            </w:r>
          </w:p>
        </w:tc>
        <w:tc>
          <w:tcPr>
            <w:tcW w:w="6365" w:type="dxa"/>
            <w:vAlign w:val="center"/>
          </w:tcPr>
          <w:p>
            <w:pPr>
              <w:spacing w:line="360" w:lineRule="auto"/>
              <w:ind w:firstLine="210" w:firstLine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0052"/>
            </w:r>
            <w:r>
              <w:rPr>
                <w:rFonts w:hint="eastAsia" w:ascii="宋体" w:hAnsi="宋体" w:eastAsia="宋体" w:cs="宋体"/>
                <w:color w:val="000000" w:themeColor="text1"/>
                <w:szCs w:val="21"/>
                <w14:textFill>
                  <w14:solidFill>
                    <w14:schemeClr w14:val="tx1"/>
                  </w14:solidFill>
                </w14:textFill>
              </w:rPr>
              <w:t>不适用：本项目不接受联合体响应</w:t>
            </w:r>
          </w:p>
          <w:p>
            <w:pPr>
              <w:spacing w:line="360" w:lineRule="auto"/>
              <w:ind w:firstLine="210" w:firstLine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00A3"/>
            </w:r>
            <w:r>
              <w:rPr>
                <w:rFonts w:hint="eastAsia" w:ascii="宋体" w:hAnsi="宋体" w:eastAsia="宋体" w:cs="宋体"/>
                <w:color w:val="000000" w:themeColor="text1"/>
                <w:szCs w:val="21"/>
                <w14:textFill>
                  <w14:solidFill>
                    <w14:schemeClr w14:val="tx1"/>
                  </w14:solidFill>
                </w14:textFill>
              </w:rPr>
              <w:t>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3.6.2</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响应方案数量</w:t>
            </w:r>
          </w:p>
        </w:tc>
        <w:tc>
          <w:tcPr>
            <w:tcW w:w="6365" w:type="dxa"/>
            <w:vAlign w:val="center"/>
          </w:tcPr>
          <w:p>
            <w:pPr>
              <w:spacing w:line="360" w:lineRule="auto"/>
              <w:ind w:firstLine="210" w:firstLine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0052"/>
            </w:r>
            <w:r>
              <w:rPr>
                <w:rFonts w:hint="eastAsia" w:ascii="宋体" w:hAnsi="宋体" w:eastAsia="宋体" w:cs="宋体"/>
                <w:color w:val="000000" w:themeColor="text1"/>
                <w:szCs w:val="21"/>
                <w14:textFill>
                  <w14:solidFill>
                    <w14:schemeClr w14:val="tx1"/>
                  </w14:solidFill>
                </w14:textFill>
              </w:rPr>
              <w:t>服务商只能提出唯一响应方案</w:t>
            </w:r>
          </w:p>
          <w:p>
            <w:pPr>
              <w:spacing w:line="360" w:lineRule="auto"/>
              <w:ind w:firstLine="210" w:firstLine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□服务商可提出多个响应方案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3.7.3（1）</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响应文件要求</w:t>
            </w:r>
          </w:p>
        </w:tc>
        <w:tc>
          <w:tcPr>
            <w:tcW w:w="6365" w:type="dxa"/>
            <w:vAlign w:val="center"/>
          </w:tcPr>
          <w:p>
            <w:pPr>
              <w:spacing w:line="360" w:lineRule="auto"/>
              <w:ind w:firstLine="210" w:firstLine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□不要求。</w:t>
            </w:r>
          </w:p>
          <w:p>
            <w:pPr>
              <w:adjustRightInd w:val="0"/>
              <w:snapToGrid w:val="0"/>
              <w:spacing w:line="360" w:lineRule="auto"/>
              <w:ind w:firstLine="210" w:firstLine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0052"/>
            </w:r>
            <w:r>
              <w:rPr>
                <w:rFonts w:hint="eastAsia" w:ascii="宋体" w:hAnsi="宋体" w:eastAsia="宋体" w:cs="宋体"/>
                <w:color w:val="000000" w:themeColor="text1"/>
                <w:szCs w:val="21"/>
                <w14:textFill>
                  <w14:solidFill>
                    <w14:schemeClr w14:val="tx1"/>
                  </w14:solidFill>
                </w14:textFill>
              </w:rPr>
              <w:t>要求：</w:t>
            </w:r>
          </w:p>
          <w:p>
            <w:pPr>
              <w:adjustRightInd w:val="0"/>
              <w:snapToGrid w:val="0"/>
              <w:spacing w:line="360" w:lineRule="auto"/>
              <w:ind w:firstLine="210" w:firstLineChars="100"/>
              <w:rPr>
                <w:rFonts w:ascii="宋体" w:hAnsi="宋体" w:eastAsia="宋体" w:cs="宋体"/>
                <w:szCs w:val="21"/>
              </w:rPr>
            </w:pPr>
            <w:r>
              <w:rPr>
                <w:rFonts w:hint="eastAsia" w:ascii="宋体" w:hAnsi="宋体" w:eastAsia="宋体" w:cs="宋体"/>
                <w:szCs w:val="21"/>
              </w:rPr>
              <w:t>（1）纸质版响应文件：</w:t>
            </w:r>
            <w:r>
              <w:rPr>
                <w:rFonts w:hint="eastAsia" w:ascii="宋体" w:hAnsi="宋体" w:eastAsia="宋体" w:cs="宋体"/>
                <w:szCs w:val="21"/>
                <w:u w:val="single"/>
              </w:rPr>
              <w:t>一正二副</w:t>
            </w:r>
            <w:r>
              <w:rPr>
                <w:rFonts w:hint="eastAsia" w:ascii="宋体" w:hAnsi="宋体" w:eastAsia="宋体" w:cs="宋体"/>
                <w:szCs w:val="21"/>
              </w:rPr>
              <w:t>（副本可以是正本的复印件）；</w:t>
            </w:r>
          </w:p>
          <w:p>
            <w:pPr>
              <w:spacing w:line="360" w:lineRule="auto"/>
              <w:ind w:firstLine="210" w:firstLineChars="100"/>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szCs w:val="21"/>
              </w:rPr>
              <w:t>（2）电子版响应文件：一份（U盘刻录，包含全套响应文件world及PDF版本，PDF版本须为响应文件正本签字盖章后的扫描件，所有文档能正常打开）。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3.7.3（2）</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响应文件签章或签字要求</w:t>
            </w:r>
          </w:p>
        </w:tc>
        <w:tc>
          <w:tcPr>
            <w:tcW w:w="6365" w:type="dxa"/>
            <w:vAlign w:val="center"/>
          </w:tcPr>
          <w:p>
            <w:pPr>
              <w:spacing w:line="360" w:lineRule="auto"/>
              <w:rPr>
                <w:rFonts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pacing w:val="10"/>
                <w:kern w:val="0"/>
                <w:szCs w:val="21"/>
                <w14:textFill>
                  <w14:solidFill>
                    <w14:schemeClr w14:val="tx1"/>
                  </w14:solidFill>
                </w14:textFill>
              </w:rPr>
              <w:t>响应文件按照采购文件格式及要求，由法定代表人（负责人）或其授权委托人签字或盖章。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3.7.3（3）</w:t>
            </w:r>
          </w:p>
        </w:tc>
        <w:tc>
          <w:tcPr>
            <w:tcW w:w="1814" w:type="dxa"/>
            <w:vAlign w:val="center"/>
          </w:tcPr>
          <w:p>
            <w:pPr>
              <w:spacing w:line="360" w:lineRule="auto"/>
              <w:jc w:val="center"/>
              <w:rPr>
                <w:rFonts w:ascii="宋体" w:hAnsi="宋体" w:eastAsia="宋体" w:cs="宋体"/>
                <w:color w:val="000000" w:themeColor="text1"/>
                <w:spacing w:val="10"/>
                <w14:textFill>
                  <w14:solidFill>
                    <w14:schemeClr w14:val="tx1"/>
                  </w14:solidFill>
                </w14:textFill>
              </w:rPr>
            </w:pPr>
            <w:r>
              <w:rPr>
                <w:rFonts w:hint="eastAsia" w:ascii="宋体" w:hAnsi="宋体" w:eastAsia="宋体" w:cs="宋体"/>
                <w:color w:val="000000" w:themeColor="text1"/>
                <w:spacing w:val="10"/>
                <w14:textFill>
                  <w14:solidFill>
                    <w14:schemeClr w14:val="tx1"/>
                  </w14:solidFill>
                </w14:textFill>
              </w:rPr>
              <w:t>响应文件的装订要求</w:t>
            </w:r>
          </w:p>
        </w:tc>
        <w:tc>
          <w:tcPr>
            <w:tcW w:w="6365" w:type="dxa"/>
            <w:vAlign w:val="center"/>
          </w:tcPr>
          <w:p>
            <w:pPr>
              <w:spacing w:line="360" w:lineRule="auto"/>
              <w:jc w:val="left"/>
              <w:rPr>
                <w:rFonts w:ascii="宋体" w:hAnsi="宋体" w:eastAsia="宋体" w:cs="宋体"/>
                <w:color w:val="000000" w:themeColor="text1"/>
                <w:spacing w:val="10"/>
                <w:kern w:val="0"/>
                <w:szCs w:val="21"/>
                <w14:textFill>
                  <w14:solidFill>
                    <w14:schemeClr w14:val="tx1"/>
                  </w14:solidFill>
                </w14:textFill>
              </w:rPr>
            </w:pPr>
            <w:r>
              <w:rPr>
                <w:rFonts w:hint="eastAsia" w:ascii="宋体" w:hAnsi="宋体" w:eastAsia="宋体" w:cs="宋体"/>
                <w:szCs w:val="21"/>
              </w:rPr>
              <w:t>装订应牢固、不易拆散和换页，不得采用活页装订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4.1</w:t>
            </w:r>
          </w:p>
        </w:tc>
        <w:tc>
          <w:tcPr>
            <w:tcW w:w="1814" w:type="dxa"/>
            <w:vAlign w:val="center"/>
          </w:tcPr>
          <w:p>
            <w:pPr>
              <w:spacing w:line="360" w:lineRule="auto"/>
              <w:jc w:val="center"/>
              <w:rPr>
                <w:rFonts w:ascii="宋体" w:hAnsi="宋体" w:eastAsia="宋体" w:cs="宋体"/>
              </w:rPr>
            </w:pPr>
            <w:r>
              <w:rPr>
                <w:rFonts w:hint="eastAsia" w:ascii="宋体" w:hAnsi="宋体" w:eastAsia="宋体" w:cs="宋体"/>
              </w:rPr>
              <w:t>响应文件的密封</w:t>
            </w:r>
          </w:p>
          <w:p>
            <w:pPr>
              <w:pStyle w:val="21"/>
              <w:ind w:left="0" w:leftChars="0"/>
              <w:rPr>
                <w:rFonts w:ascii="宋体" w:hAnsi="宋体" w:eastAsia="宋体" w:cs="宋体"/>
              </w:rPr>
            </w:pPr>
            <w:r>
              <w:rPr>
                <w:rFonts w:hint="eastAsia" w:ascii="宋体" w:hAnsi="宋体" w:eastAsia="宋体" w:cs="宋体"/>
                <w:color w:val="000000" w:themeColor="text1"/>
                <w14:textFill>
                  <w14:solidFill>
                    <w14:schemeClr w14:val="tx1"/>
                  </w14:solidFill>
                </w14:textFill>
              </w:rPr>
              <w:t>（封套上须写明）</w:t>
            </w:r>
          </w:p>
        </w:tc>
        <w:tc>
          <w:tcPr>
            <w:tcW w:w="6365" w:type="dxa"/>
            <w:vAlign w:val="center"/>
          </w:tcPr>
          <w:p>
            <w:pPr>
              <w:adjustRightInd w:val="0"/>
              <w:snapToGrid w:val="0"/>
              <w:rPr>
                <w:rFonts w:ascii="宋体" w:hAnsi="宋体" w:eastAsia="宋体" w:cs="宋体"/>
                <w:szCs w:val="21"/>
              </w:rPr>
            </w:pPr>
            <w:r>
              <w:rPr>
                <w:rFonts w:hint="eastAsia" w:ascii="宋体" w:hAnsi="宋体" w:eastAsia="宋体" w:cs="宋体"/>
                <w:szCs w:val="21"/>
              </w:rPr>
              <w:t>采购人名称：</w:t>
            </w:r>
          </w:p>
          <w:p>
            <w:pPr>
              <w:adjustRightInd w:val="0"/>
              <w:snapToGrid w:val="0"/>
              <w:rPr>
                <w:rFonts w:ascii="宋体" w:hAnsi="宋体" w:eastAsia="宋体" w:cs="宋体"/>
                <w:szCs w:val="21"/>
              </w:rPr>
            </w:pPr>
            <w:r>
              <w:rPr>
                <w:rFonts w:hint="eastAsia" w:ascii="宋体" w:hAnsi="宋体" w:eastAsia="宋体" w:cs="宋体"/>
                <w:szCs w:val="21"/>
              </w:rPr>
              <w:t>采购人地址：</w:t>
            </w:r>
          </w:p>
          <w:p>
            <w:pPr>
              <w:spacing w:line="360" w:lineRule="auto"/>
              <w:jc w:val="left"/>
              <w:rPr>
                <w:rFonts w:ascii="宋体" w:hAnsi="宋体" w:eastAsia="宋体" w:cs="宋体"/>
                <w:szCs w:val="21"/>
              </w:rPr>
            </w:pPr>
            <w:r>
              <w:rPr>
                <w:rFonts w:hint="eastAsia" w:ascii="宋体" w:hAnsi="宋体" w:eastAsia="宋体" w:cs="宋体"/>
                <w:szCs w:val="21"/>
                <w:u w:val="single"/>
              </w:rPr>
              <w:t xml:space="preserve">        </w:t>
            </w:r>
            <w:r>
              <w:rPr>
                <w:rFonts w:hint="eastAsia" w:ascii="宋体" w:hAnsi="宋体" w:eastAsia="宋体" w:cs="宋体"/>
                <w:szCs w:val="21"/>
              </w:rPr>
              <w:t>（项目名称）响应文件在</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r>
              <w:rPr>
                <w:rFonts w:hint="eastAsia" w:ascii="宋体" w:hAnsi="宋体" w:eastAsia="宋体" w:cs="宋体"/>
                <w:szCs w:val="21"/>
                <w:u w:val="single"/>
              </w:rPr>
              <w:t xml:space="preserve">  </w:t>
            </w:r>
            <w:r>
              <w:rPr>
                <w:rFonts w:hint="eastAsia" w:ascii="宋体" w:hAnsi="宋体" w:eastAsia="宋体" w:cs="宋体"/>
                <w:szCs w:val="21"/>
              </w:rPr>
              <w:t>时</w:t>
            </w:r>
            <w:r>
              <w:rPr>
                <w:rFonts w:hint="eastAsia" w:ascii="宋体" w:hAnsi="宋体" w:eastAsia="宋体" w:cs="宋体"/>
                <w:szCs w:val="21"/>
                <w:u w:val="single"/>
              </w:rPr>
              <w:t xml:space="preserve">  </w:t>
            </w:r>
            <w:r>
              <w:rPr>
                <w:rFonts w:hint="eastAsia" w:ascii="宋体" w:hAnsi="宋体" w:eastAsia="宋体" w:cs="宋体"/>
                <w:szCs w:val="21"/>
              </w:rPr>
              <w:t>分前不得开启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4.2.1</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递交响应文件截止时间和地点</w:t>
            </w:r>
          </w:p>
        </w:tc>
        <w:tc>
          <w:tcPr>
            <w:tcW w:w="6365" w:type="dxa"/>
            <w:vAlign w:val="center"/>
          </w:tcPr>
          <w:p>
            <w:pPr>
              <w:spacing w:line="360" w:lineRule="auto"/>
              <w:rPr>
                <w:rFonts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详见第一章 竞争性谈判采购公告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4.2．2</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是否退还响应文件</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0052"/>
            </w:r>
            <w:r>
              <w:rPr>
                <w:rFonts w:hint="eastAsia" w:ascii="宋体" w:hAnsi="宋体" w:eastAsia="宋体" w:cs="宋体"/>
                <w:color w:val="000000" w:themeColor="text1"/>
                <w:szCs w:val="21"/>
                <w14:textFill>
                  <w14:solidFill>
                    <w14:schemeClr w14:val="tx1"/>
                  </w14:solidFill>
                </w14:textFill>
              </w:rPr>
              <w:t>否</w:t>
            </w:r>
          </w:p>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□是，退还时间: </w:t>
            </w:r>
            <w:r>
              <w:rPr>
                <w:rFonts w:hint="eastAsia" w:ascii="宋体" w:hAnsi="宋体" w:eastAsia="宋体" w:cs="宋体"/>
                <w:color w:val="000000" w:themeColor="text1"/>
                <w:szCs w:val="21"/>
                <w:u w:val="singl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4.3.3</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服务商撤回响应文件情况下退还响应保证金的时间</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是否公开开启响应文件</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□否</w:t>
            </w:r>
          </w:p>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0052"/>
            </w:r>
            <w:r>
              <w:rPr>
                <w:rFonts w:hint="eastAsia" w:ascii="宋体" w:hAnsi="宋体" w:eastAsia="宋体" w:cs="宋体"/>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5.1</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开启地点</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同响应文件递交地址。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5.2</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开启程序</w:t>
            </w:r>
          </w:p>
        </w:tc>
        <w:tc>
          <w:tcPr>
            <w:tcW w:w="6365" w:type="dxa"/>
            <w:vAlign w:val="center"/>
          </w:tcPr>
          <w:p>
            <w:pPr>
              <w:spacing w:line="360" w:lineRule="auto"/>
              <w:ind w:firstLine="210" w:firstLine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主持人按下列程序进行开标：</w:t>
            </w:r>
          </w:p>
          <w:p>
            <w:pPr>
              <w:spacing w:line="360" w:lineRule="auto"/>
              <w:ind w:firstLine="210" w:firstLine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（1）宣布响应文件开启会议纪律；</w:t>
            </w:r>
          </w:p>
          <w:p>
            <w:pPr>
              <w:spacing w:line="360" w:lineRule="auto"/>
              <w:ind w:firstLine="210" w:firstLine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（2）宣布参加响应文件开启会议的相关单位或人员；</w:t>
            </w:r>
          </w:p>
          <w:p>
            <w:pPr>
              <w:spacing w:line="360" w:lineRule="auto"/>
              <w:ind w:firstLine="210" w:firstLine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（3）宣布响应文件的递交及密封情况。所有有效响应文件随机拆封完成后公布服务商响应文件响应报价一览表中的主要内容，并记录在案。</w:t>
            </w:r>
          </w:p>
          <w:p>
            <w:pPr>
              <w:spacing w:line="360" w:lineRule="auto"/>
              <w:ind w:firstLine="210" w:firstLine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（4）服务商对响应文件的开启有异议的，应当在响应文件开启时提出，采购人应当场作出答复，并记录；</w:t>
            </w:r>
          </w:p>
          <w:p>
            <w:pPr>
              <w:spacing w:line="360" w:lineRule="auto"/>
              <w:ind w:firstLine="210" w:firstLine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（5）宣布服务商参加谈判的先后顺序（现场抽取或按照唱标顺序）；</w:t>
            </w:r>
          </w:p>
          <w:p>
            <w:pPr>
              <w:spacing w:line="360" w:lineRule="auto"/>
              <w:ind w:firstLine="210" w:firstLine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（6）宣布谈判有关安排和注意事项；</w:t>
            </w:r>
          </w:p>
          <w:p>
            <w:pPr>
              <w:spacing w:line="360" w:lineRule="auto"/>
              <w:ind w:firstLine="210" w:firstLineChars="1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（7）开标结束。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6.1.2</w:t>
            </w:r>
          </w:p>
        </w:tc>
        <w:tc>
          <w:tcPr>
            <w:tcW w:w="1814" w:type="dxa"/>
            <w:vAlign w:val="center"/>
          </w:tcPr>
          <w:p>
            <w:pPr>
              <w:spacing w:line="360" w:lineRule="auto"/>
              <w:jc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谈判小组的组建</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谈判小组由采购人依法组建，谈判小组成员为 3人及以上单数组成。谈判小组人员由云南能投曲靖发电有限公司招标管理委员会审定。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6.3.1</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谈判轮次及谈判顺序</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谈判轮次：</w:t>
            </w:r>
          </w:p>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0052"/>
            </w:r>
            <w:r>
              <w:rPr>
                <w:rFonts w:hint="eastAsia" w:ascii="宋体" w:hAnsi="宋体" w:eastAsia="宋体" w:cs="宋体"/>
                <w:color w:val="000000" w:themeColor="text1"/>
                <w:szCs w:val="21"/>
                <w14:textFill>
                  <w14:solidFill>
                    <w14:schemeClr w14:val="tx1"/>
                  </w14:solidFill>
                </w14:textFill>
              </w:rPr>
              <w:t>本项目共进行</w:t>
            </w:r>
            <w:r>
              <w:rPr>
                <w:rFonts w:hint="eastAsia" w:ascii="宋体" w:hAnsi="宋体" w:eastAsia="宋体" w:cs="宋体"/>
                <w:color w:val="000000" w:themeColor="text1"/>
                <w:szCs w:val="21"/>
                <w:u w:val="single"/>
                <w:lang w:val="en-US" w:eastAsia="zh-CN"/>
                <w14:textFill>
                  <w14:solidFill>
                    <w14:schemeClr w14:val="tx1"/>
                  </w14:solidFill>
                </w14:textFill>
              </w:rPr>
              <w:t>1</w:t>
            </w:r>
            <w:r>
              <w:rPr>
                <w:rFonts w:hint="eastAsia" w:ascii="宋体" w:hAnsi="宋体" w:eastAsia="宋体" w:cs="宋体"/>
                <w:color w:val="000000" w:themeColor="text1"/>
                <w:szCs w:val="21"/>
                <w14:textFill>
                  <w14:solidFill>
                    <w14:schemeClr w14:val="tx1"/>
                  </w14:solidFill>
                </w14:textFill>
              </w:rPr>
              <w:t>轮谈判。</w:t>
            </w:r>
          </w:p>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00A3"/>
            </w:r>
            <w:r>
              <w:rPr>
                <w:rFonts w:hint="eastAsia" w:ascii="宋体" w:hAnsi="宋体" w:eastAsia="宋体" w:cs="宋体"/>
                <w:color w:val="000000" w:themeColor="text1"/>
                <w:szCs w:val="21"/>
                <w14:textFill>
                  <w14:solidFill>
                    <w14:schemeClr w14:val="tx1"/>
                  </w14:solidFill>
                </w14:textFill>
              </w:rPr>
              <w:t>谈判小组在首轮谈判前告知被邀请参加谈判的申请人谈判轮次</w:t>
            </w:r>
          </w:p>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00A3"/>
            </w:r>
            <w:r>
              <w:rPr>
                <w:rFonts w:hint="eastAsia" w:ascii="宋体" w:hAnsi="宋体" w:eastAsia="宋体" w:cs="宋体"/>
                <w:color w:val="000000" w:themeColor="text1"/>
                <w:szCs w:val="21"/>
                <w14:textFill>
                  <w14:solidFill>
                    <w14:schemeClr w14:val="tx1"/>
                  </w14:solidFill>
                </w14:textFill>
              </w:rPr>
              <w:t>本项目不事先确定谈判轮次，谈判小组根据谈判情况确定，并在最后一轮谈判前告知服务商</w:t>
            </w:r>
          </w:p>
          <w:p>
            <w:pPr>
              <w:spacing w:line="360" w:lineRule="auto"/>
              <w:rPr>
                <w:rFonts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谈判顺序:</w:t>
            </w:r>
            <w:r>
              <w:rPr>
                <w:rFonts w:hint="eastAsia" w:ascii="宋体" w:hAnsi="宋体" w:eastAsia="宋体" w:cs="宋体"/>
                <w:color w:val="000000" w:themeColor="text1"/>
                <w:szCs w:val="21"/>
                <w:u w:val="single"/>
                <w14:textFill>
                  <w14:solidFill>
                    <w14:schemeClr w14:val="tx1"/>
                  </w14:solidFill>
                </w14:textFill>
              </w:rPr>
              <w:t>按照唱标顺序。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5" w:hRule="atLeast"/>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6.3.2</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选择服务商</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预定参加谈判的申请人数量：</w:t>
            </w:r>
            <w:r>
              <w:rPr>
                <w:rFonts w:hint="eastAsia" w:ascii="宋体" w:hAnsi="宋体" w:eastAsia="宋体" w:cs="宋体"/>
                <w:color w:val="000000" w:themeColor="text1"/>
                <w:szCs w:val="21"/>
                <w:u w:val="single"/>
                <w14:textFill>
                  <w14:solidFill>
                    <w14:schemeClr w14:val="tx1"/>
                  </w14:solidFill>
                </w14:textFill>
              </w:rPr>
              <w:t>所有通过初步评审的服务商</w:t>
            </w:r>
          </w:p>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选择方法：</w:t>
            </w:r>
            <w:r>
              <w:rPr>
                <w:rFonts w:hint="eastAsia" w:ascii="宋体" w:hAnsi="宋体" w:eastAsia="宋体" w:cs="宋体"/>
                <w:color w:val="000000" w:themeColor="text1"/>
                <w:szCs w:val="21"/>
                <w:u w:val="single"/>
                <w14:textFill>
                  <w14:solidFill>
                    <w14:schemeClr w14:val="tx1"/>
                  </w14:solidFill>
                </w14:textFill>
              </w:rPr>
              <w:t xml:space="preserve">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6.3.4</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是否允许未准时参加某一轮次谈判的服务商参加后续谈判采购活动</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□允许</w:t>
            </w:r>
          </w:p>
          <w:p>
            <w:pPr>
              <w:spacing w:line="360" w:lineRule="auto"/>
              <w:rPr>
                <w:rFonts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0052"/>
            </w:r>
            <w:r>
              <w:rPr>
                <w:rFonts w:hint="eastAsia" w:ascii="宋体" w:hAnsi="宋体" w:eastAsia="宋体" w:cs="宋体"/>
                <w:color w:val="000000" w:themeColor="text1"/>
                <w:szCs w:val="21"/>
                <w14:textFill>
                  <w14:solidFill>
                    <w14:schemeClr w14:val="tx1"/>
                  </w14:solidFill>
                </w14:textFill>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6.5</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是否公开开启最终报价</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0052"/>
            </w:r>
            <w:r>
              <w:rPr>
                <w:rFonts w:hint="eastAsia" w:ascii="宋体" w:hAnsi="宋体" w:eastAsia="宋体" w:cs="宋体"/>
                <w:color w:val="000000" w:themeColor="text1"/>
                <w:szCs w:val="21"/>
                <w14:textFill>
                  <w14:solidFill>
                    <w14:schemeClr w14:val="tx1"/>
                  </w14:solidFill>
                </w14:textFill>
              </w:rPr>
              <w:t>否</w:t>
            </w:r>
          </w:p>
          <w:p>
            <w:pPr>
              <w:spacing w:line="360" w:lineRule="auto"/>
              <w:rPr>
                <w:rFonts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6.6</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推荐候选成交服务商的排序及数量</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是否排序：</w:t>
            </w:r>
          </w:p>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0052"/>
            </w:r>
            <w:r>
              <w:rPr>
                <w:rFonts w:hint="eastAsia" w:ascii="宋体" w:hAnsi="宋体" w:eastAsia="宋体" w:cs="宋体"/>
                <w:color w:val="000000" w:themeColor="text1"/>
                <w:szCs w:val="21"/>
                <w14:textFill>
                  <w14:solidFill>
                    <w14:schemeClr w14:val="tx1"/>
                  </w14:solidFill>
                </w14:textFill>
              </w:rPr>
              <w:t>排序，数量：1-3人</w:t>
            </w:r>
          </w:p>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□不排序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7.2</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候选成交服务商公示</w:t>
            </w:r>
          </w:p>
        </w:tc>
        <w:tc>
          <w:tcPr>
            <w:tcW w:w="6365" w:type="dxa"/>
            <w:vAlign w:val="center"/>
          </w:tcPr>
          <w:p>
            <w:pPr>
              <w:spacing w:line="360" w:lineRule="auto"/>
              <w:jc w:val="left"/>
              <w:rPr>
                <w:rFonts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通知方法：</w:t>
            </w:r>
            <w:r>
              <w:rPr>
                <w:rFonts w:hint="eastAsia" w:ascii="宋体" w:hAnsi="宋体" w:eastAsia="宋体" w:cs="宋体"/>
                <w:color w:val="000000" w:themeColor="text1"/>
                <w:szCs w:val="21"/>
                <w:u w:val="single"/>
                <w14:textFill>
                  <w14:solidFill>
                    <w14:schemeClr w14:val="tx1"/>
                  </w14:solidFill>
                </w14:textFill>
              </w:rPr>
              <w:t>本项目为竞争性谈判采购，候选成交服务商及成交结果将在同采购公告一致的媒介进行公示。</w:t>
            </w:r>
          </w:p>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对候选成交服务商提起异议期限：</w:t>
            </w:r>
            <w:r>
              <w:rPr>
                <w:rFonts w:hint="eastAsia" w:ascii="宋体" w:hAnsi="宋体" w:eastAsia="宋体" w:cs="宋体"/>
                <w:color w:val="000000" w:themeColor="text1"/>
                <w:szCs w:val="21"/>
                <w:u w:val="single"/>
                <w14:textFill>
                  <w14:solidFill>
                    <w14:schemeClr w14:val="tx1"/>
                  </w14:solidFill>
                </w14:textFill>
              </w:rPr>
              <w:t>不少于3日。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7.6</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履约保证金</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00A3"/>
            </w:r>
            <w:r>
              <w:rPr>
                <w:rFonts w:hint="eastAsia" w:ascii="宋体" w:hAnsi="宋体" w:eastAsia="宋体" w:cs="宋体"/>
                <w:color w:val="000000" w:themeColor="text1"/>
                <w:szCs w:val="21"/>
                <w14:textFill>
                  <w14:solidFill>
                    <w14:schemeClr w14:val="tx1"/>
                  </w14:solidFill>
                </w14:textFill>
              </w:rPr>
              <w:t>不要求递交</w:t>
            </w:r>
          </w:p>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☑要求递交，履约担保的形式：银行转账或保函。</w:t>
            </w:r>
          </w:p>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履约担保的金额：</w:t>
            </w:r>
            <w:r>
              <w:rPr>
                <w:rFonts w:hint="eastAsia" w:ascii="宋体" w:hAnsi="宋体" w:eastAsia="宋体" w:cs="宋体"/>
                <w:color w:val="000000" w:themeColor="text1"/>
                <w:szCs w:val="21"/>
                <w:lang w:val="en-US" w:eastAsia="zh-CN"/>
                <w14:textFill>
                  <w14:solidFill>
                    <w14:schemeClr w14:val="tx1"/>
                  </w14:solidFill>
                </w14:textFill>
              </w:rPr>
              <w:t>成交金额的10%</w:t>
            </w:r>
            <w:r>
              <w:rPr>
                <w:rFonts w:hint="eastAsia" w:ascii="宋体" w:hAnsi="宋体" w:eastAsia="宋体" w:cs="宋体"/>
                <w:color w:val="000000" w:themeColor="text1"/>
                <w:szCs w:val="21"/>
                <w14:textFill>
                  <w14:solidFill>
                    <w14:schemeClr w14:val="tx1"/>
                  </w14:solidFill>
                </w14:textFill>
              </w:rPr>
              <w:t>。</w:t>
            </w:r>
          </w:p>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注：</w:t>
            </w:r>
          </w:p>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1、候选成交</w:t>
            </w:r>
            <w:r>
              <w:rPr>
                <w:rFonts w:hint="eastAsia" w:ascii="宋体" w:hAnsi="宋体" w:eastAsia="宋体" w:cs="宋体"/>
                <w:color w:val="000000" w:themeColor="text1"/>
                <w:szCs w:val="21"/>
                <w:u w:val="single"/>
                <w14:textFill>
                  <w14:solidFill>
                    <w14:schemeClr w14:val="tx1"/>
                  </w14:solidFill>
                </w14:textFill>
              </w:rPr>
              <w:t>服务商</w:t>
            </w:r>
            <w:r>
              <w:rPr>
                <w:rFonts w:hint="eastAsia" w:ascii="宋体" w:hAnsi="宋体" w:eastAsia="宋体" w:cs="宋体"/>
                <w:color w:val="000000" w:themeColor="text1"/>
                <w:szCs w:val="21"/>
                <w14:textFill>
                  <w14:solidFill>
                    <w14:schemeClr w14:val="tx1"/>
                  </w14:solidFill>
                </w14:textFill>
              </w:rPr>
              <w:t>通知（3日无异议）后，采购人或采购代理机构将向成交</w:t>
            </w:r>
            <w:r>
              <w:rPr>
                <w:rFonts w:hint="eastAsia" w:ascii="宋体" w:hAnsi="宋体" w:eastAsia="宋体" w:cs="宋体"/>
                <w:color w:val="000000" w:themeColor="text1"/>
                <w:szCs w:val="21"/>
                <w:u w:val="single"/>
                <w14:textFill>
                  <w14:solidFill>
                    <w14:schemeClr w14:val="tx1"/>
                  </w14:solidFill>
                </w14:textFill>
              </w:rPr>
              <w:t>服务商</w:t>
            </w:r>
            <w:r>
              <w:rPr>
                <w:rFonts w:hint="eastAsia" w:ascii="宋体" w:hAnsi="宋体" w:eastAsia="宋体" w:cs="宋体"/>
                <w:color w:val="000000" w:themeColor="text1"/>
                <w:szCs w:val="21"/>
                <w14:textFill>
                  <w14:solidFill>
                    <w14:schemeClr w14:val="tx1"/>
                  </w14:solidFill>
                </w14:textFill>
              </w:rPr>
              <w:t>发出成交通知书的领取通知，成交</w:t>
            </w:r>
            <w:r>
              <w:rPr>
                <w:rFonts w:hint="eastAsia" w:ascii="宋体" w:hAnsi="宋体" w:eastAsia="宋体" w:cs="宋体"/>
                <w:color w:val="000000" w:themeColor="text1"/>
                <w:szCs w:val="21"/>
                <w:u w:val="single"/>
                <w14:textFill>
                  <w14:solidFill>
                    <w14:schemeClr w14:val="tx1"/>
                  </w14:solidFill>
                </w14:textFill>
              </w:rPr>
              <w:t>服务商</w:t>
            </w:r>
            <w:r>
              <w:rPr>
                <w:rFonts w:hint="eastAsia" w:ascii="宋体" w:hAnsi="宋体" w:eastAsia="宋体" w:cs="宋体"/>
                <w:color w:val="000000" w:themeColor="text1"/>
                <w:szCs w:val="21"/>
                <w14:textFill>
                  <w14:solidFill>
                    <w14:schemeClr w14:val="tx1"/>
                  </w14:solidFill>
                </w14:textFill>
              </w:rPr>
              <w:t>自接到领取通知之日起15日内与采购人签订合同，合同签订前成交</w:t>
            </w:r>
            <w:r>
              <w:rPr>
                <w:rFonts w:hint="eastAsia" w:ascii="宋体" w:hAnsi="宋体" w:eastAsia="宋体" w:cs="宋体"/>
                <w:color w:val="000000" w:themeColor="text1"/>
                <w:szCs w:val="21"/>
                <w:u w:val="single"/>
                <w14:textFill>
                  <w14:solidFill>
                    <w14:schemeClr w14:val="tx1"/>
                  </w14:solidFill>
                </w14:textFill>
              </w:rPr>
              <w:t>服务商</w:t>
            </w:r>
            <w:r>
              <w:rPr>
                <w:rFonts w:hint="eastAsia" w:ascii="宋体" w:hAnsi="宋体" w:eastAsia="宋体" w:cs="宋体"/>
                <w:color w:val="000000" w:themeColor="text1"/>
                <w:szCs w:val="21"/>
                <w14:textFill>
                  <w14:solidFill>
                    <w14:schemeClr w14:val="tx1"/>
                  </w14:solidFill>
                </w14:textFill>
              </w:rPr>
              <w:t>必须提供履约担保；</w:t>
            </w:r>
          </w:p>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2、合同履行完毕扣除相关违约金后（如有）一次性无息(下同)退还履约担保。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8.1</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异议渠道</w:t>
            </w:r>
          </w:p>
        </w:tc>
        <w:tc>
          <w:tcPr>
            <w:tcW w:w="6365" w:type="dxa"/>
            <w:vAlign w:val="center"/>
          </w:tcPr>
          <w:p>
            <w:pPr>
              <w:spacing w:line="360" w:lineRule="auto"/>
              <w:jc w:val="left"/>
              <w:rPr>
                <w:rFonts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（1）对采购文件的疑问，通过书面的方式向采购人或采购代理机构递交加盖服务商公章的纸质文件。</w:t>
            </w:r>
          </w:p>
          <w:p>
            <w:pPr>
              <w:spacing w:line="360" w:lineRule="auto"/>
              <w:jc w:val="left"/>
              <w:rPr>
                <w:rFonts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（2）服务商对响应文件的开启有异议的，应当在响应文件的开启现场提出，采购人当场作出答复，并记录。</w:t>
            </w:r>
          </w:p>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（3）成交候选服务商的异议，应当在成交候选服务商通知期间向采购人或代理机构以书面形式提出，形式为专人送达至采购人或采购代理机构。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8.2</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可以调解异议争议的行业组织或专业咨询机构</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w:t>
            </w:r>
          </w:p>
        </w:tc>
        <w:tc>
          <w:tcPr>
            <w:tcW w:w="8179" w:type="dxa"/>
            <w:gridSpan w:val="2"/>
            <w:vAlign w:val="center"/>
          </w:tcPr>
          <w:p>
            <w:pPr>
              <w:spacing w:line="360" w:lineRule="auto"/>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10.1</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评审办法</w:t>
            </w:r>
          </w:p>
        </w:tc>
        <w:tc>
          <w:tcPr>
            <w:tcW w:w="6365" w:type="dxa"/>
            <w:vAlign w:val="center"/>
          </w:tcPr>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□经评审的最低价法</w:t>
            </w:r>
          </w:p>
          <w:p>
            <w:pPr>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0052"/>
            </w:r>
            <w:r>
              <w:rPr>
                <w:rFonts w:hint="eastAsia" w:ascii="宋体" w:hAnsi="宋体" w:eastAsia="宋体" w:cs="宋体"/>
                <w:color w:val="000000" w:themeColor="text1"/>
                <w:szCs w:val="21"/>
                <w14:textFill>
                  <w14:solidFill>
                    <w14:schemeClr w14:val="tx1"/>
                  </w14:solidFill>
                </w14:textFill>
              </w:rPr>
              <w:t>综合评估打分法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10.2</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是否采用电子</w:t>
            </w:r>
          </w:p>
        </w:tc>
        <w:tc>
          <w:tcPr>
            <w:tcW w:w="6365" w:type="dxa"/>
            <w:vAlign w:val="center"/>
          </w:tcPr>
          <w:p>
            <w:pPr>
              <w:autoSpaceDE w:val="0"/>
              <w:autoSpaceDN w:val="0"/>
              <w:adjustRightInd w:val="0"/>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0052"/>
            </w:r>
            <w:r>
              <w:rPr>
                <w:rFonts w:hint="eastAsia" w:ascii="宋体" w:hAnsi="宋体" w:eastAsia="宋体" w:cs="宋体"/>
                <w:color w:val="000000" w:themeColor="text1"/>
                <w:szCs w:val="21"/>
                <w14:textFill>
                  <w14:solidFill>
                    <w14:schemeClr w14:val="tx1"/>
                  </w14:solidFill>
                </w14:textFill>
              </w:rPr>
              <w:t>否</w:t>
            </w:r>
          </w:p>
          <w:p>
            <w:pPr>
              <w:autoSpaceDE w:val="0"/>
              <w:autoSpaceDN w:val="0"/>
              <w:adjustRightInd w:val="0"/>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00A3"/>
            </w:r>
            <w:r>
              <w:rPr>
                <w:rFonts w:hint="eastAsia" w:ascii="宋体" w:hAnsi="宋体" w:eastAsia="宋体" w:cs="宋体"/>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bookmarkStart w:id="10" w:name="_Toc78019893"/>
            <w:r>
              <w:rPr>
                <w:rFonts w:hint="eastAsia" w:ascii="宋体" w:hAnsi="宋体" w:eastAsia="宋体" w:cs="宋体"/>
                <w:color w:val="000000" w:themeColor="text1"/>
                <w:szCs w:val="21"/>
                <w14:textFill>
                  <w14:solidFill>
                    <w14:schemeClr w14:val="tx1"/>
                  </w14:solidFill>
                </w14:textFill>
              </w:rPr>
              <w:t>10.3</w:t>
            </w:r>
          </w:p>
        </w:tc>
        <w:tc>
          <w:tcPr>
            <w:tcW w:w="1814" w:type="dxa"/>
            <w:vAlign w:val="center"/>
          </w:tcPr>
          <w:p>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词义理解</w:t>
            </w:r>
          </w:p>
        </w:tc>
        <w:tc>
          <w:tcPr>
            <w:tcW w:w="6365" w:type="dxa"/>
            <w:vAlign w:val="center"/>
          </w:tcPr>
          <w:p>
            <w:pPr>
              <w:autoSpaceDE w:val="0"/>
              <w:autoSpaceDN w:val="0"/>
              <w:adjustRightInd w:val="0"/>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本项目若为分公司响应的，法定代表人可按单位负责人进行理解。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01" w:type="dxa"/>
            <w:gridSpan w:val="3"/>
            <w:vAlign w:val="center"/>
          </w:tcPr>
          <w:p>
            <w:pPr>
              <w:adjustRightInd w:val="0"/>
              <w:snapToGrid w:val="0"/>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szCs w:val="21"/>
              </w:rPr>
              <w:t>10.4  服务商代表出席响应文件开启会议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01" w:type="dxa"/>
            <w:gridSpan w:val="3"/>
            <w:vAlign w:val="center"/>
          </w:tcPr>
          <w:p>
            <w:pPr>
              <w:adjustRightInd w:val="0"/>
              <w:snapToGrid w:val="0"/>
              <w:spacing w:line="360" w:lineRule="auto"/>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szCs w:val="21"/>
              </w:rPr>
              <w:t>采购人邀请所有服务商法定代表人或其委托代理人参加响应文件开启会议。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01" w:type="dxa"/>
            <w:gridSpan w:val="3"/>
            <w:vAlign w:val="center"/>
          </w:tcPr>
          <w:p>
            <w:pPr>
              <w:adjustRightInd w:val="0"/>
              <w:snapToGrid w:val="0"/>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szCs w:val="21"/>
              </w:rPr>
              <w:t>10.5  知识产权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01" w:type="dxa"/>
            <w:gridSpan w:val="3"/>
            <w:vAlign w:val="center"/>
          </w:tcPr>
          <w:p>
            <w:pPr>
              <w:adjustRightInd w:val="0"/>
              <w:snapToGrid w:val="0"/>
              <w:spacing w:line="360" w:lineRule="auto"/>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szCs w:val="21"/>
              </w:rPr>
              <w:t>构成本采购文件各个组成部分的文件，未经采购人书面同意，服务商不得擅自复印和用于非本采购项目所需的其他目的。采购人全部或者部分使用未成交服务商响应文件中的技术成果或技术方案时，需征得其书面同意，并不得擅自复印或提供给第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01" w:type="dxa"/>
            <w:gridSpan w:val="3"/>
            <w:vAlign w:val="center"/>
          </w:tcPr>
          <w:p>
            <w:pPr>
              <w:adjustRightInd w:val="0"/>
              <w:snapToGrid w:val="0"/>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szCs w:val="21"/>
              </w:rPr>
              <w:t>10.6  重新采购的其他情形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01" w:type="dxa"/>
            <w:gridSpan w:val="3"/>
            <w:vAlign w:val="center"/>
          </w:tcPr>
          <w:p>
            <w:pPr>
              <w:adjustRightInd w:val="0"/>
              <w:snapToGrid w:val="0"/>
              <w:spacing w:line="360" w:lineRule="auto"/>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szCs w:val="21"/>
              </w:rPr>
              <w:t>除竞争性服务商须知正文规定的情形外，除非已经产生成交候选服务商，在响应有效期内同意延长响应有效期的服务商少于三个，或经谈判小组评审实质上响应采购文件的有效响应个数不足三个，且经谈判小组判定不构成竞争的，采购人应当依法重新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01" w:type="dxa"/>
            <w:gridSpan w:val="3"/>
            <w:vAlign w:val="center"/>
          </w:tcPr>
          <w:p>
            <w:pPr>
              <w:adjustRightInd w:val="0"/>
              <w:snapToGrid w:val="0"/>
              <w:spacing w:line="360" w:lineRule="auto"/>
              <w:ind w:left="210" w:hanging="210" w:hangingChars="100"/>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szCs w:val="21"/>
              </w:rPr>
              <w:t>10.7  同义词语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01" w:type="dxa"/>
            <w:gridSpan w:val="3"/>
            <w:vAlign w:val="center"/>
          </w:tcPr>
          <w:p>
            <w:pPr>
              <w:adjustRightInd w:val="0"/>
              <w:snapToGrid w:val="0"/>
              <w:spacing w:line="360" w:lineRule="auto"/>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szCs w:val="21"/>
              </w:rPr>
              <w:t>构成采购文件组成部分的“通用合同条款”、“专用合同条款”、“技术规范书”等章节中出现的措辞“发包人”和“承包人”，在采购阶段应当分别按“采购人”和“服务商”进行理解。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01" w:type="dxa"/>
            <w:gridSpan w:val="3"/>
            <w:vAlign w:val="center"/>
          </w:tcPr>
          <w:p>
            <w:pPr>
              <w:adjustRightInd w:val="0"/>
              <w:snapToGrid w:val="0"/>
              <w:spacing w:line="360" w:lineRule="auto"/>
              <w:ind w:left="210" w:hanging="210" w:hangingChars="100"/>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szCs w:val="21"/>
              </w:rPr>
              <w:t>10.8  解释权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01" w:type="dxa"/>
            <w:gridSpan w:val="3"/>
            <w:vAlign w:val="center"/>
          </w:tcPr>
          <w:p>
            <w:pPr>
              <w:adjustRightInd w:val="0"/>
              <w:snapToGrid w:val="0"/>
              <w:spacing w:line="360" w:lineRule="auto"/>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szCs w:val="21"/>
              </w:rPr>
              <w:t>构成本采购文件的各个组成文件应互为解释，互为说明；如有不明确或不一致，构成合同文件组成内容的，以合同文件约定内容为准，且以专用合同条款约定的合同文件优先顺序解释；除采购文件中有特别规定外，仅适用于采购阶段的规定，按竞争性谈判采购公告、竞争性服务商须知、评审办法、响应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01" w:type="dxa"/>
            <w:gridSpan w:val="3"/>
            <w:vAlign w:val="center"/>
          </w:tcPr>
          <w:p>
            <w:pPr>
              <w:adjustRightInd w:val="0"/>
              <w:snapToGrid w:val="0"/>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szCs w:val="21"/>
              </w:rPr>
              <w:t>10.9  采购人补充的其他内容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adjustRightInd w:val="0"/>
              <w:snapToGrid w:val="0"/>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szCs w:val="21"/>
              </w:rPr>
              <w:t>10.9.1</w:t>
            </w:r>
          </w:p>
        </w:tc>
        <w:tc>
          <w:tcPr>
            <w:tcW w:w="8179" w:type="dxa"/>
            <w:gridSpan w:val="2"/>
            <w:vAlign w:val="center"/>
          </w:tcPr>
          <w:p>
            <w:pPr>
              <w:adjustRightInd w:val="0"/>
              <w:snapToGrid w:val="0"/>
              <w:spacing w:line="360" w:lineRule="auto"/>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szCs w:val="21"/>
              </w:rPr>
              <w:t>服务商的商务部分响应文件的书面文件与电子文件应当一致，不一致时，以响应文件书面文件的正本为准，副本与正本不一致时以正本为准，且按最不利于该服务商的原则处理。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adjustRightInd w:val="0"/>
              <w:snapToGrid w:val="0"/>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szCs w:val="21"/>
              </w:rPr>
              <w:t>10.9.2</w:t>
            </w:r>
          </w:p>
        </w:tc>
        <w:tc>
          <w:tcPr>
            <w:tcW w:w="8179" w:type="dxa"/>
            <w:gridSpan w:val="2"/>
            <w:vAlign w:val="center"/>
          </w:tcPr>
          <w:p>
            <w:pPr>
              <w:adjustRightInd w:val="0"/>
              <w:snapToGrid w:val="0"/>
              <w:spacing w:line="360" w:lineRule="auto"/>
              <w:rPr>
                <w:rFonts w:ascii="宋体" w:hAnsi="宋体" w:eastAsia="宋体" w:cs="宋体"/>
                <w:szCs w:val="21"/>
              </w:rPr>
            </w:pPr>
            <w:r>
              <w:rPr>
                <w:rFonts w:hint="eastAsia" w:ascii="宋体" w:hAnsi="宋体" w:eastAsia="宋体" w:cs="宋体"/>
                <w:szCs w:val="21"/>
              </w:rPr>
              <w:t>1、服务商根据情况开展可行性研究涉及的踏勘、调研、相关必要试验等辅助性工作，所有费用均含在本服务项目合同总价中，采购人方不再另行外委。</w:t>
            </w:r>
          </w:p>
          <w:p>
            <w:pPr>
              <w:adjustRightInd w:val="0"/>
              <w:snapToGrid w:val="0"/>
              <w:spacing w:line="36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szCs w:val="21"/>
              </w:rPr>
              <w:t>2、其他注意事项：详见合同条款及技术规范书。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 w:type="dxa"/>
            <w:vAlign w:val="center"/>
          </w:tcPr>
          <w:p>
            <w:pPr>
              <w:adjustRightInd w:val="0"/>
              <w:snapToGrid w:val="0"/>
              <w:spacing w:line="360" w:lineRule="auto"/>
              <w:rPr>
                <w:rFonts w:hint="default" w:ascii="宋体" w:hAnsi="宋体" w:eastAsia="宋体" w:cs="宋体"/>
                <w:szCs w:val="21"/>
                <w:lang w:val="en-US" w:eastAsia="zh-CN"/>
              </w:rPr>
            </w:pPr>
            <w:r>
              <w:rPr>
                <w:rFonts w:hint="eastAsia" w:ascii="宋体" w:hAnsi="宋体" w:eastAsia="宋体" w:cs="宋体"/>
                <w:szCs w:val="21"/>
                <w:lang w:val="en-US" w:eastAsia="zh-CN"/>
              </w:rPr>
              <w:t>10.9.3</w:t>
            </w:r>
          </w:p>
        </w:tc>
        <w:tc>
          <w:tcPr>
            <w:tcW w:w="8179" w:type="dxa"/>
            <w:gridSpan w:val="2"/>
            <w:vAlign w:val="center"/>
          </w:tcPr>
          <w:p>
            <w:pPr>
              <w:numPr>
                <w:ilvl w:val="0"/>
                <w:numId w:val="2"/>
              </w:numPr>
              <w:adjustRightInd w:val="0"/>
              <w:snapToGrid w:val="0"/>
              <w:spacing w:line="360" w:lineRule="auto"/>
              <w:rPr>
                <w:rFonts w:hint="eastAsia"/>
                <w:lang w:val="en-US" w:eastAsia="zh-CN"/>
              </w:rPr>
            </w:pPr>
            <w:r>
              <w:rPr>
                <w:rFonts w:hint="eastAsia"/>
                <w:lang w:val="en-US" w:eastAsia="zh-CN"/>
              </w:rPr>
              <w:t>响应文件可以现场提交或邮寄提交；</w:t>
            </w:r>
          </w:p>
          <w:p>
            <w:pPr>
              <w:pStyle w:val="2"/>
              <w:numPr>
                <w:ilvl w:val="0"/>
                <w:numId w:val="2"/>
              </w:numPr>
              <w:rPr>
                <w:rFonts w:hint="default"/>
                <w:lang w:val="en-US" w:eastAsia="zh-CN"/>
              </w:rPr>
            </w:pPr>
            <w:r>
              <w:rPr>
                <w:rFonts w:hint="eastAsia"/>
                <w:lang w:val="en-US" w:eastAsia="zh-CN"/>
              </w:rPr>
              <w:t>谈判方式由服务商根据自身情况，可选择现场参与或网络会议参与。</w:t>
            </w:r>
          </w:p>
        </w:tc>
      </w:tr>
    </w:tbl>
    <w:p>
      <w:pPr>
        <w:pStyle w:val="4"/>
        <w:spacing w:line="360" w:lineRule="auto"/>
        <w:jc w:val="center"/>
        <w:rPr>
          <w:rFonts w:ascii="宋体" w:hAnsi="宋体" w:eastAsia="宋体" w:cs="宋体"/>
          <w:color w:val="000000" w:themeColor="text1"/>
          <w:sz w:val="28"/>
          <w14:textFill>
            <w14:solidFill>
              <w14:schemeClr w14:val="tx1"/>
            </w14:solidFill>
          </w14:textFill>
        </w:rPr>
        <w:sectPr>
          <w:footerReference r:id="rId7" w:type="default"/>
          <w:pgSz w:w="11906" w:h="16838"/>
          <w:pgMar w:top="1440" w:right="1080" w:bottom="1440" w:left="1080" w:header="851" w:footer="992" w:gutter="0"/>
          <w:cols w:space="425" w:num="1"/>
          <w:docGrid w:linePitch="312" w:charSpace="0"/>
        </w:sectPr>
      </w:pPr>
    </w:p>
    <w:p>
      <w:pPr>
        <w:pStyle w:val="4"/>
        <w:spacing w:line="360" w:lineRule="auto"/>
        <w:jc w:val="center"/>
        <w:rPr>
          <w:rFonts w:ascii="宋体" w:hAnsi="宋体" w:eastAsia="宋体" w:cs="宋体"/>
          <w:color w:val="000000" w:themeColor="text1"/>
          <w:sz w:val="28"/>
          <w14:textFill>
            <w14:solidFill>
              <w14:schemeClr w14:val="tx1"/>
            </w14:solidFill>
          </w14:textFill>
        </w:rPr>
      </w:pPr>
      <w:bookmarkStart w:id="11" w:name="_Toc28068"/>
      <w:bookmarkStart w:id="12" w:name="_Toc13824"/>
      <w:bookmarkStart w:id="13" w:name="_Toc10102"/>
      <w:r>
        <w:rPr>
          <w:rFonts w:hint="eastAsia" w:ascii="宋体" w:hAnsi="宋体" w:eastAsia="宋体" w:cs="宋体"/>
          <w:color w:val="000000" w:themeColor="text1"/>
          <w:sz w:val="28"/>
          <w14:textFill>
            <w14:solidFill>
              <w14:schemeClr w14:val="tx1"/>
            </w14:solidFill>
          </w14:textFill>
        </w:rPr>
        <w:t xml:space="preserve"> 服务商须知正文</w:t>
      </w:r>
      <w:bookmarkEnd w:id="10"/>
      <w:bookmarkEnd w:id="11"/>
      <w:bookmarkEnd w:id="12"/>
      <w:bookmarkEnd w:id="13"/>
    </w:p>
    <w:p>
      <w:pPr>
        <w:pStyle w:val="5"/>
        <w:spacing w:line="360" w:lineRule="auto"/>
        <w:jc w:val="center"/>
        <w:rPr>
          <w:rFonts w:ascii="宋体" w:hAnsi="宋体" w:eastAsia="宋体" w:cs="宋体"/>
          <w:color w:val="000000" w:themeColor="text1"/>
          <w:sz w:val="28"/>
          <w14:textFill>
            <w14:solidFill>
              <w14:schemeClr w14:val="tx1"/>
            </w14:solidFill>
          </w14:textFill>
        </w:rPr>
      </w:pPr>
      <w:bookmarkStart w:id="14" w:name="_Toc78019894"/>
      <w:bookmarkStart w:id="15" w:name="_Toc67403029"/>
      <w:bookmarkStart w:id="16" w:name="_Toc67403227"/>
      <w:r>
        <w:rPr>
          <w:rFonts w:hint="eastAsia" w:ascii="宋体" w:hAnsi="宋体" w:eastAsia="宋体" w:cs="宋体"/>
          <w:color w:val="000000" w:themeColor="text1"/>
          <w:sz w:val="28"/>
          <w14:textFill>
            <w14:solidFill>
              <w14:schemeClr w14:val="tx1"/>
            </w14:solidFill>
          </w14:textFill>
        </w:rPr>
        <w:t>1.总则</w:t>
      </w:r>
      <w:bookmarkEnd w:id="14"/>
      <w:bookmarkEnd w:id="15"/>
      <w:bookmarkEnd w:id="16"/>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1.1采购人</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1.1.1本项目采用《非采购方式采购代理服务规范》（标准编号：T/CTBA001-2019，中国招标投标协会发布）规定的谈判采购方式。</w:t>
      </w:r>
    </w:p>
    <w:p>
      <w:pPr>
        <w:spacing w:line="360" w:lineRule="auto"/>
        <w:ind w:firstLine="480" w:firstLineChars="200"/>
        <w:rPr>
          <w:rFonts w:ascii="宋体" w:hAnsi="宋体" w:eastAsia="宋体" w:cs="宋体"/>
          <w:color w:val="000000" w:themeColor="text1"/>
          <w:sz w:val="24"/>
          <w:szCs w:val="28"/>
          <w:highlight w:val="cyan"/>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1.1.2本竞争性谈判采购文件参照《非采购方式采购代理服务规范》（标准编号：T/CTBA001-2019，中国招标投标协会发布）等有关法律、法规和规章的规定编制</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r>
        <w:rPr>
          <w:rFonts w:hint="default" w:ascii="宋体" w:hAnsi="宋体" w:eastAsia="宋体" w:cs="宋体"/>
          <w:color w:val="000000" w:themeColor="text1"/>
          <w:lang w:val="en-US"/>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采购项目概况和服务商资格要求</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w:t>
      </w:r>
      <w:r>
        <w:rPr>
          <w:rFonts w:hint="default" w:ascii="宋体" w:hAnsi="宋体" w:eastAsia="宋体" w:cs="宋体"/>
          <w:color w:val="000000" w:themeColor="text1"/>
          <w:sz w:val="24"/>
          <w:szCs w:val="28"/>
          <w:lang w:val="en-US"/>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.1采购项目概况见第一章竞争性谈判采购公告</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w:t>
      </w:r>
      <w:r>
        <w:rPr>
          <w:rFonts w:hint="default" w:ascii="宋体" w:hAnsi="宋体" w:eastAsia="宋体" w:cs="宋体"/>
          <w:color w:val="000000" w:themeColor="text1"/>
          <w:sz w:val="24"/>
          <w:szCs w:val="28"/>
          <w:lang w:val="en-US"/>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.2服务商资格要求见第一章竞争性谈判采购公告。</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r>
        <w:rPr>
          <w:rFonts w:hint="default" w:ascii="宋体" w:hAnsi="宋体" w:eastAsia="宋体" w:cs="宋体"/>
          <w:color w:val="000000" w:themeColor="text1"/>
          <w:lang w:val="en-US"/>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费用承担</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w:t>
      </w:r>
      <w:r>
        <w:rPr>
          <w:rFonts w:hint="default" w:ascii="宋体" w:hAnsi="宋体" w:eastAsia="宋体" w:cs="宋体"/>
          <w:color w:val="000000" w:themeColor="text1"/>
          <w:sz w:val="24"/>
          <w:szCs w:val="28"/>
          <w:lang w:val="en-US"/>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.1服务商准备和参加谈判采购活动所发生的各种费用由服务商自行承担。</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w:t>
      </w:r>
      <w:r>
        <w:rPr>
          <w:rFonts w:hint="default" w:ascii="宋体" w:hAnsi="宋体" w:eastAsia="宋体" w:cs="宋体"/>
          <w:color w:val="000000" w:themeColor="text1"/>
          <w:sz w:val="24"/>
          <w:szCs w:val="28"/>
          <w:lang w:val="en-US"/>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.2服务商须知前附表规定由服务商承担采购代理服务费的，服务商应按照服务商须知前附表规定的费用标准或金额、交费时间和方式向采购代理机构支付代理服务费。</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w:t>
      </w:r>
      <w:r>
        <w:rPr>
          <w:rFonts w:hint="default" w:ascii="宋体" w:hAnsi="宋体" w:eastAsia="宋体" w:cs="宋体"/>
          <w:color w:val="000000" w:themeColor="text1"/>
          <w:sz w:val="24"/>
          <w:szCs w:val="28"/>
          <w:lang w:val="en-US"/>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.3需要服务商承担的其他费用，见服务商须知前附表。</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r>
        <w:rPr>
          <w:rFonts w:hint="default" w:ascii="宋体" w:hAnsi="宋体" w:eastAsia="宋体" w:cs="宋体"/>
          <w:color w:val="000000" w:themeColor="text1"/>
          <w:lang w:val="en-US"/>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保密</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参与谈判采购活动的各方应对竞争性谈判采购文件和响应文件中的商业和技术等秘密保密，否则应承担相应的法律责任。</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r>
        <w:rPr>
          <w:rFonts w:hint="default" w:ascii="宋体" w:hAnsi="宋体" w:eastAsia="宋体" w:cs="宋体"/>
          <w:color w:val="000000" w:themeColor="text1"/>
          <w:lang w:val="en-US"/>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语言文字</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竞争性谈判采购文件和响应文件使用的语言文字为中文。专用术语使用外文的，应附有中文注释。</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r>
        <w:rPr>
          <w:rFonts w:hint="default" w:ascii="宋体" w:hAnsi="宋体" w:eastAsia="宋体" w:cs="宋体"/>
          <w:color w:val="000000" w:themeColor="text1"/>
          <w:lang w:val="en-US"/>
          <w14:textFill>
            <w14:solidFill>
              <w14:schemeClr w14:val="tx1"/>
            </w14:solidFill>
          </w14:textFill>
        </w:rPr>
        <w:t>6</w:t>
      </w:r>
      <w:r>
        <w:rPr>
          <w:rFonts w:hint="eastAsia" w:ascii="宋体" w:hAnsi="宋体" w:eastAsia="宋体" w:cs="宋体"/>
          <w:color w:val="000000" w:themeColor="text1"/>
          <w14:textFill>
            <w14:solidFill>
              <w14:schemeClr w14:val="tx1"/>
            </w14:solidFill>
          </w14:textFill>
        </w:rPr>
        <w:t>计量单位</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所有计量均采用中华人民共和国法定计量单位。</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r>
        <w:rPr>
          <w:rFonts w:hint="default" w:ascii="宋体" w:hAnsi="宋体" w:eastAsia="宋体" w:cs="宋体"/>
          <w:color w:val="000000" w:themeColor="text1"/>
          <w:lang w:val="en-US"/>
          <w14:textFill>
            <w14:solidFill>
              <w14:schemeClr w14:val="tx1"/>
            </w14:solidFill>
          </w14:textFill>
        </w:rPr>
        <w:t>7</w:t>
      </w:r>
      <w:r>
        <w:rPr>
          <w:rFonts w:hint="eastAsia" w:ascii="宋体" w:hAnsi="宋体" w:eastAsia="宋体" w:cs="宋体"/>
          <w:color w:val="000000" w:themeColor="text1"/>
          <w14:textFill>
            <w14:solidFill>
              <w14:schemeClr w14:val="tx1"/>
            </w14:solidFill>
          </w14:textFill>
        </w:rPr>
        <w:t>踏勘现场</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1.7.1服务商须知前附表规定组织踏勘现场的，采购人按服务商须知前附表规定的时间、地点组织服务商踏勘项目现场。部分服务商未按时参加踏勘现场的，不影响踏勘现场的正常进行。</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w:t>
      </w:r>
      <w:r>
        <w:rPr>
          <w:rFonts w:hint="default" w:ascii="宋体" w:hAnsi="宋体" w:eastAsia="宋体" w:cs="宋体"/>
          <w:color w:val="000000" w:themeColor="text1"/>
          <w:sz w:val="24"/>
          <w:szCs w:val="28"/>
          <w:lang w:val="en-US"/>
          <w14:textFill>
            <w14:solidFill>
              <w14:schemeClr w14:val="tx1"/>
            </w14:solidFill>
          </w14:textFill>
        </w:rPr>
        <w:t>7</w:t>
      </w:r>
      <w:r>
        <w:rPr>
          <w:rFonts w:hint="eastAsia" w:ascii="宋体" w:hAnsi="宋体" w:eastAsia="宋体" w:cs="宋体"/>
          <w:color w:val="000000" w:themeColor="text1"/>
          <w:sz w:val="24"/>
          <w:szCs w:val="28"/>
          <w14:textFill>
            <w14:solidFill>
              <w14:schemeClr w14:val="tx1"/>
            </w14:solidFill>
          </w14:textFill>
        </w:rPr>
        <w:t>.2服务商可自愿参加踏勘现场活动。除采购人的原因外，采购人对服务商参加踏勘现场中所发生的人员伤亡和财产损失不承担责任。</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w:t>
      </w:r>
      <w:r>
        <w:rPr>
          <w:rFonts w:hint="default" w:ascii="宋体" w:hAnsi="宋体" w:eastAsia="宋体" w:cs="宋体"/>
          <w:color w:val="000000" w:themeColor="text1"/>
          <w:sz w:val="24"/>
          <w:szCs w:val="28"/>
          <w:lang w:val="en-US"/>
          <w14:textFill>
            <w14:solidFill>
              <w14:schemeClr w14:val="tx1"/>
            </w14:solidFill>
          </w14:textFill>
        </w:rPr>
        <w:t>7</w:t>
      </w:r>
      <w:r>
        <w:rPr>
          <w:rFonts w:hint="eastAsia" w:ascii="宋体" w:hAnsi="宋体" w:eastAsia="宋体" w:cs="宋体"/>
          <w:color w:val="000000" w:themeColor="text1"/>
          <w:sz w:val="24"/>
          <w:szCs w:val="28"/>
          <w14:textFill>
            <w14:solidFill>
              <w14:schemeClr w14:val="tx1"/>
            </w14:solidFill>
          </w14:textFill>
        </w:rPr>
        <w:t>.3采购人在踏勘现场中介绍的场地和相关的周边环境情况，仅作为服务商编制响应文件的参考，采购人不对服务商据此作出的判断和决策负责。</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r>
        <w:rPr>
          <w:rFonts w:hint="default" w:ascii="宋体" w:hAnsi="宋体" w:eastAsia="宋体" w:cs="宋体"/>
          <w:color w:val="000000" w:themeColor="text1"/>
          <w:lang w:val="en-US"/>
          <w14:textFill>
            <w14:solidFill>
              <w14:schemeClr w14:val="tx1"/>
            </w14:solidFill>
          </w14:textFill>
        </w:rPr>
        <w:t>8</w:t>
      </w:r>
      <w:r>
        <w:rPr>
          <w:rFonts w:hint="eastAsia" w:ascii="宋体" w:hAnsi="宋体" w:eastAsia="宋体" w:cs="宋体"/>
          <w:color w:val="000000" w:themeColor="text1"/>
          <w14:textFill>
            <w14:solidFill>
              <w14:schemeClr w14:val="tx1"/>
            </w14:solidFill>
          </w14:textFill>
        </w:rPr>
        <w:t>谈判采购预备会</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本项目不召开谈判采购预备会。</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r>
        <w:rPr>
          <w:rFonts w:hint="default" w:ascii="宋体" w:hAnsi="宋体" w:eastAsia="宋体" w:cs="宋体"/>
          <w:color w:val="000000" w:themeColor="text1"/>
          <w:lang w:val="en-US"/>
          <w14:textFill>
            <w14:solidFill>
              <w14:schemeClr w14:val="tx1"/>
            </w14:solidFill>
          </w14:textFill>
        </w:rPr>
        <w:t>9</w:t>
      </w:r>
      <w:r>
        <w:rPr>
          <w:rFonts w:hint="eastAsia" w:ascii="宋体" w:hAnsi="宋体" w:eastAsia="宋体" w:cs="宋体"/>
          <w:color w:val="000000" w:themeColor="text1"/>
          <w14:textFill>
            <w14:solidFill>
              <w14:schemeClr w14:val="tx1"/>
            </w14:solidFill>
          </w14:textFill>
        </w:rPr>
        <w:t>分包</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本项目不允许分包。</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r>
        <w:rPr>
          <w:rFonts w:hint="default" w:ascii="宋体" w:hAnsi="宋体" w:eastAsia="宋体" w:cs="宋体"/>
          <w:color w:val="000000" w:themeColor="text1"/>
          <w:lang w:val="en-US"/>
          <w14:textFill>
            <w14:solidFill>
              <w14:schemeClr w14:val="tx1"/>
            </w14:solidFill>
          </w14:textFill>
        </w:rPr>
        <w:t>10</w:t>
      </w:r>
      <w:r>
        <w:rPr>
          <w:rFonts w:hint="eastAsia" w:ascii="宋体" w:hAnsi="宋体" w:eastAsia="宋体" w:cs="宋体"/>
          <w:color w:val="000000" w:themeColor="text1"/>
          <w14:textFill>
            <w14:solidFill>
              <w14:schemeClr w14:val="tx1"/>
            </w14:solidFill>
          </w14:textFill>
        </w:rPr>
        <w:t>响应和偏差</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本项目不允许负偏离。</w:t>
      </w:r>
    </w:p>
    <w:p>
      <w:pPr>
        <w:pStyle w:val="5"/>
        <w:spacing w:line="360" w:lineRule="auto"/>
        <w:jc w:val="center"/>
        <w:rPr>
          <w:rFonts w:ascii="宋体" w:hAnsi="宋体" w:eastAsia="宋体" w:cs="宋体"/>
          <w:color w:val="000000" w:themeColor="text1"/>
          <w:sz w:val="28"/>
          <w14:textFill>
            <w14:solidFill>
              <w14:schemeClr w14:val="tx1"/>
            </w14:solidFill>
          </w14:textFill>
        </w:rPr>
      </w:pPr>
      <w:bookmarkStart w:id="17" w:name="_Toc67403228"/>
      <w:bookmarkStart w:id="18" w:name="_Toc78019895"/>
      <w:bookmarkStart w:id="19" w:name="_Toc67403030"/>
      <w:bookmarkStart w:id="20" w:name="_Toc27124766"/>
      <w:r>
        <w:rPr>
          <w:rFonts w:hint="eastAsia" w:ascii="宋体" w:hAnsi="宋体" w:eastAsia="宋体" w:cs="宋体"/>
          <w:color w:val="000000" w:themeColor="text1"/>
          <w:sz w:val="28"/>
          <w14:textFill>
            <w14:solidFill>
              <w14:schemeClr w14:val="tx1"/>
            </w14:solidFill>
          </w14:textFill>
        </w:rPr>
        <w:t>2.</w:t>
      </w:r>
      <w:bookmarkEnd w:id="17"/>
      <w:bookmarkEnd w:id="18"/>
      <w:bookmarkEnd w:id="19"/>
      <w:bookmarkEnd w:id="20"/>
      <w:r>
        <w:rPr>
          <w:rFonts w:hint="eastAsia" w:ascii="宋体" w:hAnsi="宋体" w:eastAsia="宋体" w:cs="宋体"/>
          <w:color w:val="000000" w:themeColor="text1"/>
          <w:sz w:val="28"/>
          <w14:textFill>
            <w14:solidFill>
              <w14:schemeClr w14:val="tx1"/>
            </w14:solidFill>
          </w14:textFill>
        </w:rPr>
        <w:t>竞争性谈判采购文件</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2.1竞争性谈判采购文件的组成</w:t>
      </w:r>
    </w:p>
    <w:p>
      <w:pPr>
        <w:spacing w:line="360" w:lineRule="auto"/>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本竞争性谈判采购文件包括：</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（1）竞争性谈判采购公告</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（2）竞争性服务商须知</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（3）评审办法</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（4）合同草案</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（5）响应文件格式</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（6）技术规范书</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（7）答疑、补遗（若有）</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（8）服务商须知前附表规定的其他资料</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采购人依照本章规定，对竞争性谈判采购文件所做出的澄清、修改，构成谈判文件的组成部分。</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2.2竞争性谈判采购文件的澄清和修改</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2.2.1服务商应仔细阅读和检查竞争性谈判采购文件的全部内容。如发现附件、页码不全等，应及时向采购人或采购代理机构提出，以便补齐。如有疑问，应在服务商须知前附表规定的时间内，以书面形式要求采购人对竞争性谈判采购文件予以澄清。</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 xml:space="preserve"> 2.2.2采购人可根据服务商的要求或主动对竞争性谈判采购文件进行澄清或修改。澄清或修改的内容以补充文件的形式发给所有</w:t>
      </w:r>
      <w:r>
        <w:rPr>
          <w:rFonts w:hint="eastAsia" w:ascii="宋体" w:hAnsi="宋体" w:eastAsia="宋体" w:cs="宋体"/>
          <w:color w:val="000000" w:themeColor="text1"/>
          <w:sz w:val="24"/>
          <w:szCs w:val="28"/>
          <w:lang w:val="en-US" w:eastAsia="zh-CN"/>
          <w14:textFill>
            <w14:solidFill>
              <w14:schemeClr w14:val="tx1"/>
            </w14:solidFill>
          </w14:textFill>
        </w:rPr>
        <w:t>参与</w:t>
      </w:r>
      <w:r>
        <w:rPr>
          <w:rFonts w:hint="eastAsia" w:ascii="宋体" w:hAnsi="宋体" w:eastAsia="宋体" w:cs="宋体"/>
          <w:color w:val="000000" w:themeColor="text1"/>
          <w:sz w:val="24"/>
          <w:szCs w:val="28"/>
          <w14:textFill>
            <w14:solidFill>
              <w14:schemeClr w14:val="tx1"/>
            </w14:solidFill>
          </w14:textFill>
        </w:rPr>
        <w:t>竞争性谈判</w:t>
      </w:r>
      <w:r>
        <w:rPr>
          <w:rFonts w:hint="eastAsia" w:ascii="宋体" w:hAnsi="宋体" w:eastAsia="宋体" w:cs="宋体"/>
          <w:color w:val="000000" w:themeColor="text1"/>
          <w:sz w:val="24"/>
          <w:szCs w:val="28"/>
          <w:lang w:val="en-US" w:eastAsia="zh-CN"/>
          <w14:textFill>
            <w14:solidFill>
              <w14:schemeClr w14:val="tx1"/>
            </w14:solidFill>
          </w14:textFill>
        </w:rPr>
        <w:t>报名</w:t>
      </w:r>
      <w:r>
        <w:rPr>
          <w:rFonts w:hint="eastAsia" w:ascii="宋体" w:hAnsi="宋体" w:eastAsia="宋体" w:cs="宋体"/>
          <w:color w:val="000000" w:themeColor="text1"/>
          <w:sz w:val="24"/>
          <w:szCs w:val="28"/>
          <w14:textFill>
            <w14:solidFill>
              <w14:schemeClr w14:val="tx1"/>
            </w14:solidFill>
          </w14:textFill>
        </w:rPr>
        <w:t>的服务商。采购人可视具体情况在补充文件中通知服务商推迟递交响应文件的截止时间。</w:t>
      </w:r>
    </w:p>
    <w:p>
      <w:pPr>
        <w:spacing w:line="360" w:lineRule="auto"/>
        <w:ind w:firstLine="480" w:firstLineChars="2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 xml:space="preserve"> 2.2.3服务商在收到补充文件后，应按服务商须知前附表规定的时间和方式确认已收到该补充文件。</w:t>
      </w:r>
    </w:p>
    <w:p>
      <w:pPr>
        <w:spacing w:line="360" w:lineRule="auto"/>
        <w:ind w:firstLine="720" w:firstLineChars="300"/>
        <w:rPr>
          <w:rFonts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2.2.4除非采购人认为确有必要答复，否则，采购人有权拒绝回复服务商在本章第2.2.1项规定的时间后提出的任何澄清要求。</w:t>
      </w:r>
    </w:p>
    <w:p>
      <w:pPr>
        <w:pStyle w:val="5"/>
        <w:spacing w:line="360" w:lineRule="auto"/>
        <w:jc w:val="center"/>
        <w:rPr>
          <w:rFonts w:ascii="宋体" w:hAnsi="宋体" w:eastAsia="宋体" w:cs="宋体"/>
          <w:color w:val="000000" w:themeColor="text1"/>
          <w:sz w:val="28"/>
          <w14:textFill>
            <w14:solidFill>
              <w14:schemeClr w14:val="tx1"/>
            </w14:solidFill>
          </w14:textFill>
        </w:rPr>
      </w:pPr>
      <w:bookmarkStart w:id="21" w:name="_Toc27124767"/>
      <w:bookmarkStart w:id="22" w:name="_Toc67403031"/>
      <w:bookmarkStart w:id="23" w:name="_Toc67403229"/>
      <w:bookmarkStart w:id="24" w:name="_Toc78019896"/>
      <w:r>
        <w:rPr>
          <w:rFonts w:hint="eastAsia" w:ascii="宋体" w:hAnsi="宋体" w:eastAsia="宋体" w:cs="宋体"/>
          <w:color w:val="000000" w:themeColor="text1"/>
          <w:sz w:val="28"/>
          <w14:textFill>
            <w14:solidFill>
              <w14:schemeClr w14:val="tx1"/>
            </w14:solidFill>
          </w14:textFill>
        </w:rPr>
        <w:t>3.响应文件</w:t>
      </w:r>
      <w:bookmarkEnd w:id="21"/>
      <w:bookmarkEnd w:id="22"/>
      <w:bookmarkEnd w:id="23"/>
      <w:bookmarkEnd w:id="24"/>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3.1响应文件的组成 </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3.1.1响应文件应包括第五章响应文件格式所示全部内容。</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服务商在谈判和评审过程中做出的符合竞争性谈判采购文件要求的澄清、说明，构成响应文件的组成部分。</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3.1.2服务商的法定代表人（单位负责人）亲自签署响应文件、参加谈判的，响应文件不包括响应文件所指的授权委托书；服务商须知前附表未要求服务商提交响应保证金的，响应文件不包括响应文件所指的响应保证金。</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3.2报价</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3.2.1服务商应按竞争性谈判采购文件提供的格式在响应函和报价表中进行报价。响应</w:t>
      </w:r>
      <w:r>
        <w:rPr>
          <w:rFonts w:hint="eastAsia" w:ascii="宋体" w:hAnsi="宋体" w:eastAsia="宋体" w:cs="宋体"/>
          <w:color w:val="000000" w:themeColor="text1"/>
          <w:sz w:val="24"/>
          <w:lang w:val="en-US" w:eastAsia="zh-CN"/>
          <w14:textFill>
            <w14:solidFill>
              <w14:schemeClr w14:val="tx1"/>
            </w14:solidFill>
          </w14:textFill>
        </w:rPr>
        <w:t>文件</w:t>
      </w:r>
      <w:r>
        <w:rPr>
          <w:rFonts w:hint="eastAsia" w:ascii="宋体" w:hAnsi="宋体" w:eastAsia="宋体" w:cs="宋体"/>
          <w:color w:val="000000" w:themeColor="text1"/>
          <w:sz w:val="24"/>
          <w14:textFill>
            <w14:solidFill>
              <w14:schemeClr w14:val="tx1"/>
            </w14:solidFill>
          </w14:textFill>
        </w:rPr>
        <w:t>中报价应为含税价（格式要求的除外），报价中已包含国家规定的增值税，若有要求同时应列明增值税的税率。报价表中若有要求应明确列出不含税价格和税额。采购人将根据项目情况，在评审办法前附表中选择按照含税价格或不含税价格对服务商进行价格评审。无论以何种价格进行评审，采购人最终将按照含税价格与成交服务商签约。</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3.2.2服务商应充分了解该项目的总体情况以及影响报价的其他要素。</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3.2.3采购人设有最高限价的，服务商的报价不得超过最高限价。最高限价或最高限价计算办法在服务商须知前附表中载明。</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3.2.4报价的其他要求见服务商须知前附表。</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3.3响应文件有效期</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3.3.1除服务商须知前附表另有规定以外，响应文件有效期应为90日，从竞争性谈判采购文件规定的递交响应文件的截止时间开始计算。</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3.3.2出现特殊情况需要延长响应文件有效期的，采购人以书面邮件的方式通知所有服务商延长响应文件有效期。服务商应予以书面答复。同意延长的，应相应延长其响应保证金的有效期，但不得修改其响应文件；服务商拒绝延长的，其响应文件失效，但服务商有权收回其响应保证金。</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3.4响应保证金</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3.4.1服务商须知前附表规定响应保证金的，服务商在递交响应文件的同时，应按服务商须知前附表规定的金额、形式和竞争性谈判采购文件提供的格式递交响应保证金，并作为其响应文件的组成部分。服务商不按要求提交响应保证金的，其响应文件将被视为无效。</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3.4.2除服务商须知前附表另有规定外，采购人将在发出成交通知书后7日内向除候选成交服务商外的其他服务商原额退还响应保证金，并在采购合同签订后7日内向成交服务商和未成交的其他候选成交服务商原额退还响应保证金。采用银行保函、担保机构担保函、保险机构保险单形式提交的响应保证金，经服务商同意后采购人可以不再退还。</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3.4.3 有下列情形之一的，响应保证金将不予退还：</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（1）服务商在响应截止后撤销或修改其响应文件的。</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（2）成交服务商无正当理由放弃成交资格的，或成交后未按竞争性谈判采购文件规定提交履约保证金的。</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（3）服务商采用不正当的手段骗取成交。</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（4）成交服务商无正当理由不签订合同的。</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（5）成交服务商在签订合同时提出超出竞争性谈判采购文件、响应文件约定的附加条件的，或提出采购人不能接受的条件的。</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（6）法律法规规定的其他情形。</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3.5资格审查资料</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3.5.1服务商应按服务商须知前附表的规定提供资格审查资料，以证明其满足第一章竞争性谈判采购公告对服务商的各项资格要求。</w:t>
      </w:r>
    </w:p>
    <w:p>
      <w:pPr>
        <w:spacing w:line="360" w:lineRule="auto"/>
        <w:ind w:firstLine="426" w:firstLineChars="177"/>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3.5.2本项目不接受联合体响应申请。</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3.5.3服务商不得存在下列情形之一：</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（1）为本项目提供采购代理服务的；</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（2）与本项目的采购代理机构同为一个法定代表人的；</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（3）被责令停业的；</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（4）被暂停或取消响应资格的；</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（5）财产被接管或冻结的；</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（6）在最近三年内有骗取成交或严重违约或重大工程质量问题的。</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3.6响应方案</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3.6.1响应文件应当对竞争性谈判采购文件中的实质性内容作出响应。采购需求和合同草案中明确的内容，服务商除了进行响应外，还应按照服务商须知前附表的规定提供有关资料。响应文件在满足竞争性谈判采购文件实质性要求的基础上，可以提出比竞争性谈判采购文件要求更有利于采购人的承诺。</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3.6.2除服务商须知前附表规定服务商只能提出唯一响应方案外，服务商可在首次递交的响应文件中提出多个响应方案。服务商在最终报价前应确定一个最终方案，并针对最终方案提出最终报价。</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3.6.3响应文件对竞争性谈判采购文件的全部偏差，均应在响应文件的商务和技术偏差表中列明。响应文件偏差表中未列明的内容，谈判小组可以视为服务商响应竞争性谈判采购文件的要求。但如在谈判采购活动中发现响应文件的其他部分与商务和技术偏差表的描述不一致或服务商的响应缺乏支持性文件，谈判小组有权要求服务商对相关问题进行澄清，并根据澄清结果对服务商的响应文件进行评审。</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3.6.4服务商在响应文件中未进行如实应答的，评审过程中，将对该服务商做出不利评价。</w:t>
      </w:r>
    </w:p>
    <w:p>
      <w:pPr>
        <w:pStyle w:val="6"/>
        <w:spacing w:line="360" w:lineRule="auto"/>
        <w:rPr>
          <w:rFonts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3.7响应文件的编制</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bookmarkStart w:id="25" w:name="_Toc78019897"/>
      <w:bookmarkStart w:id="26" w:name="_Toc27124768"/>
      <w:bookmarkStart w:id="27" w:name="_Toc67403230"/>
      <w:bookmarkStart w:id="28" w:name="_Toc67403032"/>
      <w:r>
        <w:rPr>
          <w:rFonts w:hint="eastAsia" w:ascii="宋体" w:hAnsi="宋体" w:eastAsia="宋体" w:cs="宋体"/>
          <w:color w:val="000000" w:themeColor="text1"/>
          <w:sz w:val="24"/>
          <w14:textFill>
            <w14:solidFill>
              <w14:schemeClr w14:val="tx1"/>
            </w14:solidFill>
          </w14:textFill>
        </w:rPr>
        <w:t>3.7.1 响应文件应按第五章“响应文件格式”进行编写，如有必要，可以增加附页，作为响应文件的组成部分。其中，响应函附录在满足采购文件实质性要求的基础上，可以提出比采购文件要求更有利于采购人的承诺。</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3.7.2 响应文件应当对采购文件有关服务周期、响应有效期、服务质量要求、技术规范书、采购范围等实质性内容作出响应。</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3.7.3 响应文件应用不褪色的材料书写或打印，并由服务商的法定代表人（负责人）或其委托代理人签字或盖单位章。委托代理人签字的，响应文件应附法定代表人（负责人）签署的授权委托书。响应文件应尽量避免涂改、行间插字或删除。如果出现上述情况，改动之处应加盖单位章或由服务商的法定代表人（负责人）或其授权的代理人签字确认。签字或盖章的具体要求见服务商须知前附表。</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3.7.4 响应文件正本一份，副本份数见服务商须知前附表。正本和副本的封面上应清楚地标记“正本”或“副本”的字样。当副本和正本不一致时，以正本为准。</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3.7.5 响应文件的正本与副本应分别装订成册，并编制目录，具体装订要求见服务商须知前附表规定。</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3.7.6 各包响应文件应分别制作，独立封装，分别响应。不同包响应文件不得混装或密封在同一包封内。 </w:t>
      </w:r>
    </w:p>
    <w:p>
      <w:pPr>
        <w:pStyle w:val="5"/>
        <w:spacing w:line="360" w:lineRule="auto"/>
        <w:jc w:val="center"/>
        <w:rPr>
          <w:rFonts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4.响应文件的递交</w:t>
      </w:r>
      <w:bookmarkEnd w:id="25"/>
      <w:bookmarkEnd w:id="26"/>
      <w:bookmarkEnd w:id="27"/>
      <w:bookmarkEnd w:id="28"/>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4.1响应文件的加密</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4.1.1 响应文件应密封，并在封套的封口处加盖服务商单位公章或密封章。</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4.1.2 响应文件应清楚地标记“正本”或“副本”字样，封套上应写明的其他内容见服务商须知前附表。</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4.1.3 未按本章第4.1.1 项或第4.1.2 项要求密封和加写标记的响应文件，采购人不予受理。</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4.2响应文件的递交</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4.2.1 服务商应在采购文件规定的响应文件递交截止时间前递交响应文件。</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4.2.2 服务商递交响应文件的地点：见服务商须知前附表。</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4.2.3 除服务商须知前附表另有规定外，服务商所递交的响应文件不予退还。</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4.2.4 采购人或采购代理机构收到响应文件后，向服务商出具签收凭证。</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4.2.5 逾期送达的或者未送达指定地点的响应文件，采购人不予受理。</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4.3响应文件的修改与撤回</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bookmarkStart w:id="29" w:name="_Toc67403033"/>
      <w:bookmarkStart w:id="30" w:name="_Toc78019898"/>
      <w:bookmarkStart w:id="31" w:name="_Toc67403231"/>
      <w:bookmarkStart w:id="32" w:name="_Toc27124769"/>
      <w:r>
        <w:rPr>
          <w:rFonts w:hint="eastAsia" w:ascii="宋体" w:hAnsi="宋体" w:eastAsia="宋体" w:cs="宋体"/>
          <w:color w:val="000000" w:themeColor="text1"/>
          <w:sz w:val="24"/>
          <w14:textFill>
            <w14:solidFill>
              <w14:schemeClr w14:val="tx1"/>
            </w14:solidFill>
          </w14:textFill>
        </w:rPr>
        <w:t>4.3.1 在采购文件规定的响应文件递交截止时间前，服务商可以修改或撤回已递交的响应文件，但应以书面形式通知采购人。</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4.3.2 服务商修改或撤回已递交响应文件的书面通知应按照本章第3.7.3 项的要求签字或盖章。采购人收到书面通知后，向服务商出具签收凭证。</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4.3.3 修改的内容为响应文件的组成部分。修改的响应文件应按照本章第3 条、第4 条规定进行编制、密封、标记和递交，并标明“修改”字样。</w:t>
      </w:r>
    </w:p>
    <w:p>
      <w:pPr>
        <w:pStyle w:val="5"/>
        <w:spacing w:line="360" w:lineRule="auto"/>
        <w:jc w:val="center"/>
        <w:rPr>
          <w:rFonts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5.开启响应文件</w:t>
      </w:r>
      <w:bookmarkEnd w:id="29"/>
      <w:bookmarkEnd w:id="30"/>
      <w:bookmarkEnd w:id="31"/>
      <w:bookmarkEnd w:id="32"/>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采购人根据采购项目的市场供应情况确定是否公开开启响应文件。服务商须知前附表规定公开开启响应文件的，开启活动应按本条规定进行。</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5.1开启响应文件的时间和地点</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采购人在本章规定的递交响应文件的截止时间和服务商须知前附表规定的地点公开开启响应文件，并邀请所有服务商准时参加。</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5.2开标程序</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主持人按下列程序公开开启响应文件：</w:t>
      </w:r>
    </w:p>
    <w:p>
      <w:pPr>
        <w:spacing w:line="360" w:lineRule="auto"/>
        <w:ind w:firstLine="424" w:firstLineChars="177"/>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（1）宣布响应文件开启会议纪律；</w:t>
      </w:r>
    </w:p>
    <w:p>
      <w:pPr>
        <w:spacing w:line="360" w:lineRule="auto"/>
        <w:ind w:firstLine="424" w:firstLineChars="177"/>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（2）宣布参加响应文件开启会议的相关单位或人员；</w:t>
      </w:r>
    </w:p>
    <w:p>
      <w:pPr>
        <w:spacing w:line="360" w:lineRule="auto"/>
        <w:ind w:firstLine="424" w:firstLineChars="177"/>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（3）宣布响应文件的递交及密封情况。所有有效响应文件随机拆封完成后公布服务商响应文件响应报价一览表中的主要内容，并记录在案。</w:t>
      </w:r>
    </w:p>
    <w:p>
      <w:pPr>
        <w:spacing w:line="360" w:lineRule="auto"/>
        <w:ind w:firstLine="424" w:firstLineChars="177"/>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（4）服务商对响应文件的开启有异议的，应当在响应文件开启时提出，采购人应当场作出答复，并记录；</w:t>
      </w:r>
    </w:p>
    <w:p>
      <w:pPr>
        <w:spacing w:line="360" w:lineRule="auto"/>
        <w:ind w:firstLine="424" w:firstLineChars="177"/>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（5）宣布服务商参加谈判的先后顺序（现场抽取或按照唱标顺序）；</w:t>
      </w:r>
    </w:p>
    <w:p>
      <w:pPr>
        <w:spacing w:line="360" w:lineRule="auto"/>
        <w:ind w:firstLine="424" w:firstLineChars="177"/>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（6）宣布谈判有关安排和注意事项；</w:t>
      </w:r>
    </w:p>
    <w:p>
      <w:pPr>
        <w:spacing w:line="360" w:lineRule="auto"/>
        <w:ind w:firstLine="424" w:firstLineChars="177"/>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（7）开标结束。</w:t>
      </w:r>
    </w:p>
    <w:p>
      <w:pPr>
        <w:pStyle w:val="5"/>
        <w:spacing w:line="360" w:lineRule="auto"/>
        <w:jc w:val="center"/>
        <w:rPr>
          <w:rFonts w:ascii="宋体" w:hAnsi="宋体" w:eastAsia="宋体" w:cs="宋体"/>
          <w:color w:val="000000" w:themeColor="text1"/>
          <w:sz w:val="28"/>
          <w14:textFill>
            <w14:solidFill>
              <w14:schemeClr w14:val="tx1"/>
            </w14:solidFill>
          </w14:textFill>
        </w:rPr>
      </w:pPr>
      <w:bookmarkStart w:id="33" w:name="_Toc67403232"/>
      <w:bookmarkStart w:id="34" w:name="_Toc27124770"/>
      <w:bookmarkStart w:id="35" w:name="_Toc67403034"/>
      <w:bookmarkStart w:id="36" w:name="_Toc78019899"/>
      <w:r>
        <w:rPr>
          <w:rFonts w:hint="eastAsia" w:ascii="宋体" w:hAnsi="宋体" w:eastAsia="宋体" w:cs="宋体"/>
          <w:color w:val="000000" w:themeColor="text1"/>
          <w:sz w:val="28"/>
          <w14:textFill>
            <w14:solidFill>
              <w14:schemeClr w14:val="tx1"/>
            </w14:solidFill>
          </w14:textFill>
        </w:rPr>
        <w:t>6.谈判和评审</w:t>
      </w:r>
      <w:bookmarkEnd w:id="33"/>
      <w:bookmarkEnd w:id="34"/>
      <w:bookmarkEnd w:id="35"/>
      <w:bookmarkEnd w:id="36"/>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6.1谈判小组</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6.1.1 采购人将组建谈判小组，并由其按照本章规定的程序以及评审办法的规定与服务商进行谈判、对响应文件进行评审和比较。采购人依法组建的谈判小组对评审结果负责：</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6.1.2谈判小组组建：</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（1）采购人自行组建；</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（2）在确定成交结果前，</w:t>
      </w:r>
      <w:r>
        <w:rPr>
          <w:rFonts w:hint="eastAsia" w:ascii="宋体" w:hAnsi="宋体" w:eastAsia="宋体" w:cs="宋体"/>
          <w:color w:val="000000" w:themeColor="text1"/>
          <w:sz w:val="24"/>
          <w:lang w:val="en-US" w:eastAsia="zh-CN"/>
          <w14:textFill>
            <w14:solidFill>
              <w14:schemeClr w14:val="tx1"/>
            </w14:solidFill>
          </w14:textFill>
        </w:rPr>
        <w:t>采购人</w:t>
      </w:r>
      <w:r>
        <w:rPr>
          <w:rFonts w:hint="eastAsia" w:ascii="宋体" w:hAnsi="宋体" w:eastAsia="宋体" w:cs="宋体"/>
          <w:color w:val="000000" w:themeColor="text1"/>
          <w:sz w:val="24"/>
          <w14:textFill>
            <w14:solidFill>
              <w14:schemeClr w14:val="tx1"/>
            </w14:solidFill>
          </w14:textFill>
        </w:rPr>
        <w:t>对谈判小组名单应予以保密。</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（3）谈判小组成员人数见服务商须知前附表。</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6.1.3 谈判小组成员有下列情形之一的，应当回避：</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（1）服务商或服务商主要负责人的近亲属；</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（2）项目主管部门或者行政监督部门的人员；</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（3）与服务商有经济利益关系，可能影响对响应公正评审的；</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（4）曾因在采购、谈判以及其他与采购响应有关活动中从事违法行为而受过行政处罚或刑事处罚的；</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（5）与服务商有其他利害关系。</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6.1.4 谈判小组组建后，采购人指定谈判小组组长，谈判小组组长负责组织谈判及评审工作。</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6.1.5在谈判和评审过程中，谈判小组成员有回避事由、擅离职守或者因健康等原因不能继续谈判的，采购人有权更换。被更换的谈判小组成员作出的评审结论无效，由更换后的谈判小组成员重新进行评审。</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6.1.6在谈判和评审过程中，谈判小组成员对需要共同认定的事项存在争议的，将按照少数服从多数的原则作出结论。持不同意见的谈判小组成员应当在评审报告上签署不同意见及理由，否则视为同意评审报告。</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6.2初步评审</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6.2.1谈判小组按照评审办法规定的评审标准和程序对服务商提交的响应文件进行初步评审。初步评审主要对响应文件的形式、服务商的资格和响应文件的响应性进行审查，以判断响应文件的形式是否符合要求、服务商是否符合资格条件、响应文件是否实质性响应竞争性谈判采购文件的要求。</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6.2.2</w:t>
      </w:r>
      <w:r>
        <w:rPr>
          <w:rFonts w:hint="eastAsia" w:ascii="宋体" w:hAnsi="宋体" w:eastAsia="宋体" w:cs="宋体"/>
          <w:b/>
          <w:bCs/>
          <w:color w:val="000000" w:themeColor="text1"/>
          <w:sz w:val="24"/>
          <w14:textFill>
            <w14:solidFill>
              <w14:schemeClr w14:val="tx1"/>
            </w14:solidFill>
          </w14:textFill>
        </w:rPr>
        <w:t>响应文件的形式或服务商资格不符合采购文件的要求、响应文件未实质性响应采购文件的要求，或响应文件中有含义不明确、同类问题表述不一致或有明显文字和计算错误的内容，谈判小组应要求服务商在规定时间内进行澄清、说明。服务商澄清、说明的内容应由法定代表人（单位负责人）或其授权的代理人签字。澄清、说明的内容作为响应文件的组成部分。</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6.2.3只有形式评审、资格评审和响应性评审合格且实质性响应采购文件要求的服务商才可通过初步评审。</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6.3谈判</w:t>
      </w:r>
    </w:p>
    <w:p>
      <w:pPr>
        <w:spacing w:line="360" w:lineRule="auto"/>
        <w:ind w:firstLine="424" w:firstLineChars="17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6.3.1谈判小组应按照服务商须知前附表规定的谈判顺序与通过初步评审的服务商逐一进行谈判。谈判小组可以根据谈判情况决定谈判轮次。</w:t>
      </w:r>
    </w:p>
    <w:p>
      <w:pPr>
        <w:spacing w:line="360" w:lineRule="auto"/>
        <w:ind w:firstLine="480" w:firstLineChars="200"/>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6.3.2</w:t>
      </w:r>
      <w:r>
        <w:rPr>
          <w:rFonts w:hint="eastAsia" w:ascii="宋体" w:hAnsi="宋体" w:eastAsia="宋体" w:cs="宋体"/>
          <w:b/>
          <w:color w:val="000000" w:themeColor="text1"/>
          <w:sz w:val="24"/>
          <w14:textFill>
            <w14:solidFill>
              <w14:schemeClr w14:val="tx1"/>
            </w14:solidFill>
          </w14:textFill>
        </w:rPr>
        <w:t>当有效服务商不足三个使得响应明显缺乏竞争的，谈判小组可以否决全部响应文件。</w:t>
      </w:r>
    </w:p>
    <w:p>
      <w:pPr>
        <w:spacing w:line="360" w:lineRule="auto"/>
        <w:ind w:firstLine="482" w:firstLineChars="200"/>
        <w:rPr>
          <w:rFonts w:ascii="宋体" w:hAnsi="宋体" w:eastAsia="宋体" w:cs="宋体"/>
          <w:b/>
          <w:color w:val="000000" w:themeColor="text1"/>
          <w:sz w:val="24"/>
          <w:highlight w:val="green"/>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当谈判小组根据初步评审的规定，经评审作无效处理后，有效服务商不足三个，经谈判小组讨论研究后认为剩余服务商仍然具有竞争性，可继续评审。</w:t>
      </w:r>
    </w:p>
    <w:p>
      <w:pPr>
        <w:spacing w:line="360" w:lineRule="auto"/>
        <w:ind w:firstLine="480" w:firstLineChars="200"/>
        <w:rPr>
          <w:rFonts w:ascii="宋体" w:hAnsi="宋体" w:eastAsia="宋体" w:cs="宋体"/>
          <w:b/>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6.3.3 谈判小组所有成员应集中与单一服务商逐一进行谈判，并给予所有参加谈判的服务商平等的谈判机会。服务商的法定代表人（单位负责人）或其授权的代理人应参加谈判。服务商的法定代表人（单位负责人）或其授权的代理人在谈判中做出的承诺构成响应文件的组成部分。</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6.4提交最终报价</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谈判小组在谈判中未修改或补充竞争性谈判采购文件的，谈判结束后，谈判小组将要求所有参加谈判的服务商在规定时间内提交最终报价；谈判小组修改和补充了竞争性谈判采购文件的，谈判小组应要求按照本章规定提交了实质性响应的服务商在规定时间内提交最终报价。最终报价应由服务商的法定代表人（单位负责人）或授权代表签字并加盖签章（或按手印）。最终报价是服务商响应文件的有效组成部分。</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6.5公开开启最终报价</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本项目不公开开启、公布所有服务商的最终报价。仅向所有参与谈判的服务商通知推荐成交候选服务商的最终报价。</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6.6详细评审及推荐候选成交服务商</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6.6.1谈判小组按照评审办法规定的方法、评审因素、标准和程序对响应文件进行详细评审。评审办法没有规定的办法、评审因素和标准，不作为评审依据。</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6.6.2评审完成后，谈判小组应当向采购人提交书面评审报告和候选服务商名单。除服务商须知前附表另有规定外，谈判小组向采购人推荐不超过3名候选成交服务商。</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6.6.3所有服务商报价均明显不合理的，谈判小组可以建议采购人继续或终止谈判活动，或重新组织采购活动。</w:t>
      </w:r>
    </w:p>
    <w:p>
      <w:pPr>
        <w:pStyle w:val="5"/>
        <w:spacing w:line="360" w:lineRule="auto"/>
        <w:jc w:val="center"/>
        <w:rPr>
          <w:rFonts w:ascii="宋体" w:hAnsi="宋体" w:eastAsia="宋体" w:cs="宋体"/>
          <w:color w:val="000000" w:themeColor="text1"/>
          <w:sz w:val="28"/>
          <w14:textFill>
            <w14:solidFill>
              <w14:schemeClr w14:val="tx1"/>
            </w14:solidFill>
          </w14:textFill>
        </w:rPr>
      </w:pPr>
      <w:bookmarkStart w:id="37" w:name="_Toc67403233"/>
      <w:bookmarkStart w:id="38" w:name="_Toc78019900"/>
      <w:bookmarkStart w:id="39" w:name="_Toc27124771"/>
      <w:bookmarkStart w:id="40" w:name="_Toc67403035"/>
      <w:r>
        <w:rPr>
          <w:rFonts w:hint="eastAsia" w:ascii="宋体" w:hAnsi="宋体" w:eastAsia="宋体" w:cs="宋体"/>
          <w:color w:val="000000" w:themeColor="text1"/>
          <w:sz w:val="28"/>
          <w14:textFill>
            <w14:solidFill>
              <w14:schemeClr w14:val="tx1"/>
            </w14:solidFill>
          </w14:textFill>
        </w:rPr>
        <w:t>7.合同授予</w:t>
      </w:r>
      <w:bookmarkEnd w:id="37"/>
      <w:bookmarkEnd w:id="38"/>
      <w:bookmarkEnd w:id="39"/>
      <w:bookmarkEnd w:id="40"/>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7.1候选成交服务商履约能力审查</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在确定成交服务商前，采购人可对候选成交服务商的相关证明材料进行复核，以进一步确认候选成交服务商是否具备履约能力。复核中如发现证明材料存在问题，或发现候选成交服务商的经营、财务状况发生较大变化或存在违法行为，采购人认为可能影响其履约能力的，将在发出成交通知书前提请原谈判小组按照竞争性谈判采购文件规定的标准和办法进行审查确认。</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7.2候选成交服务商通知</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7.2.1采购人向所有谈判参与服务商通知候选成交服务商的，通知内容、通知期限和通知方法见服务商须知前附表。</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7.2.2向所有谈判参与服务商通知谈判小组推荐的所有候选成交服务商。</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7.3确定成交服务商</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采购人将根据评审报告，经对候选成交服务商综合评估后从中选择确定成交服务商。采购人已经向所有谈判参与服务商通知候选成交服务商的，将从候选成交服务商中选择确定成交服务商。</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7.4发出成交通知书</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按照本章规定的响应文件有效期内，采购人以书面形式向成交服务商发出成交通知书。</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7.5告知成交结果</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在发出成交通知书的同时，服务商通过采购人发布的成交候选服务商通知知晓成交结果。</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7.6履约保证金</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7.6.1服务商须知前附表规定提交履约保证金的，成交服务商应按服务商须知前附表规定的形式、有效期限和提交时间向采购人提交履约保证金。</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7.6.2履约保证金金额详见“服务商须知前附表”。联合体成交的，其履约保证金以联合体各方或者联合体中牵头人的名义提交。</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7.6.3 成交服务商不能按本章要求提交履约保证金的，视为放弃成交，其响应保证金不予退还，给采购人造成的损失超过响应保证金数额的，成交服务商还应当对超过部分予以赔偿。</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7.7签订合同</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7.7.1 采购人和成交服务商应当在成交通知书规定的期限内，根据竞争性谈判采购文件和成交服务商的响应文件订立书面合同。成交服务商无正当理由拒签合同的，在签订合同时向采购人提出附加条件，或者不按照竞争性谈判采购文件要求提交履约保证金的，采购人取消其成交资格，其响应保证金不予退还；给采购人造成的损失超过响应保证金数额的，成交服务商还应当对超过部分予以赔偿。</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7.7.2发出成交通知书后，采购人无正当理由拒签合同，或者在签订合同时向成交服务商提出附加条件的，采购人向成交服务商退还响应保证金；给成交服务商造成损失的，还应当赔偿损失。</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7.7.3 联合体成交的，联合体各方应当共同与采购人签订合同，就成交项目向采购人承担连带责任。</w:t>
      </w:r>
    </w:p>
    <w:p>
      <w:pPr>
        <w:pStyle w:val="5"/>
        <w:spacing w:line="360" w:lineRule="auto"/>
        <w:jc w:val="center"/>
        <w:rPr>
          <w:rFonts w:ascii="宋体" w:hAnsi="宋体" w:eastAsia="宋体" w:cs="宋体"/>
          <w:color w:val="000000" w:themeColor="text1"/>
          <w:sz w:val="28"/>
          <w14:textFill>
            <w14:solidFill>
              <w14:schemeClr w14:val="tx1"/>
            </w14:solidFill>
          </w14:textFill>
        </w:rPr>
      </w:pPr>
      <w:bookmarkStart w:id="41" w:name="_Toc78019901"/>
      <w:bookmarkStart w:id="42" w:name="_Toc67403234"/>
      <w:bookmarkStart w:id="43" w:name="_Toc27124772"/>
      <w:bookmarkStart w:id="44" w:name="_Toc67403036"/>
      <w:r>
        <w:rPr>
          <w:rFonts w:hint="eastAsia" w:ascii="宋体" w:hAnsi="宋体" w:eastAsia="宋体" w:cs="宋体"/>
          <w:color w:val="000000" w:themeColor="text1"/>
          <w:sz w:val="28"/>
          <w14:textFill>
            <w14:solidFill>
              <w14:schemeClr w14:val="tx1"/>
            </w14:solidFill>
          </w14:textFill>
        </w:rPr>
        <w:t>8.异议</w:t>
      </w:r>
      <w:bookmarkEnd w:id="41"/>
      <w:bookmarkEnd w:id="42"/>
      <w:bookmarkEnd w:id="43"/>
      <w:bookmarkEnd w:id="44"/>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8.1提出异议</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服务商或者其他利害关系人认为谈判采购活动中存在不合法或违反民事活动中平等自愿、公平诚信原则情形的，或认为采购活动有违《非采购方式采购代理服务规范》规定的物有所值、公平高效、透明规范和诚实信用原则的，可以按照本款规定的时间和要求提出异议：</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（1）对采购文件的异议，应当在服务商须知前附表规定的时间内以书面方式提出；</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（2）对公开开启响应文件过程的异议，应当在响应文件开启会议现场提出，采购人当场作出答复，并制作记录；</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服务商或者其他利害关系人对评审结果有异议的，应当在成交候选服务商通知期间向采购人或代理机构以书面形式提出。采购人或代理机构将在收到异议之日起3日内作出答复；作出答复前，将暂停采购活动。</w:t>
      </w:r>
    </w:p>
    <w:p>
      <w:pPr>
        <w:spacing w:line="360" w:lineRule="auto"/>
        <w:ind w:firstLine="482" w:firstLineChars="2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评审结果</w:t>
      </w:r>
      <w:r>
        <w:rPr>
          <w:rFonts w:hint="eastAsia" w:ascii="宋体" w:hAnsi="宋体" w:eastAsia="宋体" w:cs="宋体"/>
          <w:b/>
          <w:bCs/>
          <w:color w:val="000000" w:themeColor="text1"/>
          <w:sz w:val="24"/>
          <w14:textFill>
            <w14:solidFill>
              <w14:schemeClr w14:val="tx1"/>
            </w14:solidFill>
          </w14:textFill>
        </w:rPr>
        <w:t>异议书应当包括下列内容：</w:t>
      </w:r>
    </w:p>
    <w:p>
      <w:pPr>
        <w:spacing w:line="360" w:lineRule="auto"/>
        <w:ind w:firstLine="482" w:firstLineChars="2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①服务商单位名称、地址、联系人及联系电话；</w:t>
      </w:r>
    </w:p>
    <w:p>
      <w:pPr>
        <w:spacing w:line="360" w:lineRule="auto"/>
        <w:ind w:firstLine="482" w:firstLineChars="2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②异议项目的名称、编号；</w:t>
      </w:r>
    </w:p>
    <w:p>
      <w:pPr>
        <w:spacing w:line="360" w:lineRule="auto"/>
        <w:ind w:firstLine="482" w:firstLineChars="2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③具体、明确的异议事项和与异议事项相关的请求；</w:t>
      </w:r>
    </w:p>
    <w:p>
      <w:pPr>
        <w:spacing w:line="360" w:lineRule="auto"/>
        <w:ind w:firstLine="482" w:firstLineChars="2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④有效线索和相关证明材料；</w:t>
      </w:r>
    </w:p>
    <w:p>
      <w:pPr>
        <w:spacing w:line="360" w:lineRule="auto"/>
        <w:ind w:firstLine="482" w:firstLineChars="2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⑤必要的法律依据；</w:t>
      </w:r>
    </w:p>
    <w:p>
      <w:pPr>
        <w:spacing w:line="360" w:lineRule="auto"/>
        <w:ind w:firstLine="482" w:firstLineChars="2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⑥提出异议的日期。</w:t>
      </w:r>
    </w:p>
    <w:p>
      <w:pPr>
        <w:spacing w:line="360" w:lineRule="auto"/>
        <w:ind w:firstLine="482"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服务商为自然人的，应当由本人签字；服务商为法人或者其他组织的，应当由法定代表人、主要负责人，或者其授权代表签字或者签章，并加盖单位公章。授权代表签字或签章的应附法定代表人身份证明书、法定代表人授权委托书及被授权人身份证复印件</w:t>
      </w:r>
      <w:r>
        <w:rPr>
          <w:rFonts w:hint="eastAsia" w:ascii="宋体" w:hAnsi="宋体" w:eastAsia="宋体" w:cs="宋体"/>
          <w:color w:val="000000" w:themeColor="text1"/>
          <w:sz w:val="24"/>
          <w14:textFill>
            <w14:solidFill>
              <w14:schemeClr w14:val="tx1"/>
            </w14:solidFill>
          </w14:textFill>
        </w:rPr>
        <w:t>。</w:t>
      </w:r>
    </w:p>
    <w:p>
      <w:pPr>
        <w:spacing w:line="360" w:lineRule="auto"/>
        <w:ind w:firstLine="482"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不符合上述异议书内容规定的，或未在成交候选服务商通知期内提出的将不予受理</w:t>
      </w:r>
      <w:r>
        <w:rPr>
          <w:rFonts w:hint="eastAsia" w:ascii="宋体" w:hAnsi="宋体" w:eastAsia="宋体" w:cs="宋体"/>
          <w:color w:val="000000" w:themeColor="text1"/>
          <w:sz w:val="24"/>
          <w14:textFill>
            <w14:solidFill>
              <w14:schemeClr w14:val="tx1"/>
            </w14:solidFill>
          </w14:textFill>
        </w:rPr>
        <w:t>。</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8.2异议处理</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采购人将针对异议提出的问题进行核查，经过核查，发现异议提出人对相关问题理解有误的，应作出解释；发现采购活动中确实存在不当行为的，应及时予以改正或补救。</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异议人与采购人对异议事项无法达成一致的，异议人可向行业组织或主管部门申请调解或进行反映。</w:t>
      </w:r>
    </w:p>
    <w:p>
      <w:pPr>
        <w:pStyle w:val="5"/>
        <w:spacing w:line="360" w:lineRule="auto"/>
        <w:jc w:val="center"/>
        <w:rPr>
          <w:rFonts w:ascii="宋体" w:hAnsi="宋体" w:eastAsia="宋体" w:cs="宋体"/>
          <w:color w:val="000000" w:themeColor="text1"/>
          <w:sz w:val="28"/>
          <w14:textFill>
            <w14:solidFill>
              <w14:schemeClr w14:val="tx1"/>
            </w14:solidFill>
          </w14:textFill>
        </w:rPr>
      </w:pPr>
      <w:bookmarkStart w:id="45" w:name="_Toc78019902"/>
      <w:bookmarkStart w:id="46" w:name="_Toc67403235"/>
      <w:bookmarkStart w:id="47" w:name="_Toc27124773"/>
      <w:bookmarkStart w:id="48" w:name="_Toc67403037"/>
      <w:r>
        <w:rPr>
          <w:rFonts w:hint="eastAsia" w:ascii="宋体" w:hAnsi="宋体" w:eastAsia="宋体" w:cs="宋体"/>
          <w:color w:val="000000" w:themeColor="text1"/>
          <w:sz w:val="28"/>
          <w14:textFill>
            <w14:solidFill>
              <w14:schemeClr w14:val="tx1"/>
            </w14:solidFill>
          </w14:textFill>
        </w:rPr>
        <w:t>9.纪律要求</w:t>
      </w:r>
      <w:bookmarkEnd w:id="45"/>
      <w:bookmarkEnd w:id="46"/>
      <w:bookmarkEnd w:id="47"/>
      <w:bookmarkEnd w:id="48"/>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9.1对采购人的纪律要求</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采购人不得泄露谈判采购活动中应当保密的情况和资料，不得与服务商串通损害国家利益、社会公共利益、他人合法权益。</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9.2对服务商的纪律要求</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服务商不得相互串通或者与采购人串通，不得向采购人或者谈判小组成员行贿谋取成交，不得以他人名义参加谈判采购活动或以其他方式弄虚作假骗取成交；服务商不得以任何方式干扰、影响评审工作。</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9.3对谈判小组成员的纪律要求</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谈判小组成员不得收受他人的财物或者其他好处，不得向他人透露对响应文件的评审和比较、候选成交服务商的推荐情况以及评审有关的其他情况。在谈判活动中，谈判小组成员应当客观、公正地履行职责，遵守职业道德，不得擅离职守，影响谈判工作正常进行，不得使用评审办法没有规定的评审因素和标准进行评审。</w:t>
      </w:r>
    </w:p>
    <w:p>
      <w:pPr>
        <w:pStyle w:val="6"/>
        <w:spacing w:line="360" w:lineRule="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9.4对与谈判活动有关的工作人员的纪律要求</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与谈判活动有关的工作人员不得收受他人的财物或者其他好处，不得向他人透露对响应文件的评审和比较、候选成交服务商的推荐情况以及评审有关的其他情况。在谈判活动中，与谈判活动有关的工作人员不得擅离职守，影响谈判工作正常进行。</w:t>
      </w:r>
    </w:p>
    <w:p>
      <w:pPr>
        <w:pStyle w:val="5"/>
        <w:spacing w:line="360" w:lineRule="auto"/>
        <w:jc w:val="center"/>
        <w:rPr>
          <w:rFonts w:ascii="宋体" w:hAnsi="宋体" w:eastAsia="宋体" w:cs="宋体"/>
          <w:color w:val="000000" w:themeColor="text1"/>
          <w:sz w:val="28"/>
          <w14:textFill>
            <w14:solidFill>
              <w14:schemeClr w14:val="tx1"/>
            </w14:solidFill>
          </w14:textFill>
        </w:rPr>
      </w:pPr>
      <w:bookmarkStart w:id="49" w:name="_Toc27124774"/>
      <w:bookmarkStart w:id="50" w:name="_Toc67403038"/>
      <w:bookmarkStart w:id="51" w:name="_Toc67403236"/>
      <w:bookmarkStart w:id="52" w:name="_Toc78019903"/>
      <w:r>
        <w:rPr>
          <w:rFonts w:hint="eastAsia" w:ascii="宋体" w:hAnsi="宋体" w:eastAsia="宋体" w:cs="宋体"/>
          <w:color w:val="000000" w:themeColor="text1"/>
          <w:sz w:val="28"/>
          <w14:textFill>
            <w14:solidFill>
              <w14:schemeClr w14:val="tx1"/>
            </w14:solidFill>
          </w14:textFill>
        </w:rPr>
        <w:t>10.</w:t>
      </w:r>
      <w:bookmarkEnd w:id="49"/>
      <w:r>
        <w:rPr>
          <w:rFonts w:hint="eastAsia" w:ascii="宋体" w:hAnsi="宋体" w:eastAsia="宋体" w:cs="宋体"/>
          <w:color w:val="000000" w:themeColor="text1"/>
          <w:sz w:val="28"/>
          <w14:textFill>
            <w14:solidFill>
              <w14:schemeClr w14:val="tx1"/>
            </w14:solidFill>
          </w14:textFill>
        </w:rPr>
        <w:t>需要补充的其他内容</w:t>
      </w:r>
      <w:bookmarkEnd w:id="50"/>
      <w:bookmarkEnd w:id="51"/>
      <w:bookmarkEnd w:id="52"/>
    </w:p>
    <w:p>
      <w:pPr>
        <w:spacing w:line="360" w:lineRule="auto"/>
        <w:ind w:firstLine="48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详见服务商须知前附表。</w:t>
      </w:r>
      <w:r>
        <w:rPr>
          <w:rFonts w:hint="eastAsia" w:ascii="宋体" w:hAnsi="宋体" w:eastAsia="宋体" w:cs="宋体"/>
          <w:color w:val="000000" w:themeColor="text1"/>
          <w:sz w:val="28"/>
          <w:szCs w:val="28"/>
          <w14:textFill>
            <w14:solidFill>
              <w14:schemeClr w14:val="tx1"/>
            </w14:solidFill>
          </w14:textFill>
        </w:rPr>
        <w:br w:type="page"/>
      </w:r>
    </w:p>
    <w:p>
      <w:pPr>
        <w:pStyle w:val="3"/>
        <w:jc w:val="center"/>
        <w:rPr>
          <w:rFonts w:ascii="宋体" w:hAnsi="宋体" w:eastAsia="宋体" w:cs="宋体"/>
          <w:color w:val="000000" w:themeColor="text1"/>
          <w:sz w:val="32"/>
          <w:szCs w:val="32"/>
          <w14:textFill>
            <w14:solidFill>
              <w14:schemeClr w14:val="tx1"/>
            </w14:solidFill>
          </w14:textFill>
        </w:rPr>
      </w:pPr>
      <w:bookmarkStart w:id="53" w:name="_Toc10689"/>
      <w:bookmarkStart w:id="54" w:name="_Toc78019904"/>
      <w:r>
        <w:rPr>
          <w:rFonts w:hint="eastAsia" w:ascii="宋体" w:hAnsi="宋体" w:eastAsia="宋体" w:cs="宋体"/>
          <w:color w:val="000000" w:themeColor="text1"/>
          <w:sz w:val="32"/>
          <w:szCs w:val="32"/>
          <w14:textFill>
            <w14:solidFill>
              <w14:schemeClr w14:val="tx1"/>
            </w14:solidFill>
          </w14:textFill>
        </w:rPr>
        <w:t>第三章 评审办法（综合评估打分法）</w:t>
      </w:r>
      <w:bookmarkEnd w:id="53"/>
      <w:bookmarkEnd w:id="54"/>
    </w:p>
    <w:p>
      <w:pPr>
        <w:pStyle w:val="4"/>
        <w:spacing w:line="360" w:lineRule="auto"/>
        <w:jc w:val="center"/>
        <w:rPr>
          <w:rFonts w:ascii="宋体" w:hAnsi="宋体" w:eastAsia="宋体" w:cs="宋体"/>
          <w:color w:val="000000" w:themeColor="text1"/>
          <w:sz w:val="28"/>
          <w14:textFill>
            <w14:solidFill>
              <w14:schemeClr w14:val="tx1"/>
            </w14:solidFill>
          </w14:textFill>
        </w:rPr>
      </w:pPr>
      <w:bookmarkStart w:id="55" w:name="_Toc18298"/>
      <w:bookmarkStart w:id="56" w:name="_Toc78019905"/>
      <w:bookmarkStart w:id="57" w:name="_Toc5876"/>
      <w:bookmarkStart w:id="58" w:name="_Toc2871"/>
      <w:r>
        <w:rPr>
          <w:rFonts w:hint="eastAsia" w:ascii="宋体" w:hAnsi="宋体" w:eastAsia="宋体" w:cs="宋体"/>
          <w:color w:val="000000" w:themeColor="text1"/>
          <w:sz w:val="28"/>
          <w14:textFill>
            <w14:solidFill>
              <w14:schemeClr w14:val="tx1"/>
            </w14:solidFill>
          </w14:textFill>
        </w:rPr>
        <w:t>评审办法前附表</w:t>
      </w:r>
      <w:bookmarkEnd w:id="55"/>
      <w:bookmarkEnd w:id="56"/>
      <w:bookmarkEnd w:id="57"/>
      <w:bookmarkEnd w:id="58"/>
    </w:p>
    <w:tbl>
      <w:tblPr>
        <w:tblStyle w:val="38"/>
        <w:tblW w:w="954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7"/>
        <w:gridCol w:w="1235"/>
        <w:gridCol w:w="2129"/>
        <w:gridCol w:w="55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blHeader/>
          <w:jc w:val="center"/>
        </w:trPr>
        <w:tc>
          <w:tcPr>
            <w:tcW w:w="647" w:type="dxa"/>
            <w:tcBorders>
              <w:right w:val="single" w:color="auto" w:sz="4" w:space="0"/>
            </w:tcBorders>
            <w:vAlign w:val="center"/>
          </w:tcPr>
          <w:p>
            <w:pPr>
              <w:pStyle w:val="63"/>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条款号</w:t>
            </w:r>
          </w:p>
        </w:tc>
        <w:tc>
          <w:tcPr>
            <w:tcW w:w="3364" w:type="dxa"/>
            <w:gridSpan w:val="2"/>
            <w:tcBorders>
              <w:left w:val="single" w:color="auto" w:sz="4" w:space="0"/>
            </w:tcBorders>
            <w:vAlign w:val="center"/>
          </w:tcPr>
          <w:p>
            <w:pPr>
              <w:pStyle w:val="63"/>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评审因素</w:t>
            </w:r>
          </w:p>
        </w:tc>
        <w:tc>
          <w:tcPr>
            <w:tcW w:w="5538" w:type="dxa"/>
            <w:vAlign w:val="center"/>
          </w:tcPr>
          <w:p>
            <w:pPr>
              <w:pStyle w:val="63"/>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647" w:type="dxa"/>
            <w:vMerge w:val="restart"/>
            <w:tcBorders>
              <w:right w:val="single" w:color="auto" w:sz="4" w:space="0"/>
            </w:tcBorders>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2.1.1</w:t>
            </w:r>
          </w:p>
        </w:tc>
        <w:tc>
          <w:tcPr>
            <w:tcW w:w="1235" w:type="dxa"/>
            <w:vMerge w:val="restart"/>
            <w:tcBorders>
              <w:left w:val="single" w:color="auto" w:sz="4" w:space="0"/>
            </w:tcBorders>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形式评审标准</w:t>
            </w:r>
          </w:p>
        </w:tc>
        <w:tc>
          <w:tcPr>
            <w:tcW w:w="2129" w:type="dxa"/>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服务商名称</w:t>
            </w:r>
          </w:p>
        </w:tc>
        <w:tc>
          <w:tcPr>
            <w:tcW w:w="5538" w:type="dxa"/>
            <w:vAlign w:val="center"/>
          </w:tcPr>
          <w:p>
            <w:pPr>
              <w:pStyle w:val="63"/>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与营业执照一致或其他有效证明材料一致。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647" w:type="dxa"/>
            <w:vMerge w:val="continue"/>
            <w:tcBorders>
              <w:right w:val="single" w:color="auto" w:sz="4" w:space="0"/>
            </w:tcBorders>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1235" w:type="dxa"/>
            <w:vMerge w:val="continue"/>
            <w:tcBorders>
              <w:left w:val="single" w:color="auto" w:sz="4" w:space="0"/>
            </w:tcBorders>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2129" w:type="dxa"/>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法定代表人（负责人）身份证明或授权委托书</w:t>
            </w:r>
          </w:p>
        </w:tc>
        <w:tc>
          <w:tcPr>
            <w:tcW w:w="5538" w:type="dxa"/>
            <w:vAlign w:val="center"/>
          </w:tcPr>
          <w:p>
            <w:pPr>
              <w:pStyle w:val="63"/>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具有有效的法定代表人（负责人）身份证明书或授权委托书。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647" w:type="dxa"/>
            <w:vMerge w:val="continue"/>
            <w:tcBorders>
              <w:top w:val="nil"/>
              <w:right w:val="single" w:color="auto" w:sz="4" w:space="0"/>
            </w:tcBorders>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1235" w:type="dxa"/>
            <w:vMerge w:val="continue"/>
            <w:tcBorders>
              <w:top w:val="nil"/>
              <w:left w:val="single" w:color="auto" w:sz="4" w:space="0"/>
            </w:tcBorders>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2129" w:type="dxa"/>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响应文件签字盖章</w:t>
            </w:r>
          </w:p>
        </w:tc>
        <w:tc>
          <w:tcPr>
            <w:tcW w:w="5538" w:type="dxa"/>
            <w:vAlign w:val="center"/>
          </w:tcPr>
          <w:p>
            <w:pPr>
              <w:pStyle w:val="63"/>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有法定代表人（负责人）或其委托代理人签字并加盖单位章。由法定代表人（负责人）签字的，应附法定代表人（负责人）身份证明，由代理人签字的，应附授权委托书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647" w:type="dxa"/>
            <w:vMerge w:val="continue"/>
            <w:tcBorders>
              <w:top w:val="nil"/>
              <w:right w:val="single" w:color="auto" w:sz="4" w:space="0"/>
            </w:tcBorders>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1235" w:type="dxa"/>
            <w:vMerge w:val="continue"/>
            <w:tcBorders>
              <w:top w:val="nil"/>
              <w:left w:val="single" w:color="auto" w:sz="4" w:space="0"/>
            </w:tcBorders>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2129" w:type="dxa"/>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响应文件格式</w:t>
            </w:r>
          </w:p>
        </w:tc>
        <w:tc>
          <w:tcPr>
            <w:tcW w:w="5538" w:type="dxa"/>
            <w:vAlign w:val="center"/>
          </w:tcPr>
          <w:p>
            <w:pPr>
              <w:pStyle w:val="63"/>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第五章“响应文件格式”仅仅作为服务商编制响应文件的参考格式，在签章不影响服务商实质性响应的情况下，根据国家发展改革委等部门关于严格执行采购响应法规制度进一步规范采购响应主体行为的若干意见（发改法规规〔2022〕1117号），可不予否决其响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647" w:type="dxa"/>
            <w:vMerge w:val="continue"/>
            <w:tcBorders>
              <w:top w:val="nil"/>
              <w:right w:val="single" w:color="auto" w:sz="4" w:space="0"/>
            </w:tcBorders>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1235" w:type="dxa"/>
            <w:vMerge w:val="continue"/>
            <w:tcBorders>
              <w:top w:val="nil"/>
              <w:left w:val="single" w:color="auto" w:sz="4" w:space="0"/>
            </w:tcBorders>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2129" w:type="dxa"/>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报价唯一</w:t>
            </w:r>
          </w:p>
        </w:tc>
        <w:tc>
          <w:tcPr>
            <w:tcW w:w="5538" w:type="dxa"/>
            <w:vAlign w:val="center"/>
          </w:tcPr>
          <w:p>
            <w:pPr>
              <w:pStyle w:val="63"/>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只能有一个有效报价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48" w:hRule="atLeast"/>
          <w:jc w:val="center"/>
        </w:trPr>
        <w:tc>
          <w:tcPr>
            <w:tcW w:w="647" w:type="dxa"/>
            <w:vMerge w:val="restart"/>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2.1.2</w:t>
            </w:r>
          </w:p>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1235" w:type="dxa"/>
            <w:vMerge w:val="restart"/>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资格评审标准</w:t>
            </w:r>
          </w:p>
        </w:tc>
        <w:tc>
          <w:tcPr>
            <w:tcW w:w="2129" w:type="dxa"/>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服务商须具备经国家工商行政管理部门登记注册的独立企业（事业）法人或组织，具有独立承担民事责任的能力及良好的商业信誉</w:t>
            </w:r>
          </w:p>
        </w:tc>
        <w:tc>
          <w:tcPr>
            <w:tcW w:w="5538" w:type="dxa"/>
            <w:vAlign w:val="center"/>
          </w:tcPr>
          <w:p>
            <w:pPr>
              <w:spacing w:line="360" w:lineRule="auto"/>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提供有效的营业执照扫描件或复印件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647" w:type="dxa"/>
            <w:vMerge w:val="continue"/>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1235" w:type="dxa"/>
            <w:vMerge w:val="continue"/>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2129" w:type="dxa"/>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资质要求</w:t>
            </w:r>
          </w:p>
        </w:tc>
        <w:tc>
          <w:tcPr>
            <w:tcW w:w="5538" w:type="dxa"/>
            <w:vAlign w:val="center"/>
          </w:tcPr>
          <w:p>
            <w:pPr>
              <w:spacing w:line="360" w:lineRule="auto"/>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rPr>
              <w:t>服务商应当具有</w:t>
            </w:r>
            <w:r>
              <w:rPr>
                <w:rFonts w:hint="eastAsia" w:ascii="宋体" w:hAnsi="宋体" w:eastAsia="宋体" w:cs="Times New Roman"/>
                <w:szCs w:val="21"/>
              </w:rPr>
              <w:t>电力行业工程设计甲级及以上设计资质</w:t>
            </w:r>
            <w:r>
              <w:rPr>
                <w:rFonts w:hint="eastAsia" w:ascii="宋体" w:hAnsi="宋体" w:eastAsia="宋体" w:cs="Times New Roman"/>
                <w:szCs w:val="21"/>
                <w:lang w:val="en-US" w:eastAsia="zh-CN"/>
              </w:rPr>
              <w:t>和工程勘察专业甲级及以上资质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647" w:type="dxa"/>
            <w:vMerge w:val="continue"/>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1235" w:type="dxa"/>
            <w:vMerge w:val="continue"/>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2129" w:type="dxa"/>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业绩要求</w:t>
            </w:r>
          </w:p>
        </w:tc>
        <w:tc>
          <w:tcPr>
            <w:tcW w:w="5538" w:type="dxa"/>
            <w:vAlign w:val="center"/>
          </w:tcPr>
          <w:p>
            <w:pPr>
              <w:adjustRightInd w:val="0"/>
              <w:snapToGrid w:val="0"/>
              <w:spacing w:line="360" w:lineRule="auto"/>
              <w:rPr>
                <w:rFonts w:ascii="宋体" w:hAnsi="宋体" w:eastAsia="宋体" w:cs="宋体"/>
              </w:rPr>
            </w:pPr>
            <w:r>
              <w:rPr>
                <w:rFonts w:hint="eastAsia" w:ascii="宋体" w:hAnsi="宋体" w:eastAsia="宋体" w:cs="Times New Roman"/>
                <w:szCs w:val="21"/>
              </w:rPr>
              <w:t>近5年内（从2020年1月1日至今，以</w:t>
            </w:r>
            <w:r>
              <w:rPr>
                <w:rFonts w:hint="eastAsia" w:ascii="宋体" w:hAnsi="宋体" w:eastAsia="宋体" w:cs="Times New Roman"/>
                <w:szCs w:val="21"/>
                <w:lang w:val="en-US" w:eastAsia="zh-CN"/>
              </w:rPr>
              <w:t>合同签订</w:t>
            </w:r>
            <w:r>
              <w:rPr>
                <w:rFonts w:hint="eastAsia" w:ascii="宋体" w:hAnsi="宋体" w:eastAsia="宋体" w:cs="Times New Roman"/>
                <w:szCs w:val="21"/>
              </w:rPr>
              <w:t>时间为准），服务商应具有独立完成至少1项</w:t>
            </w:r>
            <w:r>
              <w:rPr>
                <w:rFonts w:hint="eastAsia" w:ascii="宋体" w:hAnsi="宋体" w:eastAsia="宋体" w:cs="Times New Roman"/>
                <w:szCs w:val="21"/>
                <w:lang w:eastAsia="zh-CN"/>
              </w:rPr>
              <w:t>600MW（级）</w:t>
            </w:r>
            <w:r>
              <w:rPr>
                <w:rFonts w:hint="eastAsia" w:ascii="宋体" w:hAnsi="宋体" w:eastAsia="宋体" w:cs="Times New Roman"/>
                <w:szCs w:val="21"/>
              </w:rPr>
              <w:t>及以上超超临界发电机组主体的可行性研究或初步设计或施工图设计业绩（业绩证明材料为：合同/订单（关键页），或中标通知书/成交通知书，或竣工验收报告/验收证明（关键页），或业主证明）。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647" w:type="dxa"/>
            <w:vMerge w:val="continue"/>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1235" w:type="dxa"/>
            <w:vMerge w:val="continue"/>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2129" w:type="dxa"/>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项目经理（或设计总工程师）要求</w:t>
            </w:r>
          </w:p>
        </w:tc>
        <w:tc>
          <w:tcPr>
            <w:tcW w:w="5538" w:type="dxa"/>
            <w:vAlign w:val="center"/>
          </w:tcPr>
          <w:p>
            <w:pPr>
              <w:spacing w:line="360" w:lineRule="auto"/>
              <w:rPr>
                <w:rFonts w:ascii="宋体" w:hAnsi="宋体" w:eastAsia="宋体" w:cs="宋体"/>
              </w:rPr>
            </w:pPr>
            <w:r>
              <w:rPr>
                <w:rFonts w:hint="eastAsia" w:ascii="宋体" w:hAnsi="宋体" w:eastAsia="宋体" w:cs="Times New Roman"/>
                <w:szCs w:val="21"/>
              </w:rPr>
              <w:t>拟委派本项目的项目经理（或设计总工程师），应具有承担过至少1项</w:t>
            </w:r>
            <w:r>
              <w:rPr>
                <w:rFonts w:hint="eastAsia" w:ascii="宋体" w:hAnsi="宋体" w:eastAsia="宋体" w:cs="Times New Roman"/>
                <w:szCs w:val="21"/>
                <w:lang w:eastAsia="zh-CN"/>
              </w:rPr>
              <w:t>600MW（级）</w:t>
            </w:r>
            <w:r>
              <w:rPr>
                <w:rFonts w:hint="eastAsia" w:ascii="宋体" w:hAnsi="宋体" w:eastAsia="宋体" w:cs="Times New Roman"/>
                <w:szCs w:val="21"/>
              </w:rPr>
              <w:t>及以上超超临界燃煤发电机组的初步设计或施工图设计项目经理（或设计总工程师）的业绩（业绩证明材料为：合同/订单（关键页），或中标通知书/成交通知书，或竣工验收报告/验收证明（关键页），或业主证明，业绩证明材料无法体现项目经理（或设计总工程师）的提供服务商自身公司任命文件）</w:t>
            </w:r>
            <w:r>
              <w:rPr>
                <w:rFonts w:hint="eastAsia" w:ascii="宋体" w:hAnsi="宋体" w:eastAsia="宋体" w:cs="宋体"/>
                <w:color w:val="000000" w:themeColor="text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647" w:type="dxa"/>
            <w:vMerge w:val="continue"/>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1235" w:type="dxa"/>
            <w:vMerge w:val="continue"/>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2129" w:type="dxa"/>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联合体</w:t>
            </w:r>
          </w:p>
        </w:tc>
        <w:tc>
          <w:tcPr>
            <w:tcW w:w="5538" w:type="dxa"/>
            <w:vAlign w:val="center"/>
          </w:tcPr>
          <w:p>
            <w:pPr>
              <w:spacing w:line="360" w:lineRule="auto"/>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本项目不接受联合体申请。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647" w:type="dxa"/>
            <w:vMerge w:val="restart"/>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2.1.3</w:t>
            </w:r>
          </w:p>
        </w:tc>
        <w:tc>
          <w:tcPr>
            <w:tcW w:w="1235" w:type="dxa"/>
            <w:vMerge w:val="restart"/>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响应性评审标准</w:t>
            </w:r>
          </w:p>
        </w:tc>
        <w:tc>
          <w:tcPr>
            <w:tcW w:w="2129" w:type="dxa"/>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响应报价</w:t>
            </w:r>
          </w:p>
        </w:tc>
        <w:tc>
          <w:tcPr>
            <w:tcW w:w="5538" w:type="dxa"/>
            <w:vAlign w:val="center"/>
          </w:tcPr>
          <w:p>
            <w:pPr>
              <w:pStyle w:val="63"/>
              <w:spacing w:line="360" w:lineRule="auto"/>
              <w:jc w:val="left"/>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符合第二章“服务商须知前附表”3.2.3款要求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647" w:type="dxa"/>
            <w:vMerge w:val="continue"/>
            <w:tcBorders>
              <w:top w:val="nil"/>
            </w:tcBorders>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1235" w:type="dxa"/>
            <w:vMerge w:val="continue"/>
            <w:tcBorders>
              <w:top w:val="nil"/>
            </w:tcBorders>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2129" w:type="dxa"/>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服务周期</w:t>
            </w:r>
          </w:p>
        </w:tc>
        <w:tc>
          <w:tcPr>
            <w:tcW w:w="5538" w:type="dxa"/>
            <w:vAlign w:val="center"/>
          </w:tcPr>
          <w:p>
            <w:pPr>
              <w:pStyle w:val="63"/>
              <w:spacing w:line="360" w:lineRule="auto"/>
              <w:jc w:val="left"/>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第一章“竞争性谈判采购公告”的要求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647" w:type="dxa"/>
            <w:vMerge w:val="continue"/>
            <w:tcBorders>
              <w:top w:val="nil"/>
            </w:tcBorders>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1235" w:type="dxa"/>
            <w:vMerge w:val="continue"/>
            <w:tcBorders>
              <w:top w:val="nil"/>
            </w:tcBorders>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2129" w:type="dxa"/>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服务质量要求</w:t>
            </w:r>
          </w:p>
        </w:tc>
        <w:tc>
          <w:tcPr>
            <w:tcW w:w="5538" w:type="dxa"/>
            <w:vAlign w:val="center"/>
          </w:tcPr>
          <w:p>
            <w:pPr>
              <w:pStyle w:val="63"/>
              <w:spacing w:line="360" w:lineRule="auto"/>
              <w:jc w:val="left"/>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第一章“竞争性谈判采购公告”的要求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647" w:type="dxa"/>
            <w:vMerge w:val="continue"/>
            <w:tcBorders>
              <w:top w:val="nil"/>
            </w:tcBorders>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1235" w:type="dxa"/>
            <w:vMerge w:val="continue"/>
            <w:tcBorders>
              <w:top w:val="nil"/>
            </w:tcBorders>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2129" w:type="dxa"/>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响应有效期</w:t>
            </w:r>
          </w:p>
        </w:tc>
        <w:tc>
          <w:tcPr>
            <w:tcW w:w="5538" w:type="dxa"/>
            <w:vAlign w:val="center"/>
          </w:tcPr>
          <w:p>
            <w:pPr>
              <w:pStyle w:val="63"/>
              <w:spacing w:line="360" w:lineRule="auto"/>
              <w:jc w:val="left"/>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符合第二章“服务商须知前附表”3.3.1款要求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647" w:type="dxa"/>
            <w:vMerge w:val="continue"/>
            <w:tcBorders>
              <w:top w:val="nil"/>
            </w:tcBorders>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1235" w:type="dxa"/>
            <w:vMerge w:val="continue"/>
            <w:tcBorders>
              <w:top w:val="nil"/>
            </w:tcBorders>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2129" w:type="dxa"/>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权利义务</w:t>
            </w:r>
          </w:p>
        </w:tc>
        <w:tc>
          <w:tcPr>
            <w:tcW w:w="5538" w:type="dxa"/>
            <w:vAlign w:val="center"/>
          </w:tcPr>
          <w:p>
            <w:pPr>
              <w:pStyle w:val="63"/>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符合第四章“合同草案”中的规定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647" w:type="dxa"/>
            <w:vMerge w:val="continue"/>
            <w:tcBorders>
              <w:top w:val="nil"/>
            </w:tcBorders>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1235" w:type="dxa"/>
            <w:vMerge w:val="continue"/>
            <w:tcBorders>
              <w:top w:val="nil"/>
            </w:tcBorders>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p>
        </w:tc>
        <w:tc>
          <w:tcPr>
            <w:tcW w:w="2129" w:type="dxa"/>
            <w:vAlign w:val="center"/>
          </w:tcPr>
          <w:p>
            <w:pPr>
              <w:pStyle w:val="63"/>
              <w:spacing w:line="360" w:lineRule="auto"/>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其他</w:t>
            </w:r>
          </w:p>
        </w:tc>
        <w:tc>
          <w:tcPr>
            <w:tcW w:w="5538" w:type="dxa"/>
            <w:vAlign w:val="center"/>
          </w:tcPr>
          <w:p>
            <w:pPr>
              <w:pStyle w:val="63"/>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符合竞争性谈判采购文件的规定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647" w:type="dxa"/>
            <w:tcBorders>
              <w:bottom w:val="single" w:color="auto" w:sz="4" w:space="0"/>
            </w:tcBorders>
            <w:vAlign w:val="center"/>
          </w:tcPr>
          <w:p>
            <w:pPr>
              <w:pStyle w:val="63"/>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2.2.2</w:t>
            </w:r>
          </w:p>
        </w:tc>
        <w:tc>
          <w:tcPr>
            <w:tcW w:w="8902" w:type="dxa"/>
            <w:gridSpan w:val="3"/>
            <w:tcBorders>
              <w:bottom w:val="single" w:color="auto" w:sz="4" w:space="0"/>
            </w:tcBorders>
            <w:vAlign w:val="center"/>
          </w:tcPr>
          <w:p>
            <w:pPr>
              <w:pStyle w:val="63"/>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报价部分评分（100分，权重40%）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4011" w:type="dxa"/>
            <w:gridSpan w:val="3"/>
            <w:tcBorders>
              <w:right w:val="single" w:color="auto" w:sz="4" w:space="0"/>
            </w:tcBorders>
            <w:vAlign w:val="center"/>
          </w:tcPr>
          <w:p>
            <w:pPr>
              <w:pStyle w:val="63"/>
              <w:snapToGrid w:val="0"/>
              <w:spacing w:line="400" w:lineRule="exact"/>
              <w:jc w:val="center"/>
              <w:rPr>
                <w:rFonts w:ascii="宋体" w:hAnsi="宋体" w:cs="宋体"/>
                <w:sz w:val="21"/>
                <w:szCs w:val="22"/>
              </w:rPr>
            </w:pPr>
            <w:r>
              <w:rPr>
                <w:rFonts w:hint="eastAsia" w:ascii="宋体" w:hAnsi="宋体" w:cs="宋体"/>
                <w:sz w:val="21"/>
                <w:szCs w:val="22"/>
              </w:rPr>
              <w:t>响应报价</w:t>
            </w:r>
          </w:p>
          <w:p>
            <w:pPr>
              <w:pStyle w:val="63"/>
              <w:snapToGrid w:val="0"/>
              <w:spacing w:line="400" w:lineRule="exact"/>
              <w:jc w:val="center"/>
              <w:rPr>
                <w:rFonts w:ascii="宋体" w:hAnsi="宋体" w:cs="宋体"/>
              </w:rPr>
            </w:pPr>
            <w:r>
              <w:rPr>
                <w:rFonts w:hint="eastAsia" w:ascii="宋体" w:hAnsi="宋体" w:cs="宋体"/>
                <w:sz w:val="21"/>
                <w:szCs w:val="22"/>
              </w:rPr>
              <w:t>（100分，权重40%）</w:t>
            </w:r>
          </w:p>
        </w:tc>
        <w:tc>
          <w:tcPr>
            <w:tcW w:w="5538" w:type="dxa"/>
            <w:tcBorders>
              <w:left w:val="single" w:color="auto" w:sz="4" w:space="0"/>
            </w:tcBorders>
            <w:vAlign w:val="center"/>
          </w:tcPr>
          <w:p>
            <w:pPr>
              <w:spacing w:line="360" w:lineRule="auto"/>
              <w:jc w:val="left"/>
              <w:rPr>
                <w:rFonts w:ascii="宋体" w:hAnsi="宋体" w:eastAsia="宋体" w:cs="宋体"/>
              </w:rPr>
            </w:pPr>
            <w:r>
              <w:rPr>
                <w:rFonts w:hint="eastAsia" w:ascii="宋体" w:hAnsi="宋体" w:eastAsia="宋体" w:cs="宋体"/>
              </w:rPr>
              <w:t>（1）报价计算均为不含税价进行计算</w:t>
            </w:r>
          </w:p>
          <w:p>
            <w:pPr>
              <w:spacing w:line="360" w:lineRule="auto"/>
              <w:jc w:val="left"/>
              <w:rPr>
                <w:rFonts w:ascii="宋体" w:hAnsi="宋体" w:eastAsia="宋体" w:cs="宋体"/>
              </w:rPr>
            </w:pPr>
            <w:r>
              <w:rPr>
                <w:rFonts w:hint="eastAsia" w:ascii="宋体" w:hAnsi="宋体" w:eastAsia="宋体" w:cs="宋体"/>
              </w:rPr>
              <w:t>（2）评审基准价：合格服务商大于5家（含5家）时，评审基准价为去掉最高报价和最低报价后（若存在最高报价或最低报价有2家及以上相同的，计算评标基准价时最高报价或最低报价只扣除一家），其他服务商响应报价的算术平均值；合格服务商数少于5家时，评标基准价为服务商响应报价的算术平均值。</w:t>
            </w:r>
          </w:p>
          <w:p>
            <w:pPr>
              <w:spacing w:line="360" w:lineRule="auto"/>
              <w:jc w:val="left"/>
              <w:rPr>
                <w:rFonts w:ascii="宋体" w:hAnsi="宋体" w:eastAsia="宋体" w:cs="宋体"/>
              </w:rPr>
            </w:pPr>
            <w:r>
              <w:rPr>
                <w:rFonts w:hint="eastAsia" w:ascii="宋体" w:hAnsi="宋体" w:eastAsia="宋体" w:cs="宋体"/>
              </w:rPr>
              <w:t>（3）偏差率B=100%×（投标人报价－评标基准价）/评标基准价</w:t>
            </w:r>
          </w:p>
          <w:p>
            <w:pPr>
              <w:spacing w:line="360" w:lineRule="auto"/>
              <w:jc w:val="left"/>
              <w:rPr>
                <w:rFonts w:ascii="宋体" w:hAnsi="宋体" w:eastAsia="宋体" w:cs="宋体"/>
              </w:rPr>
            </w:pPr>
            <w:r>
              <w:rPr>
                <w:rFonts w:hint="eastAsia" w:ascii="宋体" w:hAnsi="宋体" w:eastAsia="宋体" w:cs="宋体"/>
              </w:rPr>
              <w:t>（4）通过初步评审的投标人投标报价为有效报价，参加报价评审</w:t>
            </w:r>
          </w:p>
          <w:p>
            <w:pPr>
              <w:spacing w:line="360" w:lineRule="auto"/>
              <w:jc w:val="left"/>
              <w:rPr>
                <w:rFonts w:ascii="宋体" w:hAnsi="宋体" w:eastAsia="宋体" w:cs="宋体"/>
              </w:rPr>
            </w:pPr>
            <w:r>
              <w:rPr>
                <w:rFonts w:hint="eastAsia" w:ascii="宋体" w:hAnsi="宋体" w:eastAsia="宋体" w:cs="宋体"/>
              </w:rPr>
              <w:t>（5）报价分计算办法：</w:t>
            </w:r>
          </w:p>
          <w:p>
            <w:pPr>
              <w:spacing w:line="360" w:lineRule="auto"/>
              <w:jc w:val="left"/>
              <w:rPr>
                <w:rFonts w:ascii="宋体" w:hAnsi="宋体" w:eastAsia="宋体" w:cs="宋体"/>
              </w:rPr>
            </w:pPr>
            <w:r>
              <w:rPr>
                <w:rFonts w:hint="eastAsia" w:ascii="宋体" w:hAnsi="宋体" w:eastAsia="宋体" w:cs="宋体"/>
              </w:rPr>
              <w:t>①当投标报价等于评标基准价时,得报价基本分90分；</w:t>
            </w:r>
          </w:p>
          <w:p>
            <w:pPr>
              <w:spacing w:line="360" w:lineRule="auto"/>
              <w:jc w:val="left"/>
              <w:rPr>
                <w:rFonts w:ascii="宋体" w:hAnsi="宋体" w:eastAsia="宋体" w:cs="宋体"/>
              </w:rPr>
            </w:pPr>
            <w:r>
              <w:rPr>
                <w:rFonts w:hint="eastAsia" w:ascii="宋体" w:hAnsi="宋体" w:eastAsia="宋体" w:cs="宋体"/>
              </w:rPr>
              <w:t>②投标报价低于评标基准价，丨B丨≤10%的，每低于评标基准价1%加1分，最多得满分100分，计算公式：C=90+丨B丨*100*1；</w:t>
            </w:r>
          </w:p>
          <w:p>
            <w:pPr>
              <w:spacing w:line="360" w:lineRule="auto"/>
              <w:jc w:val="left"/>
              <w:rPr>
                <w:rFonts w:ascii="宋体" w:hAnsi="宋体" w:eastAsia="宋体" w:cs="宋体"/>
              </w:rPr>
            </w:pPr>
            <w:r>
              <w:rPr>
                <w:rFonts w:hint="eastAsia" w:ascii="宋体" w:hAnsi="宋体" w:eastAsia="宋体" w:cs="宋体"/>
              </w:rPr>
              <w:t>③投标报价低于评标基准价，丨B丨＞10%的，从满分100分起扣，每超出1%（超出10%部分）扣1分，扣完为止，C=100-（丨B丨*100-10）*1；</w:t>
            </w:r>
          </w:p>
          <w:p>
            <w:pPr>
              <w:spacing w:line="360" w:lineRule="auto"/>
              <w:jc w:val="left"/>
              <w:rPr>
                <w:rFonts w:ascii="宋体" w:hAnsi="宋体" w:eastAsia="宋体" w:cs="宋体"/>
              </w:rPr>
            </w:pPr>
            <w:r>
              <w:rPr>
                <w:rFonts w:hint="eastAsia" w:ascii="宋体" w:hAnsi="宋体" w:eastAsia="宋体" w:cs="宋体"/>
              </w:rPr>
              <w:t>④投标报价高于评标基准价，B＞0的，从基本分90分起扣，每高于评标基准价1%扣1分，扣完为止，C=90-丨B丨*100*1。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647" w:type="dxa"/>
            <w:tcBorders>
              <w:bottom w:val="single" w:color="auto" w:sz="4" w:space="0"/>
            </w:tcBorders>
            <w:vAlign w:val="center"/>
          </w:tcPr>
          <w:p>
            <w:pPr>
              <w:pStyle w:val="63"/>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2.2.2</w:t>
            </w:r>
          </w:p>
        </w:tc>
        <w:tc>
          <w:tcPr>
            <w:tcW w:w="8902" w:type="dxa"/>
            <w:gridSpan w:val="3"/>
            <w:tcBorders>
              <w:bottom w:val="single" w:color="auto" w:sz="4" w:space="0"/>
            </w:tcBorders>
            <w:vAlign w:val="center"/>
          </w:tcPr>
          <w:p>
            <w:pPr>
              <w:pStyle w:val="63"/>
              <w:spacing w:line="360" w:lineRule="auto"/>
              <w:jc w:val="center"/>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商务部分评分（100分，权重10%）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6" w:hRule="atLeast"/>
          <w:jc w:val="center"/>
        </w:trPr>
        <w:tc>
          <w:tcPr>
            <w:tcW w:w="647" w:type="dxa"/>
            <w:tcBorders>
              <w:bottom w:val="single" w:color="auto" w:sz="4" w:space="0"/>
            </w:tcBorders>
            <w:vAlign w:val="center"/>
          </w:tcPr>
          <w:p>
            <w:pPr>
              <w:pStyle w:val="63"/>
              <w:spacing w:line="360" w:lineRule="auto"/>
              <w:jc w:val="center"/>
              <w:rPr>
                <w:rFonts w:ascii="宋体" w:hAnsi="宋体" w:cs="宋体"/>
                <w:bCs/>
                <w:color w:val="000000" w:themeColor="text1"/>
                <w:sz w:val="21"/>
                <w:szCs w:val="21"/>
                <w14:textFill>
                  <w14:solidFill>
                    <w14:schemeClr w14:val="tx1"/>
                  </w14:solidFill>
                </w14:textFill>
              </w:rPr>
            </w:pPr>
            <w:bookmarkStart w:id="59" w:name="_Hlk78287428"/>
            <w:r>
              <w:rPr>
                <w:rFonts w:hint="eastAsia" w:ascii="宋体" w:hAnsi="宋体" w:cs="宋体"/>
                <w:bCs/>
                <w:color w:val="000000" w:themeColor="text1"/>
                <w:sz w:val="21"/>
                <w:szCs w:val="21"/>
                <w14:textFill>
                  <w14:solidFill>
                    <w14:schemeClr w14:val="tx1"/>
                  </w14:solidFill>
                </w14:textFill>
              </w:rPr>
              <w:t>（1）</w:t>
            </w:r>
          </w:p>
        </w:tc>
        <w:tc>
          <w:tcPr>
            <w:tcW w:w="3364" w:type="dxa"/>
            <w:gridSpan w:val="2"/>
            <w:tcBorders>
              <w:bottom w:val="single" w:color="auto" w:sz="4" w:space="0"/>
              <w:right w:val="single" w:color="auto" w:sz="4" w:space="0"/>
            </w:tcBorders>
            <w:vAlign w:val="center"/>
          </w:tcPr>
          <w:p>
            <w:pPr>
              <w:pStyle w:val="63"/>
              <w:snapToGrid w:val="0"/>
              <w:spacing w:line="400" w:lineRule="exact"/>
              <w:jc w:val="center"/>
              <w:rPr>
                <w:rFonts w:ascii="宋体" w:hAnsi="宋体" w:cs="宋体"/>
                <w:sz w:val="21"/>
                <w:szCs w:val="22"/>
              </w:rPr>
            </w:pPr>
            <w:r>
              <w:rPr>
                <w:rFonts w:hint="eastAsia" w:ascii="宋体" w:hAnsi="宋体" w:cs="宋体"/>
                <w:sz w:val="21"/>
                <w:szCs w:val="22"/>
              </w:rPr>
              <w:t>服务商业绩（60分）</w:t>
            </w:r>
          </w:p>
        </w:tc>
        <w:tc>
          <w:tcPr>
            <w:tcW w:w="5538" w:type="dxa"/>
            <w:tcBorders>
              <w:left w:val="single" w:color="auto" w:sz="4" w:space="0"/>
            </w:tcBorders>
            <w:vAlign w:val="center"/>
          </w:tcPr>
          <w:p>
            <w:pPr>
              <w:spacing w:line="360" w:lineRule="auto"/>
              <w:jc w:val="left"/>
              <w:rPr>
                <w:rFonts w:ascii="宋体" w:hAnsi="宋体" w:eastAsia="宋体" w:cs="宋体"/>
              </w:rPr>
            </w:pPr>
            <w:r>
              <w:rPr>
                <w:rFonts w:hint="eastAsia" w:ascii="宋体" w:hAnsi="宋体" w:eastAsia="宋体" w:cs="宋体"/>
              </w:rPr>
              <w:t>满足投标人资格条件不得分。</w:t>
            </w:r>
          </w:p>
          <w:p>
            <w:pPr>
              <w:spacing w:line="360" w:lineRule="auto"/>
              <w:jc w:val="left"/>
              <w:rPr>
                <w:rFonts w:ascii="宋体" w:hAnsi="宋体" w:eastAsia="宋体" w:cs="宋体"/>
              </w:rPr>
            </w:pPr>
            <w:r>
              <w:rPr>
                <w:rFonts w:hint="eastAsia" w:ascii="宋体" w:hAnsi="宋体" w:eastAsia="宋体" w:cs="宋体"/>
              </w:rPr>
              <w:t>每增加1个合格业绩加10分，最多得60分；</w:t>
            </w:r>
          </w:p>
          <w:p>
            <w:pPr>
              <w:spacing w:line="360" w:lineRule="auto"/>
              <w:jc w:val="left"/>
              <w:rPr>
                <w:rFonts w:ascii="宋体" w:hAnsi="宋体" w:eastAsia="宋体" w:cs="宋体"/>
              </w:rPr>
            </w:pPr>
            <w:r>
              <w:rPr>
                <w:rFonts w:hint="eastAsia" w:ascii="宋体" w:hAnsi="宋体" w:eastAsia="宋体" w:cs="宋体"/>
              </w:rPr>
              <w:t>合格业绩：从2020年1月1日至今（以</w:t>
            </w:r>
            <w:r>
              <w:rPr>
                <w:rFonts w:hint="eastAsia" w:ascii="宋体" w:hAnsi="宋体" w:eastAsia="宋体" w:cs="宋体"/>
                <w:lang w:val="en-US" w:eastAsia="zh-CN"/>
              </w:rPr>
              <w:t>合同签订</w:t>
            </w:r>
            <w:r>
              <w:rPr>
                <w:rFonts w:hint="eastAsia" w:ascii="宋体" w:hAnsi="宋体" w:eastAsia="宋体" w:cs="宋体"/>
              </w:rPr>
              <w:t>时间为准）承担过1项</w:t>
            </w:r>
            <w:r>
              <w:rPr>
                <w:rFonts w:hint="eastAsia" w:ascii="宋体" w:hAnsi="宋体" w:eastAsia="宋体" w:cs="宋体"/>
                <w:lang w:eastAsia="zh-CN"/>
              </w:rPr>
              <w:t>600MW（级）</w:t>
            </w:r>
            <w:r>
              <w:rPr>
                <w:rFonts w:hint="eastAsia" w:ascii="宋体" w:hAnsi="宋体" w:eastAsia="宋体" w:cs="宋体"/>
              </w:rPr>
              <w:t>及以上超超临界发电机组主体的可行性研究或初步设计或施工图设计业绩（业绩证明材料为：合同/订单（关键页），或中标通知书/成交通知书，或竣工验收报告/验收证明（关键页），或业主证明）。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11" w:hRule="atLeast"/>
          <w:jc w:val="center"/>
        </w:trPr>
        <w:tc>
          <w:tcPr>
            <w:tcW w:w="647" w:type="dxa"/>
            <w:tcBorders>
              <w:bottom w:val="single" w:color="auto" w:sz="4" w:space="0"/>
            </w:tcBorders>
            <w:vAlign w:val="center"/>
          </w:tcPr>
          <w:p>
            <w:pPr>
              <w:pStyle w:val="63"/>
              <w:spacing w:line="360" w:lineRule="auto"/>
              <w:jc w:val="center"/>
              <w:rPr>
                <w:rFonts w:ascii="宋体" w:hAnsi="宋体" w:cs="宋体"/>
                <w:bCs/>
                <w:color w:val="000000" w:themeColor="text1"/>
                <w:sz w:val="21"/>
                <w:szCs w:val="21"/>
                <w14:textFill>
                  <w14:solidFill>
                    <w14:schemeClr w14:val="tx1"/>
                  </w14:solidFill>
                </w14:textFill>
              </w:rPr>
            </w:pPr>
            <w:r>
              <w:rPr>
                <w:rFonts w:hint="eastAsia" w:ascii="宋体" w:hAnsi="宋体" w:cs="宋体"/>
                <w:bCs/>
                <w:color w:val="000000" w:themeColor="text1"/>
                <w:sz w:val="21"/>
                <w:szCs w:val="21"/>
                <w14:textFill>
                  <w14:solidFill>
                    <w14:schemeClr w14:val="tx1"/>
                  </w14:solidFill>
                </w14:textFill>
              </w:rPr>
              <w:t>（2）</w:t>
            </w:r>
          </w:p>
        </w:tc>
        <w:tc>
          <w:tcPr>
            <w:tcW w:w="3364" w:type="dxa"/>
            <w:gridSpan w:val="2"/>
            <w:tcBorders>
              <w:bottom w:val="single" w:color="auto" w:sz="4" w:space="0"/>
              <w:right w:val="single" w:color="auto" w:sz="4" w:space="0"/>
            </w:tcBorders>
            <w:vAlign w:val="center"/>
          </w:tcPr>
          <w:p>
            <w:pPr>
              <w:pStyle w:val="63"/>
              <w:snapToGrid w:val="0"/>
              <w:spacing w:line="400" w:lineRule="exact"/>
              <w:jc w:val="center"/>
              <w:rPr>
                <w:rFonts w:ascii="宋体" w:hAnsi="宋体" w:cs="宋体"/>
                <w:sz w:val="21"/>
                <w:szCs w:val="22"/>
              </w:rPr>
            </w:pPr>
            <w:r>
              <w:rPr>
                <w:rFonts w:hint="eastAsia" w:ascii="宋体" w:hAnsi="宋体" w:cs="宋体"/>
                <w:sz w:val="21"/>
                <w:szCs w:val="22"/>
              </w:rPr>
              <w:t>项目经理（或设计总工程师）业绩</w:t>
            </w:r>
          </w:p>
          <w:p>
            <w:pPr>
              <w:pStyle w:val="63"/>
              <w:snapToGrid w:val="0"/>
              <w:spacing w:line="400" w:lineRule="exact"/>
              <w:jc w:val="center"/>
              <w:rPr>
                <w:rFonts w:ascii="宋体" w:hAnsi="宋体" w:cs="宋体"/>
                <w:sz w:val="21"/>
                <w:szCs w:val="22"/>
              </w:rPr>
            </w:pPr>
            <w:r>
              <w:rPr>
                <w:rFonts w:hint="eastAsia" w:ascii="宋体" w:hAnsi="宋体" w:cs="宋体"/>
                <w:sz w:val="21"/>
                <w:szCs w:val="22"/>
              </w:rPr>
              <w:t>（40分）</w:t>
            </w:r>
          </w:p>
        </w:tc>
        <w:tc>
          <w:tcPr>
            <w:tcW w:w="5538" w:type="dxa"/>
            <w:tcBorders>
              <w:left w:val="single" w:color="auto" w:sz="4" w:space="0"/>
            </w:tcBorders>
            <w:vAlign w:val="center"/>
          </w:tcPr>
          <w:p>
            <w:pPr>
              <w:spacing w:line="360" w:lineRule="auto"/>
              <w:jc w:val="left"/>
              <w:rPr>
                <w:rFonts w:ascii="宋体" w:hAnsi="宋体" w:eastAsia="宋体" w:cs="宋体"/>
              </w:rPr>
            </w:pPr>
            <w:r>
              <w:rPr>
                <w:rFonts w:hint="eastAsia" w:ascii="宋体" w:hAnsi="宋体" w:eastAsia="宋体" w:cs="宋体"/>
              </w:rPr>
              <w:t>满足投标人资格条件不得分。</w:t>
            </w:r>
          </w:p>
          <w:p>
            <w:pPr>
              <w:spacing w:line="360" w:lineRule="auto"/>
              <w:jc w:val="left"/>
              <w:rPr>
                <w:rFonts w:ascii="宋体" w:hAnsi="宋体" w:eastAsia="宋体" w:cs="宋体"/>
              </w:rPr>
            </w:pPr>
            <w:r>
              <w:rPr>
                <w:rFonts w:hint="eastAsia" w:ascii="宋体" w:hAnsi="宋体" w:eastAsia="宋体" w:cs="宋体"/>
              </w:rPr>
              <w:t>每增加1个合格业绩加10分，最多得40分。</w:t>
            </w:r>
          </w:p>
          <w:p>
            <w:pPr>
              <w:spacing w:line="360" w:lineRule="auto"/>
              <w:jc w:val="left"/>
              <w:rPr>
                <w:rFonts w:ascii="宋体" w:hAnsi="宋体" w:eastAsia="宋体" w:cs="宋体"/>
              </w:rPr>
            </w:pPr>
            <w:r>
              <w:rPr>
                <w:rFonts w:hint="eastAsia" w:ascii="宋体" w:hAnsi="宋体" w:eastAsia="宋体" w:cs="宋体"/>
              </w:rPr>
              <w:t>合格业绩：应具备高级工程师及以上职称，承担过</w:t>
            </w:r>
            <w:r>
              <w:rPr>
                <w:rFonts w:ascii="宋体" w:hAnsi="宋体" w:eastAsia="宋体" w:cs="宋体"/>
              </w:rPr>
              <w:t>1</w:t>
            </w:r>
            <w:r>
              <w:rPr>
                <w:rFonts w:hint="eastAsia" w:ascii="宋体" w:hAnsi="宋体" w:eastAsia="宋体" w:cs="宋体"/>
              </w:rPr>
              <w:t>项</w:t>
            </w:r>
            <w:r>
              <w:rPr>
                <w:rFonts w:hint="eastAsia" w:ascii="宋体" w:hAnsi="宋体" w:eastAsia="宋体" w:cs="Times New Roman"/>
                <w:szCs w:val="21"/>
                <w:lang w:eastAsia="zh-CN"/>
              </w:rPr>
              <w:t>600MW（级）</w:t>
            </w:r>
            <w:r>
              <w:rPr>
                <w:rFonts w:hint="eastAsia" w:ascii="宋体" w:hAnsi="宋体" w:eastAsia="宋体" w:cs="Times New Roman"/>
                <w:szCs w:val="21"/>
              </w:rPr>
              <w:t>及以上超超临界燃煤发电机组的初步设计或施工图设计项目经理</w:t>
            </w:r>
            <w:r>
              <w:rPr>
                <w:rFonts w:hint="eastAsia" w:ascii="宋体" w:hAnsi="宋体" w:eastAsia="宋体" w:cs="宋体"/>
              </w:rPr>
              <w:t>（或设计总工程师）的业绩</w:t>
            </w:r>
            <w:r>
              <w:rPr>
                <w:rFonts w:hint="eastAsia" w:ascii="宋体" w:hAnsi="宋体" w:eastAsia="宋体" w:cs="Times New Roman"/>
                <w:szCs w:val="21"/>
              </w:rPr>
              <w:t>（业绩证明材料为：合同/订单（关键页），或中标通知书/成交通知书，或竣工验收报告/验收证明（关键页），或业主证明，业绩证明材料无法体现项目经理（或设计总工程师）的提供服务商服务商自身公司任命文件）</w:t>
            </w:r>
            <w:r>
              <w:rPr>
                <w:rFonts w:hint="eastAsia" w:ascii="宋体" w:hAnsi="宋体" w:eastAsia="宋体" w:cs="宋体"/>
                <w:color w:val="000000" w:themeColor="text1"/>
                <w:szCs w:val="21"/>
                <w14:textFill>
                  <w14:solidFill>
                    <w14:schemeClr w14:val="tx1"/>
                  </w14:solidFill>
                </w14:textFill>
              </w:rPr>
              <w:t>。</w:t>
            </w:r>
          </w:p>
        </w:tc>
      </w:tr>
      <w:bookmarkEnd w:id="59"/>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647" w:type="dxa"/>
            <w:tcBorders>
              <w:bottom w:val="single" w:color="auto" w:sz="4" w:space="0"/>
            </w:tcBorders>
            <w:vAlign w:val="center"/>
          </w:tcPr>
          <w:p>
            <w:pPr>
              <w:pStyle w:val="63"/>
              <w:spacing w:line="360" w:lineRule="auto"/>
              <w:jc w:val="center"/>
              <w:rPr>
                <w:rFonts w:ascii="宋体" w:hAnsi="宋体" w:cs="宋体"/>
                <w:bCs/>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2.2.2</w:t>
            </w:r>
          </w:p>
        </w:tc>
        <w:tc>
          <w:tcPr>
            <w:tcW w:w="8902" w:type="dxa"/>
            <w:gridSpan w:val="3"/>
            <w:tcBorders>
              <w:bottom w:val="single" w:color="auto" w:sz="4" w:space="0"/>
            </w:tcBorders>
            <w:vAlign w:val="center"/>
          </w:tcPr>
          <w:p>
            <w:pPr>
              <w:spacing w:line="360" w:lineRule="auto"/>
              <w:jc w:val="center"/>
              <w:rPr>
                <w:rFonts w:ascii="宋体" w:hAnsi="宋体" w:eastAsia="宋体" w:cs="宋体"/>
              </w:rPr>
            </w:pPr>
            <w:r>
              <w:rPr>
                <w:rFonts w:hint="eastAsia" w:ascii="宋体" w:hAnsi="宋体" w:eastAsia="宋体" w:cs="宋体"/>
                <w:b/>
                <w:color w:val="000000" w:themeColor="text1"/>
                <w:szCs w:val="21"/>
                <w14:textFill>
                  <w14:solidFill>
                    <w14:schemeClr w14:val="tx1"/>
                  </w14:solidFill>
                </w14:textFill>
              </w:rPr>
              <w:t>技术部分评分（100分，权重50%）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647" w:type="dxa"/>
            <w:vAlign w:val="center"/>
          </w:tcPr>
          <w:p>
            <w:pPr>
              <w:pStyle w:val="63"/>
              <w:spacing w:line="360" w:lineRule="auto"/>
              <w:jc w:val="center"/>
              <w:rPr>
                <w:rFonts w:ascii="宋体" w:hAnsi="宋体" w:cs="宋体"/>
                <w:bCs/>
                <w:color w:val="000000" w:themeColor="text1"/>
                <w:sz w:val="21"/>
                <w:szCs w:val="21"/>
                <w14:textFill>
                  <w14:solidFill>
                    <w14:schemeClr w14:val="tx1"/>
                  </w14:solidFill>
                </w14:textFill>
              </w:rPr>
            </w:pPr>
            <w:r>
              <w:rPr>
                <w:rFonts w:hint="eastAsia" w:ascii="宋体" w:hAnsi="宋体" w:cs="宋体"/>
                <w:bCs/>
                <w:color w:val="000000" w:themeColor="text1"/>
                <w:sz w:val="21"/>
                <w:szCs w:val="21"/>
                <w14:textFill>
                  <w14:solidFill>
                    <w14:schemeClr w14:val="tx1"/>
                  </w14:solidFill>
                </w14:textFill>
              </w:rPr>
              <w:t>（1）</w:t>
            </w:r>
          </w:p>
        </w:tc>
        <w:tc>
          <w:tcPr>
            <w:tcW w:w="3364" w:type="dxa"/>
            <w:gridSpan w:val="2"/>
            <w:tcBorders>
              <w:right w:val="single" w:color="auto" w:sz="4" w:space="0"/>
            </w:tcBorders>
            <w:vAlign w:val="center"/>
          </w:tcPr>
          <w:p>
            <w:pPr>
              <w:pStyle w:val="63"/>
              <w:snapToGrid w:val="0"/>
              <w:spacing w:line="400" w:lineRule="exact"/>
              <w:jc w:val="center"/>
              <w:rPr>
                <w:rFonts w:ascii="宋体" w:hAnsi="宋体" w:cs="宋体"/>
                <w:sz w:val="21"/>
                <w:szCs w:val="22"/>
              </w:rPr>
            </w:pPr>
            <w:r>
              <w:rPr>
                <w:rFonts w:hint="eastAsia" w:ascii="宋体" w:hAnsi="宋体" w:cs="宋体"/>
                <w:sz w:val="21"/>
                <w:szCs w:val="22"/>
              </w:rPr>
              <w:t>项目关键问题分析</w:t>
            </w:r>
          </w:p>
          <w:p>
            <w:pPr>
              <w:pStyle w:val="63"/>
              <w:snapToGrid w:val="0"/>
              <w:spacing w:line="400" w:lineRule="exact"/>
              <w:jc w:val="center"/>
              <w:rPr>
                <w:rFonts w:ascii="宋体" w:hAnsi="宋体" w:cs="宋体"/>
                <w:sz w:val="21"/>
                <w:szCs w:val="22"/>
              </w:rPr>
            </w:pPr>
            <w:r>
              <w:rPr>
                <w:rFonts w:hint="eastAsia" w:ascii="宋体" w:hAnsi="宋体" w:cs="宋体"/>
                <w:sz w:val="21"/>
                <w:szCs w:val="22"/>
              </w:rPr>
              <w:t>（20分）</w:t>
            </w:r>
          </w:p>
        </w:tc>
        <w:tc>
          <w:tcPr>
            <w:tcW w:w="5538" w:type="dxa"/>
            <w:tcBorders>
              <w:left w:val="single" w:color="auto" w:sz="4" w:space="0"/>
            </w:tcBorders>
            <w:vAlign w:val="center"/>
          </w:tcPr>
          <w:p>
            <w:pPr>
              <w:spacing w:line="360" w:lineRule="auto"/>
              <w:jc w:val="left"/>
              <w:rPr>
                <w:rFonts w:ascii="宋体" w:hAnsi="宋体" w:eastAsia="宋体" w:cs="宋体"/>
              </w:rPr>
            </w:pPr>
            <w:r>
              <w:rPr>
                <w:rFonts w:hint="eastAsia" w:ascii="宋体" w:hAnsi="宋体" w:eastAsia="宋体" w:cs="宋体"/>
              </w:rPr>
              <w:t>（1）对火电厂建设的关键问题，如选址、环保、燃料供应、贮灰场、技术选型等分析深入、准确，提出合理解决方案：13-20分</w:t>
            </w:r>
          </w:p>
          <w:p>
            <w:pPr>
              <w:spacing w:line="360" w:lineRule="auto"/>
              <w:jc w:val="left"/>
              <w:rPr>
                <w:rFonts w:ascii="宋体" w:hAnsi="宋体" w:eastAsia="宋体" w:cs="宋体"/>
              </w:rPr>
            </w:pPr>
            <w:r>
              <w:rPr>
                <w:rFonts w:hint="eastAsia" w:ascii="宋体" w:hAnsi="宋体" w:eastAsia="宋体" w:cs="宋体"/>
              </w:rPr>
              <w:t>（2）对火电厂建设的关键问题，如选址、环保、燃料供应、贮灰场、技术选型等分析一般，不能针对项目所在地特殊性提供建设性意见。7-12分</w:t>
            </w:r>
          </w:p>
          <w:p>
            <w:pPr>
              <w:spacing w:line="360" w:lineRule="auto"/>
              <w:jc w:val="left"/>
            </w:pPr>
            <w:r>
              <w:rPr>
                <w:rFonts w:hint="eastAsia" w:ascii="宋体" w:hAnsi="宋体" w:eastAsia="宋体" w:cs="宋体"/>
              </w:rPr>
              <w:t>（3）对火电厂建设的关键问题，如选址、环保、燃料供应、贮灰场、技术选型等分析较差，不能结合项目实际情况进行论证：0-6分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647" w:type="dxa"/>
            <w:vAlign w:val="center"/>
          </w:tcPr>
          <w:p>
            <w:pPr>
              <w:pStyle w:val="63"/>
              <w:spacing w:line="360" w:lineRule="auto"/>
              <w:jc w:val="center"/>
              <w:rPr>
                <w:rFonts w:ascii="宋体" w:hAnsi="宋体" w:cs="宋体"/>
                <w:bCs/>
                <w:color w:val="000000" w:themeColor="text1"/>
                <w:sz w:val="21"/>
                <w:szCs w:val="21"/>
                <w14:textFill>
                  <w14:solidFill>
                    <w14:schemeClr w14:val="tx1"/>
                  </w14:solidFill>
                </w14:textFill>
              </w:rPr>
            </w:pPr>
            <w:r>
              <w:rPr>
                <w:rFonts w:hint="eastAsia" w:ascii="宋体" w:hAnsi="宋体" w:cs="宋体"/>
                <w:bCs/>
                <w:color w:val="000000" w:themeColor="text1"/>
                <w:sz w:val="21"/>
                <w:szCs w:val="21"/>
                <w14:textFill>
                  <w14:solidFill>
                    <w14:schemeClr w14:val="tx1"/>
                  </w14:solidFill>
                </w14:textFill>
              </w:rPr>
              <w:t>（2）</w:t>
            </w:r>
          </w:p>
        </w:tc>
        <w:tc>
          <w:tcPr>
            <w:tcW w:w="3364" w:type="dxa"/>
            <w:gridSpan w:val="2"/>
            <w:tcBorders>
              <w:right w:val="single" w:color="auto" w:sz="4" w:space="0"/>
            </w:tcBorders>
            <w:vAlign w:val="center"/>
          </w:tcPr>
          <w:p>
            <w:pPr>
              <w:pStyle w:val="63"/>
              <w:snapToGrid w:val="0"/>
              <w:spacing w:line="400" w:lineRule="exact"/>
              <w:jc w:val="center"/>
              <w:rPr>
                <w:rFonts w:ascii="宋体" w:hAnsi="宋体" w:cs="宋体"/>
                <w:sz w:val="21"/>
                <w:szCs w:val="22"/>
              </w:rPr>
            </w:pPr>
            <w:r>
              <w:rPr>
                <w:rFonts w:hint="eastAsia" w:ascii="宋体" w:hAnsi="宋体" w:cs="宋体"/>
                <w:sz w:val="21"/>
                <w:szCs w:val="22"/>
              </w:rPr>
              <w:t>设计团队</w:t>
            </w:r>
          </w:p>
          <w:p>
            <w:pPr>
              <w:pStyle w:val="63"/>
              <w:snapToGrid w:val="0"/>
              <w:spacing w:line="400" w:lineRule="exact"/>
              <w:jc w:val="center"/>
              <w:rPr>
                <w:rFonts w:ascii="宋体" w:hAnsi="宋体" w:cs="宋体"/>
                <w:sz w:val="21"/>
                <w:szCs w:val="22"/>
              </w:rPr>
            </w:pPr>
            <w:r>
              <w:rPr>
                <w:rFonts w:hint="eastAsia" w:ascii="宋体" w:hAnsi="宋体" w:cs="宋体"/>
                <w:sz w:val="21"/>
                <w:szCs w:val="22"/>
              </w:rPr>
              <w:t>（30分）</w:t>
            </w:r>
          </w:p>
        </w:tc>
        <w:tc>
          <w:tcPr>
            <w:tcW w:w="5538" w:type="dxa"/>
            <w:tcBorders>
              <w:left w:val="single" w:color="auto" w:sz="4" w:space="0"/>
            </w:tcBorders>
            <w:vAlign w:val="center"/>
          </w:tcPr>
          <w:p>
            <w:pPr>
              <w:spacing w:line="360" w:lineRule="auto"/>
              <w:jc w:val="left"/>
              <w:rPr>
                <w:rFonts w:ascii="宋体" w:hAnsi="宋体" w:eastAsia="宋体" w:cs="宋体"/>
              </w:rPr>
            </w:pPr>
            <w:r>
              <w:rPr>
                <w:rFonts w:hint="eastAsia" w:ascii="宋体" w:hAnsi="宋体" w:eastAsia="宋体" w:cs="宋体"/>
              </w:rPr>
              <w:t>（1）项目负责人及主要成员专业配置齐全，技术力量较强，满足项目研究需求。21-30分</w:t>
            </w:r>
          </w:p>
          <w:p>
            <w:pPr>
              <w:spacing w:line="360" w:lineRule="auto"/>
              <w:jc w:val="left"/>
              <w:rPr>
                <w:rFonts w:ascii="宋体" w:hAnsi="宋体" w:eastAsia="宋体" w:cs="宋体"/>
              </w:rPr>
            </w:pPr>
            <w:r>
              <w:rPr>
                <w:rFonts w:hint="eastAsia" w:ascii="宋体" w:hAnsi="宋体" w:eastAsia="宋体" w:cs="宋体"/>
              </w:rPr>
              <w:t>（2）项目负责人及主要成员专业配置齐全，技术力量一般，基本能够满足项目研究需求。11-20分</w:t>
            </w:r>
          </w:p>
          <w:p>
            <w:pPr>
              <w:spacing w:line="360" w:lineRule="auto"/>
              <w:jc w:val="left"/>
            </w:pPr>
            <w:r>
              <w:rPr>
                <w:rFonts w:hint="eastAsia" w:ascii="宋体" w:hAnsi="宋体" w:eastAsia="宋体" w:cs="宋体"/>
              </w:rPr>
              <w:t>（3）项目负责人及主要成员专业配置不全，技术力量较弱，不能够满足项目研究需求。0-10分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647" w:type="dxa"/>
            <w:vAlign w:val="center"/>
          </w:tcPr>
          <w:p>
            <w:pPr>
              <w:pStyle w:val="63"/>
              <w:spacing w:line="360" w:lineRule="auto"/>
              <w:jc w:val="center"/>
              <w:rPr>
                <w:rFonts w:ascii="宋体" w:hAnsi="宋体" w:cs="宋体"/>
                <w:bCs/>
                <w:color w:val="000000" w:themeColor="text1"/>
                <w:sz w:val="21"/>
                <w:szCs w:val="21"/>
                <w14:textFill>
                  <w14:solidFill>
                    <w14:schemeClr w14:val="tx1"/>
                  </w14:solidFill>
                </w14:textFill>
              </w:rPr>
            </w:pPr>
            <w:r>
              <w:rPr>
                <w:rFonts w:hint="eastAsia" w:ascii="宋体" w:hAnsi="宋体" w:cs="宋体"/>
                <w:bCs/>
                <w:color w:val="000000" w:themeColor="text1"/>
                <w:sz w:val="21"/>
                <w:szCs w:val="21"/>
                <w14:textFill>
                  <w14:solidFill>
                    <w14:schemeClr w14:val="tx1"/>
                  </w14:solidFill>
                </w14:textFill>
              </w:rPr>
              <w:t>（3）</w:t>
            </w:r>
          </w:p>
        </w:tc>
        <w:tc>
          <w:tcPr>
            <w:tcW w:w="3364" w:type="dxa"/>
            <w:gridSpan w:val="2"/>
            <w:tcBorders>
              <w:right w:val="single" w:color="auto" w:sz="4" w:space="0"/>
            </w:tcBorders>
            <w:vAlign w:val="center"/>
          </w:tcPr>
          <w:p>
            <w:pPr>
              <w:pStyle w:val="63"/>
              <w:snapToGrid w:val="0"/>
              <w:spacing w:line="400" w:lineRule="exact"/>
              <w:jc w:val="center"/>
              <w:rPr>
                <w:rFonts w:ascii="宋体" w:hAnsi="宋体" w:cs="宋体"/>
                <w:sz w:val="21"/>
                <w:szCs w:val="22"/>
              </w:rPr>
            </w:pPr>
            <w:r>
              <w:rPr>
                <w:rFonts w:hint="eastAsia" w:ascii="宋体" w:hAnsi="宋体" w:cs="宋体"/>
                <w:sz w:val="21"/>
                <w:szCs w:val="22"/>
              </w:rPr>
              <w:t xml:space="preserve"> 服务计划与进度安排</w:t>
            </w:r>
          </w:p>
          <w:p>
            <w:pPr>
              <w:pStyle w:val="63"/>
              <w:snapToGrid w:val="0"/>
              <w:spacing w:line="400" w:lineRule="exact"/>
              <w:jc w:val="center"/>
              <w:rPr>
                <w:rFonts w:ascii="宋体" w:hAnsi="宋体" w:cs="宋体"/>
                <w:sz w:val="21"/>
                <w:szCs w:val="22"/>
              </w:rPr>
            </w:pPr>
            <w:r>
              <w:rPr>
                <w:rFonts w:hint="eastAsia" w:ascii="宋体" w:hAnsi="宋体" w:cs="宋体"/>
                <w:sz w:val="21"/>
                <w:szCs w:val="22"/>
              </w:rPr>
              <w:t>（30分）</w:t>
            </w:r>
          </w:p>
        </w:tc>
        <w:tc>
          <w:tcPr>
            <w:tcW w:w="5538" w:type="dxa"/>
            <w:tcBorders>
              <w:left w:val="single" w:color="auto" w:sz="4" w:space="0"/>
            </w:tcBorders>
            <w:vAlign w:val="center"/>
          </w:tcPr>
          <w:p>
            <w:pPr>
              <w:spacing w:line="360" w:lineRule="auto"/>
              <w:jc w:val="left"/>
              <w:rPr>
                <w:rFonts w:ascii="宋体" w:hAnsi="宋体" w:eastAsia="宋体" w:cs="宋体"/>
              </w:rPr>
            </w:pPr>
            <w:r>
              <w:rPr>
                <w:rFonts w:hint="eastAsia" w:ascii="宋体" w:hAnsi="宋体" w:eastAsia="宋体" w:cs="宋体"/>
              </w:rPr>
              <w:t>（1）服务计划详细，进度安排合理，保证工期的措施细致有效，能满足项目时间要求。21-30分</w:t>
            </w:r>
          </w:p>
          <w:p>
            <w:pPr>
              <w:spacing w:line="360" w:lineRule="auto"/>
              <w:jc w:val="left"/>
              <w:rPr>
                <w:rFonts w:ascii="宋体" w:hAnsi="宋体" w:eastAsia="宋体" w:cs="宋体"/>
              </w:rPr>
            </w:pPr>
            <w:r>
              <w:rPr>
                <w:rFonts w:hint="eastAsia" w:ascii="宋体" w:hAnsi="宋体" w:eastAsia="宋体" w:cs="宋体"/>
              </w:rPr>
              <w:t>（2）服务计划一般，进度安排一般，保证工期的措施一般，基本能满足项目时间要求。11-20分</w:t>
            </w:r>
          </w:p>
          <w:p>
            <w:pPr>
              <w:spacing w:line="360" w:lineRule="auto"/>
              <w:jc w:val="left"/>
            </w:pPr>
            <w:r>
              <w:rPr>
                <w:rFonts w:hint="eastAsia" w:ascii="宋体" w:hAnsi="宋体" w:eastAsia="宋体" w:cs="宋体"/>
              </w:rPr>
              <w:t>（3）服务计划不完善，进度安排不合理，保证工期的措施不完善，不能满足项目时间要求。0-10分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647" w:type="dxa"/>
            <w:vAlign w:val="center"/>
          </w:tcPr>
          <w:p>
            <w:pPr>
              <w:pStyle w:val="63"/>
              <w:spacing w:line="360" w:lineRule="auto"/>
              <w:jc w:val="center"/>
              <w:rPr>
                <w:rFonts w:ascii="宋体" w:hAnsi="宋体" w:cs="宋体"/>
                <w:bCs/>
                <w:color w:val="000000" w:themeColor="text1"/>
                <w:sz w:val="21"/>
                <w:szCs w:val="21"/>
                <w14:textFill>
                  <w14:solidFill>
                    <w14:schemeClr w14:val="tx1"/>
                  </w14:solidFill>
                </w14:textFill>
              </w:rPr>
            </w:pPr>
            <w:r>
              <w:rPr>
                <w:rFonts w:hint="eastAsia" w:ascii="宋体" w:hAnsi="宋体" w:cs="宋体"/>
                <w:bCs/>
                <w:color w:val="000000" w:themeColor="text1"/>
                <w:sz w:val="21"/>
                <w:szCs w:val="21"/>
                <w14:textFill>
                  <w14:solidFill>
                    <w14:schemeClr w14:val="tx1"/>
                  </w14:solidFill>
                </w14:textFill>
              </w:rPr>
              <w:t>（4）</w:t>
            </w:r>
          </w:p>
        </w:tc>
        <w:tc>
          <w:tcPr>
            <w:tcW w:w="3364" w:type="dxa"/>
            <w:gridSpan w:val="2"/>
            <w:tcBorders>
              <w:right w:val="single" w:color="auto" w:sz="4" w:space="0"/>
            </w:tcBorders>
            <w:vAlign w:val="center"/>
          </w:tcPr>
          <w:p>
            <w:pPr>
              <w:pStyle w:val="63"/>
              <w:snapToGrid w:val="0"/>
              <w:spacing w:line="400" w:lineRule="exact"/>
              <w:jc w:val="center"/>
              <w:rPr>
                <w:rFonts w:ascii="宋体" w:hAnsi="宋体" w:cs="宋体"/>
                <w:sz w:val="21"/>
                <w:szCs w:val="22"/>
              </w:rPr>
            </w:pPr>
            <w:r>
              <w:rPr>
                <w:rFonts w:hint="eastAsia" w:ascii="宋体" w:hAnsi="宋体" w:cs="宋体"/>
                <w:sz w:val="21"/>
                <w:szCs w:val="22"/>
              </w:rPr>
              <w:t>质量保证措施</w:t>
            </w:r>
          </w:p>
          <w:p>
            <w:pPr>
              <w:pStyle w:val="63"/>
              <w:snapToGrid w:val="0"/>
              <w:spacing w:line="400" w:lineRule="exact"/>
              <w:jc w:val="center"/>
              <w:rPr>
                <w:rFonts w:ascii="宋体" w:hAnsi="宋体" w:cs="宋体"/>
                <w:sz w:val="21"/>
                <w:szCs w:val="22"/>
              </w:rPr>
            </w:pPr>
            <w:r>
              <w:rPr>
                <w:rFonts w:hint="eastAsia" w:ascii="宋体" w:hAnsi="宋体" w:cs="宋体"/>
                <w:sz w:val="21"/>
                <w:szCs w:val="22"/>
              </w:rPr>
              <w:t>（20分）</w:t>
            </w:r>
          </w:p>
        </w:tc>
        <w:tc>
          <w:tcPr>
            <w:tcW w:w="5538" w:type="dxa"/>
            <w:tcBorders>
              <w:left w:val="single" w:color="auto" w:sz="4" w:space="0"/>
            </w:tcBorders>
            <w:vAlign w:val="center"/>
          </w:tcPr>
          <w:p>
            <w:pPr>
              <w:spacing w:line="360" w:lineRule="auto"/>
              <w:jc w:val="left"/>
              <w:rPr>
                <w:rFonts w:ascii="宋体" w:hAnsi="宋体" w:eastAsia="宋体" w:cs="宋体"/>
              </w:rPr>
            </w:pPr>
            <w:r>
              <w:rPr>
                <w:rFonts w:hint="eastAsia" w:ascii="宋体" w:hAnsi="宋体" w:eastAsia="宋体" w:cs="宋体"/>
              </w:rPr>
              <w:t>（1）有完善的质量保证体系和措施，能确保可行性研究报告的质量，承诺提供优质的后续服务，如协助审查、解答疑问等，服务内容具体、可行。14-20分</w:t>
            </w:r>
          </w:p>
          <w:p>
            <w:pPr>
              <w:spacing w:line="360" w:lineRule="auto"/>
              <w:jc w:val="left"/>
              <w:rPr>
                <w:rFonts w:ascii="宋体" w:hAnsi="宋体" w:eastAsia="宋体" w:cs="宋体"/>
              </w:rPr>
            </w:pPr>
            <w:r>
              <w:rPr>
                <w:rFonts w:hint="eastAsia" w:ascii="宋体" w:hAnsi="宋体" w:eastAsia="宋体" w:cs="宋体"/>
              </w:rPr>
              <w:t>（2）质量保证体系和措施一般，基本能够保证可行性研究报告的质量，承诺提供优质的后续服务，如协助审查、解答疑问等，服务内容一般。7-13分</w:t>
            </w:r>
          </w:p>
          <w:p>
            <w:pPr>
              <w:spacing w:line="360" w:lineRule="auto"/>
              <w:jc w:val="left"/>
            </w:pPr>
            <w:r>
              <w:rPr>
                <w:rFonts w:hint="eastAsia" w:ascii="宋体" w:hAnsi="宋体" w:eastAsia="宋体" w:cs="宋体"/>
              </w:rPr>
              <w:t>（3）质量保证体系和措施不完善，不能确保可行性研究报告的质量，未提供优质的后续服务承诺。0-6分</w:t>
            </w:r>
          </w:p>
        </w:tc>
      </w:tr>
    </w:tbl>
    <w:p>
      <w:pPr>
        <w:rPr>
          <w:rFonts w:ascii="宋体" w:hAnsi="宋体" w:eastAsia="宋体" w:cs="宋体"/>
        </w:rPr>
      </w:pPr>
    </w:p>
    <w:p>
      <w:pPr>
        <w:pStyle w:val="4"/>
        <w:spacing w:line="360" w:lineRule="auto"/>
        <w:jc w:val="center"/>
        <w:rPr>
          <w:rFonts w:ascii="宋体" w:hAnsi="宋体" w:eastAsia="宋体" w:cs="宋体"/>
          <w:color w:val="000000" w:themeColor="text1"/>
          <w:sz w:val="28"/>
          <w14:textFill>
            <w14:solidFill>
              <w14:schemeClr w14:val="tx1"/>
            </w14:solidFill>
          </w14:textFill>
        </w:rPr>
      </w:pPr>
      <w:bookmarkStart w:id="60" w:name="_Toc23078"/>
      <w:bookmarkStart w:id="61" w:name="_Toc29553"/>
      <w:bookmarkStart w:id="62" w:name="_Toc78019906"/>
    </w:p>
    <w:p>
      <w:pPr>
        <w:pStyle w:val="4"/>
        <w:spacing w:line="360" w:lineRule="auto"/>
        <w:jc w:val="center"/>
        <w:rPr>
          <w:rFonts w:ascii="宋体" w:hAnsi="宋体" w:eastAsia="宋体" w:cs="宋体"/>
          <w:color w:val="000000" w:themeColor="text1"/>
          <w:sz w:val="28"/>
          <w14:textFill>
            <w14:solidFill>
              <w14:schemeClr w14:val="tx1"/>
            </w14:solidFill>
          </w14:textFill>
        </w:rPr>
        <w:sectPr>
          <w:headerReference r:id="rId9" w:type="first"/>
          <w:footerReference r:id="rId11" w:type="first"/>
          <w:headerReference r:id="rId8" w:type="even"/>
          <w:footerReference r:id="rId10" w:type="even"/>
          <w:pgSz w:w="11906" w:h="16838"/>
          <w:pgMar w:top="1440" w:right="1080" w:bottom="1440" w:left="1080" w:header="851" w:footer="851" w:gutter="0"/>
          <w:cols w:space="720" w:num="1"/>
          <w:docGrid w:linePitch="312" w:charSpace="0"/>
        </w:sectPr>
      </w:pPr>
    </w:p>
    <w:p/>
    <w:p>
      <w:pPr>
        <w:pStyle w:val="4"/>
        <w:spacing w:line="360" w:lineRule="auto"/>
        <w:jc w:val="center"/>
        <w:rPr>
          <w:rFonts w:ascii="宋体" w:hAnsi="宋体" w:eastAsia="宋体" w:cs="宋体"/>
          <w:color w:val="000000" w:themeColor="text1"/>
          <w:sz w:val="28"/>
          <w14:textFill>
            <w14:solidFill>
              <w14:schemeClr w14:val="tx1"/>
            </w14:solidFill>
          </w14:textFill>
        </w:rPr>
      </w:pPr>
      <w:bookmarkStart w:id="63" w:name="_Toc15974"/>
      <w:r>
        <w:rPr>
          <w:rFonts w:hint="eastAsia" w:ascii="宋体" w:hAnsi="宋体" w:eastAsia="宋体" w:cs="宋体"/>
          <w:color w:val="000000" w:themeColor="text1"/>
          <w:sz w:val="28"/>
          <w14:textFill>
            <w14:solidFill>
              <w14:schemeClr w14:val="tx1"/>
            </w14:solidFill>
          </w14:textFill>
        </w:rPr>
        <w:t>评审方法</w:t>
      </w:r>
      <w:bookmarkEnd w:id="60"/>
      <w:bookmarkEnd w:id="61"/>
      <w:bookmarkEnd w:id="62"/>
      <w:bookmarkEnd w:id="63"/>
    </w:p>
    <w:p>
      <w:pPr>
        <w:pStyle w:val="5"/>
        <w:spacing w:line="360" w:lineRule="auto"/>
        <w:rPr>
          <w:rFonts w:ascii="宋体" w:hAnsi="宋体" w:eastAsia="宋体" w:cs="宋体"/>
          <w:color w:val="000000" w:themeColor="text1"/>
          <w:sz w:val="28"/>
          <w:szCs w:val="28"/>
          <w14:textFill>
            <w14:solidFill>
              <w14:schemeClr w14:val="tx1"/>
            </w14:solidFill>
          </w14:textFill>
        </w:rPr>
      </w:pPr>
      <w:bookmarkStart w:id="64" w:name="_Toc78019907"/>
      <w:bookmarkStart w:id="65" w:name="_Toc39581682"/>
      <w:r>
        <w:rPr>
          <w:rFonts w:hint="eastAsia" w:ascii="宋体" w:hAnsi="宋体" w:eastAsia="宋体" w:cs="宋体"/>
          <w:color w:val="000000" w:themeColor="text1"/>
          <w:sz w:val="28"/>
          <w:szCs w:val="28"/>
          <w14:textFill>
            <w14:solidFill>
              <w14:schemeClr w14:val="tx1"/>
            </w14:solidFill>
          </w14:textFill>
        </w:rPr>
        <w:t>1.评审方法</w:t>
      </w:r>
      <w:bookmarkEnd w:id="64"/>
      <w:bookmarkEnd w:id="65"/>
    </w:p>
    <w:p>
      <w:pPr>
        <w:spacing w:line="360" w:lineRule="auto"/>
        <w:ind w:firstLine="480" w:firstLineChars="200"/>
        <w:rPr>
          <w:rFonts w:ascii="宋体" w:hAnsi="宋体" w:eastAsia="宋体" w:cs="宋体"/>
        </w:rPr>
      </w:pPr>
      <w:bookmarkStart w:id="66" w:name="_Toc39581683"/>
      <w:r>
        <w:rPr>
          <w:rFonts w:hint="eastAsia" w:ascii="宋体" w:hAnsi="宋体" w:eastAsia="宋体" w:cs="宋体"/>
          <w:color w:val="000000" w:themeColor="text1"/>
          <w:sz w:val="24"/>
          <w14:textFill>
            <w14:solidFill>
              <w14:schemeClr w14:val="tx1"/>
            </w14:solidFill>
          </w14:textFill>
        </w:rPr>
        <w:t>本次评审采用综合评估打分法。谈判小组对通过初步评审的响应文件，按竞争性谈判采购文件规定的报价部分评分标准、商务部分评分标准、技术部分评分标准进行评分。汇总服务商报价得分、商务得分和技术得分为服务商最后得分，谈判小组根据服务商最后得分由高到低顺序排名并推荐成交候选服务商。如服务商最后得分相同时，按技术部分得分由高到低顺序排名；如技术部分得分也相同时，按报价部分得分由高到低顺序排名；特殊情况，由谈判小组采取记名投票的方式确定。</w:t>
      </w:r>
    </w:p>
    <w:p>
      <w:pPr>
        <w:pStyle w:val="5"/>
        <w:spacing w:line="360" w:lineRule="auto"/>
        <w:rPr>
          <w:rFonts w:ascii="宋体" w:hAnsi="宋体" w:eastAsia="宋体" w:cs="宋体"/>
          <w:color w:val="000000" w:themeColor="text1"/>
          <w:sz w:val="28"/>
          <w:szCs w:val="28"/>
          <w14:textFill>
            <w14:solidFill>
              <w14:schemeClr w14:val="tx1"/>
            </w14:solidFill>
          </w14:textFill>
        </w:rPr>
      </w:pPr>
      <w:bookmarkStart w:id="67" w:name="_Toc78019908"/>
      <w:r>
        <w:rPr>
          <w:rFonts w:hint="eastAsia" w:ascii="宋体" w:hAnsi="宋体" w:eastAsia="宋体" w:cs="宋体"/>
          <w:color w:val="000000" w:themeColor="text1"/>
          <w:sz w:val="28"/>
          <w:szCs w:val="28"/>
          <w14:textFill>
            <w14:solidFill>
              <w14:schemeClr w14:val="tx1"/>
            </w14:solidFill>
          </w14:textFill>
        </w:rPr>
        <w:t>2.评审标准</w:t>
      </w:r>
      <w:bookmarkEnd w:id="66"/>
      <w:bookmarkEnd w:id="67"/>
    </w:p>
    <w:p>
      <w:pPr>
        <w:pStyle w:val="6"/>
        <w:spacing w:line="360" w:lineRule="auto"/>
        <w:rPr>
          <w:rFonts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2.1初步评审标准</w:t>
      </w:r>
    </w:p>
    <w:p>
      <w:pPr>
        <w:spacing w:line="360" w:lineRule="auto"/>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2.1.1形式评审标准：见评审办法前附表。</w:t>
      </w:r>
    </w:p>
    <w:p>
      <w:pPr>
        <w:spacing w:line="360" w:lineRule="auto"/>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2.1.2资格评审标准：见评审办法前附表。</w:t>
      </w:r>
    </w:p>
    <w:p>
      <w:pPr>
        <w:spacing w:line="360" w:lineRule="auto"/>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2.1.3响应性评审标准：见评审办法前附表。</w:t>
      </w:r>
    </w:p>
    <w:p>
      <w:pPr>
        <w:pStyle w:val="6"/>
        <w:spacing w:line="360" w:lineRule="auto"/>
        <w:rPr>
          <w:rFonts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2.2分值构成与评分标准</w:t>
      </w:r>
    </w:p>
    <w:p>
      <w:pPr>
        <w:spacing w:line="360" w:lineRule="auto"/>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2.2.1分值构成</w:t>
      </w:r>
    </w:p>
    <w:p>
      <w:pPr>
        <w:spacing w:line="360" w:lineRule="auto"/>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（1）报价部分：见评审办法前附表；</w:t>
      </w:r>
    </w:p>
    <w:p>
      <w:pPr>
        <w:spacing w:line="360" w:lineRule="auto"/>
        <w:ind w:firstLine="48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（2）商务部分：见评审办法前附表；</w:t>
      </w:r>
    </w:p>
    <w:p>
      <w:pPr>
        <w:spacing w:line="360" w:lineRule="auto"/>
        <w:ind w:firstLine="48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（3）技术部分：见评审办法前附表；</w:t>
      </w:r>
    </w:p>
    <w:p>
      <w:pPr>
        <w:spacing w:line="360" w:lineRule="auto"/>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2.2.2评分标准</w:t>
      </w:r>
    </w:p>
    <w:p>
      <w:pPr>
        <w:spacing w:line="360" w:lineRule="auto"/>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（1）报价部分评分标准：见评审办法前附表；</w:t>
      </w:r>
    </w:p>
    <w:p>
      <w:pPr>
        <w:spacing w:line="360" w:lineRule="auto"/>
        <w:ind w:firstLine="48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（2）商务部分评分标准：见评审办法前附表；</w:t>
      </w:r>
    </w:p>
    <w:p>
      <w:pPr>
        <w:spacing w:line="360" w:lineRule="auto"/>
        <w:ind w:firstLine="48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（3）技术部分评分标准：见评审办法前附表；</w:t>
      </w:r>
    </w:p>
    <w:p>
      <w:pPr>
        <w:pStyle w:val="5"/>
        <w:spacing w:line="360" w:lineRule="auto"/>
        <w:rPr>
          <w:rFonts w:ascii="宋体" w:hAnsi="宋体" w:eastAsia="宋体" w:cs="宋体"/>
          <w:color w:val="000000" w:themeColor="text1"/>
          <w:sz w:val="28"/>
          <w:szCs w:val="28"/>
          <w14:textFill>
            <w14:solidFill>
              <w14:schemeClr w14:val="tx1"/>
            </w14:solidFill>
          </w14:textFill>
        </w:rPr>
      </w:pPr>
      <w:bookmarkStart w:id="68" w:name="_Toc39581684"/>
      <w:bookmarkStart w:id="69" w:name="_Toc78019909"/>
      <w:r>
        <w:rPr>
          <w:rFonts w:hint="eastAsia" w:ascii="宋体" w:hAnsi="宋体" w:eastAsia="宋体" w:cs="宋体"/>
          <w:color w:val="000000" w:themeColor="text1"/>
          <w:sz w:val="28"/>
          <w:szCs w:val="28"/>
          <w14:textFill>
            <w14:solidFill>
              <w14:schemeClr w14:val="tx1"/>
            </w14:solidFill>
          </w14:textFill>
        </w:rPr>
        <w:t>3.评审程序</w:t>
      </w:r>
      <w:bookmarkEnd w:id="68"/>
      <w:bookmarkEnd w:id="69"/>
    </w:p>
    <w:p>
      <w:pPr>
        <w:spacing w:line="360" w:lineRule="auto"/>
        <w:ind w:firstLine="480"/>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初步评审→二次（最终）报价→详细评审打分→汇总得分→提交评审报告。</w:t>
      </w:r>
    </w:p>
    <w:p>
      <w:pPr>
        <w:pStyle w:val="6"/>
        <w:spacing w:line="360" w:lineRule="auto"/>
        <w:rPr>
          <w:rFonts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3.1初步评审</w:t>
      </w:r>
    </w:p>
    <w:p>
      <w:pPr>
        <w:spacing w:line="360" w:lineRule="auto"/>
        <w:ind w:firstLine="482" w:firstLineChars="200"/>
        <w:jc w:val="left"/>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谈判小组依据本章规定的标准对服务商提交的响应文件进行初步评审，判断响应文件的形式是否符合要求、服务商是否符合资格条件、响应文件是否实质性响应竞争性谈判采购文件的要求。只有以上评审合格的响应文件才可通过初步评审。</w:t>
      </w:r>
    </w:p>
    <w:p>
      <w:pPr>
        <w:spacing w:line="360" w:lineRule="auto"/>
        <w:ind w:firstLine="482" w:firstLineChars="200"/>
        <w:jc w:val="left"/>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响应文件的形式或服务商资格不符合采购文件的要求、响应文件未实质性响应采购文件的要求，或响应文件中有含义不明确、同类问题表述不一致或有明显文字和计算错误的内容，谈判小组应要求服务商在规定时间内进行澄清、说明。服务商澄清、说明的内容应由法定代表人（单位负责人）或其授权的代理人签字。澄清、说明的内容作为响应文件的组成部分。</w:t>
      </w:r>
    </w:p>
    <w:p>
      <w:pPr>
        <w:spacing w:line="360" w:lineRule="auto"/>
        <w:ind w:firstLine="482" w:firstLineChars="20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经服务商澄清、说明后仍不满足初步评审要求的响应文件（即响应文件不满足本章第2.1款规定的任一项标准），或服务商有串通、弄虚作假、行贿等违法行为的，其响应文件将被视为无效，谈判小组应告知有关服务商。</w:t>
      </w:r>
    </w:p>
    <w:p>
      <w:pPr>
        <w:spacing w:line="360" w:lineRule="auto"/>
        <w:ind w:firstLine="482"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3.2详细评审</w:t>
      </w:r>
    </w:p>
    <w:p>
      <w:pPr>
        <w:spacing w:line="360" w:lineRule="auto"/>
        <w:ind w:firstLine="48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3.2.1谈判小组按本章规定的量化因素和分值进行打分，并计算出服务商最终得分。</w:t>
      </w:r>
    </w:p>
    <w:p>
      <w:pPr>
        <w:spacing w:line="360" w:lineRule="auto"/>
        <w:ind w:firstLine="48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3.2.2评分分值计算保留小数点后两位，小数点后第三位“四舍五入”。</w:t>
      </w:r>
    </w:p>
    <w:p>
      <w:pPr>
        <w:spacing w:line="360" w:lineRule="auto"/>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3.2.3谈判小组发现服务商的报价明显低于其他响应报价，使得其响应报价可能低于其个别成本的，应当要求该服务商作出书面说明并提供相应的证明材料。服务商不能合理说明或者不能提供相应证明材料的，由谈判小组认定该服务商以低于成本报价竞标，其响应作否决处理。</w:t>
      </w:r>
    </w:p>
    <w:p>
      <w:pPr>
        <w:pStyle w:val="6"/>
        <w:spacing w:line="360" w:lineRule="auto"/>
        <w:rPr>
          <w:rFonts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3.3响应文件的澄清</w:t>
      </w:r>
    </w:p>
    <w:p>
      <w:pPr>
        <w:spacing w:line="360" w:lineRule="auto"/>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3.3.1在评审过程中，谈判小组不接受服务商主动提出的澄清、说明。</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3.3.2谈判小组对服务商提交的澄清、说明有疑问的，可以要求服务商进一步澄清、说明，直至满足谈判小组的要求。</w:t>
      </w:r>
    </w:p>
    <w:p>
      <w:pPr>
        <w:pStyle w:val="6"/>
        <w:spacing w:line="360" w:lineRule="auto"/>
        <w:rPr>
          <w:rFonts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3.4评审结果</w:t>
      </w:r>
    </w:p>
    <w:p>
      <w:pPr>
        <w:adjustRightInd w:val="0"/>
        <w:snapToGrid w:val="0"/>
        <w:spacing w:line="360" w:lineRule="auto"/>
        <w:ind w:firstLine="360" w:firstLineChars="15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3.4.1经形式评审、资格评审、响应性评审审查合格的服务商，才能进入详细评审打分，最终得分按评审办法前附表的规定进行汇总，谈判小组按照最终得分由高至低进行排序，推荐成交候选服务商。</w:t>
      </w:r>
    </w:p>
    <w:p>
      <w:pPr>
        <w:spacing w:line="360" w:lineRule="auto"/>
        <w:ind w:firstLine="360" w:firstLineChars="15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3.4.2谈判小组只负责推荐成交候选服务商排序，成交服务商最终由采购人确定。</w:t>
      </w:r>
    </w:p>
    <w:p>
      <w:pPr>
        <w:spacing w:line="360" w:lineRule="auto"/>
        <w:ind w:firstLine="360" w:firstLineChars="15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3.4.3采购代理机构根据成交结果向成交服务商发出成交通知书。</w:t>
      </w:r>
    </w:p>
    <w:p>
      <w:pPr>
        <w:spacing w:line="360" w:lineRule="auto"/>
        <w:ind w:firstLine="360" w:firstLineChars="15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3.4.4谈判小组完成评审后，应当向采购人提交书面评审报告。</w:t>
      </w:r>
    </w:p>
    <w:p>
      <w:pPr>
        <w:pStyle w:val="6"/>
        <w:spacing w:line="360" w:lineRule="auto"/>
        <w:rPr>
          <w:rFonts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3.5评审纪律</w:t>
      </w:r>
    </w:p>
    <w:p>
      <w:pPr>
        <w:spacing w:line="360" w:lineRule="auto"/>
        <w:ind w:firstLine="480" w:firstLineChars="20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3.5.1谈判小组的成员应严格自律，自觉接受监督。</w:t>
      </w:r>
    </w:p>
    <w:p>
      <w:pPr>
        <w:spacing w:line="360" w:lineRule="auto"/>
        <w:ind w:firstLine="480" w:firstLineChars="20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3.5.2评审过程中，谈判小组成员不得擅离职守，影响评审程序正常进行。</w:t>
      </w:r>
    </w:p>
    <w:p>
      <w:pPr>
        <w:spacing w:line="360" w:lineRule="auto"/>
        <w:ind w:firstLine="480" w:firstLineChars="20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3.5.3谈判小组的成员不得与服务商、其他利害关系人私下接触，不得向服务商、其他利害关系人泄露对响应文件的评审、比较、成交候选服务商的推荐以及与评审有关的其他情况。</w:t>
      </w:r>
    </w:p>
    <w:p>
      <w:pPr>
        <w:spacing w:line="360" w:lineRule="auto"/>
        <w:ind w:firstLine="480" w:firstLineChars="20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3.5.4不允许任何人把响应文件及其汇总材料带出评审会场（已经公开的价格等资料除外），所有资料不得复制，完成评审后所有材料如数交还。</w:t>
      </w:r>
    </w:p>
    <w:p>
      <w:pPr>
        <w:spacing w:line="360" w:lineRule="auto"/>
        <w:ind w:firstLine="480" w:firstLineChars="20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3.5.5违反上述规定对评审造成不良影响的，后果由责任者承担。</w:t>
      </w:r>
    </w:p>
    <w:p>
      <w:pPr>
        <w:pStyle w:val="6"/>
        <w:spacing w:line="360" w:lineRule="auto"/>
        <w:rPr>
          <w:rFonts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3.6补充条款</w:t>
      </w:r>
    </w:p>
    <w:p>
      <w:pPr>
        <w:spacing w:line="360" w:lineRule="auto"/>
        <w:ind w:firstLine="480" w:firstLineChars="20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3.6.1有下列情形之一的，属于服务商相互串通响应：</w:t>
      </w:r>
    </w:p>
    <w:p>
      <w:pPr>
        <w:spacing w:line="360" w:lineRule="auto"/>
        <w:ind w:firstLine="960" w:firstLineChars="40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1.服务商之间协商响应报价等响应文件的实质性内容； </w:t>
      </w:r>
    </w:p>
    <w:p>
      <w:pPr>
        <w:spacing w:line="360" w:lineRule="auto"/>
        <w:ind w:firstLine="960" w:firstLineChars="40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2.服务商之间约定成交服务商； </w:t>
      </w:r>
    </w:p>
    <w:p>
      <w:pPr>
        <w:spacing w:line="360" w:lineRule="auto"/>
        <w:ind w:firstLine="960" w:firstLineChars="40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3.服务商之间约定部分服务商放弃响应或者成交； </w:t>
      </w:r>
    </w:p>
    <w:p>
      <w:pPr>
        <w:spacing w:line="360" w:lineRule="auto"/>
        <w:ind w:firstLine="960" w:firstLineChars="40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4.服务商之间为谋取成交或者排斥特定服务商而采取的其他联合行动。</w:t>
      </w:r>
    </w:p>
    <w:p>
      <w:pPr>
        <w:spacing w:line="360" w:lineRule="auto"/>
        <w:ind w:firstLine="960" w:firstLineChars="40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6.不同服务商的响应文件由同一单位或者个人编制； </w:t>
      </w:r>
    </w:p>
    <w:p>
      <w:pPr>
        <w:spacing w:line="360" w:lineRule="auto"/>
        <w:ind w:firstLine="960" w:firstLineChars="40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7.不同服务商委托同一单位或者个人办理相应事宜； </w:t>
      </w:r>
    </w:p>
    <w:p>
      <w:pPr>
        <w:spacing w:line="360" w:lineRule="auto"/>
        <w:ind w:firstLine="960" w:firstLineChars="40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8.不同服务商的响应文件载明的项目管理成员为同一人； </w:t>
      </w:r>
    </w:p>
    <w:p>
      <w:pPr>
        <w:spacing w:line="360" w:lineRule="auto"/>
        <w:ind w:firstLine="960" w:firstLineChars="40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9.不同服务商的响应文件异常一致或者响应报价呈规律性差异； </w:t>
      </w:r>
    </w:p>
    <w:p>
      <w:pPr>
        <w:spacing w:line="360" w:lineRule="auto"/>
        <w:ind w:firstLine="960" w:firstLineChars="40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10.不同服务商的响应保证金从同一单位或者个人的账户转出。</w:t>
      </w:r>
    </w:p>
    <w:p>
      <w:pPr>
        <w:spacing w:line="360" w:lineRule="auto"/>
        <w:ind w:firstLine="480" w:firstLineChars="20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3.6.2服务商有下列情形之一的，属于以其他方式弄虚作假的行为： </w:t>
      </w:r>
    </w:p>
    <w:p>
      <w:pPr>
        <w:spacing w:line="360" w:lineRule="auto"/>
        <w:ind w:firstLine="960" w:firstLineChars="40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1.使用伪造、变造的许可证件； </w:t>
      </w:r>
    </w:p>
    <w:p>
      <w:pPr>
        <w:spacing w:line="360" w:lineRule="auto"/>
        <w:ind w:firstLine="960" w:firstLineChars="40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2.提供虚假的财务状况或者业绩； </w:t>
      </w:r>
    </w:p>
    <w:p>
      <w:pPr>
        <w:spacing w:line="360" w:lineRule="auto"/>
        <w:ind w:firstLine="960" w:firstLineChars="40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3.提供虚假的项目负责人或者主要技术人员简历、劳动关系证明； </w:t>
      </w:r>
    </w:p>
    <w:p>
      <w:pPr>
        <w:spacing w:line="360" w:lineRule="auto"/>
        <w:ind w:firstLine="960" w:firstLineChars="40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4.提供虚假的信用状况；</w:t>
      </w:r>
    </w:p>
    <w:p>
      <w:pPr>
        <w:spacing w:line="360" w:lineRule="auto"/>
        <w:ind w:firstLine="960" w:firstLineChars="400"/>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5.其他弄虚作假的行为。</w:t>
      </w:r>
    </w:p>
    <w:p>
      <w:pPr>
        <w:pStyle w:val="6"/>
        <w:spacing w:line="360" w:lineRule="auto"/>
        <w:rPr>
          <w:rFonts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b w:val="0"/>
          <w:color w:val="000000" w:themeColor="text1"/>
          <w:sz w:val="24"/>
          <w:szCs w:val="24"/>
          <w14:textFill>
            <w14:solidFill>
              <w14:schemeClr w14:val="tx1"/>
            </w14:solidFill>
          </w14:textFill>
        </w:rPr>
        <w:t>3.7响应文件无效条件</w:t>
      </w:r>
    </w:p>
    <w:p>
      <w:pPr>
        <w:spacing w:line="360" w:lineRule="auto"/>
        <w:ind w:firstLine="482" w:firstLineChars="200"/>
        <w:jc w:val="left"/>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服务商或响应文件有下列情形之一的，其响应文件作无效处理：</w:t>
      </w:r>
    </w:p>
    <w:p>
      <w:pPr>
        <w:spacing w:line="360" w:lineRule="auto"/>
        <w:ind w:firstLine="482" w:firstLineChars="200"/>
        <w:jc w:val="left"/>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响应文件无效条件是对本章评审办法前附表的总结和补充，如出现相互矛盾的情况，以本节的规定为准：</w:t>
      </w:r>
    </w:p>
    <w:p>
      <w:pPr>
        <w:spacing w:line="360" w:lineRule="auto"/>
        <w:ind w:firstLine="482" w:firstLineChars="200"/>
        <w:jc w:val="left"/>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 xml:space="preserve">1、有第二章“服务商须知正文件”第3.5.3项规定的任何一种情形的； </w:t>
      </w:r>
    </w:p>
    <w:p>
      <w:pPr>
        <w:spacing w:line="360" w:lineRule="auto"/>
        <w:ind w:firstLine="482" w:firstLineChars="200"/>
        <w:jc w:val="left"/>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2、在形式评审、资格评审、响应性评审中，谈判小组认定服务商或响应文件不符合其规定的任何一项评审标准且未在规定时间内进行澄清、说明的；</w:t>
      </w:r>
    </w:p>
    <w:p>
      <w:pPr>
        <w:spacing w:line="360" w:lineRule="auto"/>
        <w:ind w:firstLine="482" w:firstLineChars="200"/>
        <w:jc w:val="left"/>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3、响应文件内容不全或关键字迹模糊不清、无法辨认的；</w:t>
      </w:r>
    </w:p>
    <w:p>
      <w:pPr>
        <w:spacing w:line="360" w:lineRule="auto"/>
        <w:ind w:firstLine="482" w:firstLineChars="200"/>
        <w:jc w:val="left"/>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4、服务商递交两份或多份内容不同的响应文件，或在一份响应文件中对同一采购项目报有两个或多个报价，且未声明哪一个有效的；</w:t>
      </w:r>
    </w:p>
    <w:p>
      <w:pPr>
        <w:spacing w:line="360" w:lineRule="auto"/>
        <w:ind w:firstLine="482" w:firstLineChars="200"/>
        <w:jc w:val="left"/>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5、不按谈判小组要求澄清、说明或补正的；</w:t>
      </w:r>
    </w:p>
    <w:p>
      <w:pPr>
        <w:spacing w:line="360" w:lineRule="auto"/>
        <w:ind w:firstLine="482" w:firstLineChars="200"/>
        <w:jc w:val="left"/>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6、服务商的谈判报价超过最高限价的；</w:t>
      </w:r>
    </w:p>
    <w:p>
      <w:pPr>
        <w:spacing w:line="360" w:lineRule="auto"/>
        <w:ind w:firstLine="482" w:firstLineChars="200"/>
        <w:jc w:val="left"/>
        <w:rPr>
          <w:rFonts w:ascii="宋体" w:hAnsi="宋体" w:eastAsia="宋体" w:cs="宋体"/>
        </w:rPr>
      </w:pPr>
      <w:r>
        <w:rPr>
          <w:rFonts w:hint="eastAsia" w:ascii="宋体" w:hAnsi="宋体" w:eastAsia="宋体" w:cs="宋体"/>
          <w:b/>
          <w:color w:val="000000" w:themeColor="text1"/>
          <w:sz w:val="24"/>
          <w14:textFill>
            <w14:solidFill>
              <w14:schemeClr w14:val="tx1"/>
            </w14:solidFill>
          </w14:textFill>
        </w:rPr>
        <w:t>7、串通响应或弄虚作假或有其他违法行为的。</w:t>
      </w:r>
    </w:p>
    <w:p>
      <w:pPr>
        <w:spacing w:line="360" w:lineRule="auto"/>
        <w:ind w:firstLine="960" w:firstLineChars="400"/>
        <w:jc w:val="left"/>
        <w:rPr>
          <w:rFonts w:ascii="宋体" w:hAnsi="宋体" w:eastAsia="宋体" w:cs="宋体"/>
          <w:color w:val="000000" w:themeColor="text1"/>
          <w:sz w:val="24"/>
          <w14:textFill>
            <w14:solidFill>
              <w14:schemeClr w14:val="tx1"/>
            </w14:solidFill>
          </w14:textFill>
        </w:rPr>
      </w:pPr>
    </w:p>
    <w:p>
      <w:pPr>
        <w:widowControl/>
        <w:spacing w:line="360" w:lineRule="auto"/>
        <w:jc w:val="left"/>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p>
    <w:p>
      <w:pPr>
        <w:pStyle w:val="3"/>
        <w:autoSpaceDE w:val="0"/>
        <w:autoSpaceDN w:val="0"/>
        <w:adjustRightInd w:val="0"/>
        <w:jc w:val="center"/>
        <w:rPr>
          <w:rFonts w:ascii="宋体" w:hAnsi="宋体" w:eastAsia="宋体" w:cs="宋体"/>
          <w:color w:val="000000" w:themeColor="text1"/>
          <w:sz w:val="32"/>
          <w:szCs w:val="32"/>
          <w14:textFill>
            <w14:solidFill>
              <w14:schemeClr w14:val="tx1"/>
            </w14:solidFill>
          </w14:textFill>
        </w:rPr>
      </w:pPr>
      <w:bookmarkStart w:id="70" w:name="_Toc78019910"/>
      <w:bookmarkStart w:id="71" w:name="_Toc24993"/>
      <w:r>
        <w:rPr>
          <w:rFonts w:hint="eastAsia" w:ascii="宋体" w:hAnsi="宋体" w:eastAsia="宋体" w:cs="宋体"/>
          <w:color w:val="000000" w:themeColor="text1"/>
          <w:sz w:val="32"/>
          <w:szCs w:val="32"/>
          <w14:textFill>
            <w14:solidFill>
              <w14:schemeClr w14:val="tx1"/>
            </w14:solidFill>
          </w14:textFill>
        </w:rPr>
        <w:t xml:space="preserve">第四章 </w:t>
      </w:r>
      <w:bookmarkEnd w:id="70"/>
      <w:r>
        <w:rPr>
          <w:rFonts w:hint="eastAsia" w:ascii="宋体" w:hAnsi="宋体" w:eastAsia="宋体" w:cs="宋体"/>
          <w:color w:val="000000" w:themeColor="text1"/>
          <w:sz w:val="32"/>
          <w:szCs w:val="32"/>
          <w14:textFill>
            <w14:solidFill>
              <w14:schemeClr w14:val="tx1"/>
            </w14:solidFill>
          </w14:textFill>
        </w:rPr>
        <w:t>合同草案</w:t>
      </w:r>
      <w:bookmarkEnd w:id="71"/>
    </w:p>
    <w:p>
      <w:pPr>
        <w:spacing w:line="360" w:lineRule="auto"/>
        <w:jc w:val="center"/>
        <w:rPr>
          <w:rFonts w:ascii="宋体" w:hAnsi="宋体" w:eastAsia="宋体" w:cs="Times New Roman"/>
          <w:b/>
          <w:sz w:val="22"/>
          <w:szCs w:val="24"/>
        </w:rPr>
      </w:pPr>
      <w:r>
        <w:rPr>
          <w:rFonts w:hint="eastAsia" w:ascii="宋体" w:hAnsi="宋体" w:eastAsia="宋体" w:cs="Times New Roman"/>
          <w:b/>
          <w:sz w:val="22"/>
          <w:szCs w:val="24"/>
        </w:rPr>
        <w:t>（</w:t>
      </w:r>
      <w:r>
        <w:rPr>
          <w:rFonts w:hint="eastAsia" w:ascii="宋体" w:hAnsi="宋体" w:eastAsia="宋体" w:cs="Times New Roman"/>
          <w:b/>
          <w:sz w:val="22"/>
          <w:szCs w:val="24"/>
          <w:lang w:eastAsia="zh-TW"/>
        </w:rPr>
        <w:t>文件内本章合同条款及格式仅作为参考，本章节中未明确内容将在合同谈判中明确，</w:t>
      </w:r>
      <w:r>
        <w:rPr>
          <w:rFonts w:hint="eastAsia" w:ascii="宋体" w:hAnsi="宋体" w:eastAsia="宋体" w:cs="Times New Roman"/>
          <w:b/>
          <w:sz w:val="22"/>
          <w:szCs w:val="24"/>
        </w:rPr>
        <w:t>采购</w:t>
      </w:r>
      <w:r>
        <w:rPr>
          <w:rFonts w:hint="eastAsia" w:ascii="宋体" w:hAnsi="宋体" w:eastAsia="宋体" w:cs="Times New Roman"/>
          <w:b/>
          <w:sz w:val="22"/>
          <w:szCs w:val="24"/>
          <w:lang w:eastAsia="zh-TW"/>
        </w:rPr>
        <w:t>人保留最终修订合同的权利，最终本合同以实际签订为准</w:t>
      </w:r>
      <w:r>
        <w:rPr>
          <w:rFonts w:hint="eastAsia" w:ascii="宋体" w:hAnsi="宋体" w:eastAsia="宋体" w:cs="Times New Roman"/>
          <w:b/>
          <w:sz w:val="22"/>
          <w:szCs w:val="24"/>
        </w:rPr>
        <w:t>。）</w:t>
      </w:r>
    </w:p>
    <w:p>
      <w:pPr>
        <w:spacing w:line="360" w:lineRule="auto"/>
        <w:jc w:val="center"/>
        <w:rPr>
          <w:rFonts w:ascii="方正小标宋_GBK" w:hAnsi="方正小标宋_GBK" w:eastAsia="方正小标宋_GBK" w:cs="方正小标宋_GBK"/>
          <w:sz w:val="36"/>
          <w:szCs w:val="36"/>
          <w:u w:val="single"/>
        </w:rPr>
      </w:pPr>
      <w:bookmarkStart w:id="72" w:name="_Toc20397210"/>
      <w:r>
        <w:rPr>
          <w:rFonts w:hint="eastAsia" w:ascii="方正小标宋_GBK" w:hAnsi="方正小标宋_GBK" w:eastAsia="方正小标宋_GBK" w:cs="方正小标宋_GBK"/>
          <w:sz w:val="36"/>
          <w:szCs w:val="36"/>
          <w:u w:val="single"/>
        </w:rPr>
        <w:t>云南能投曲靖发电有限公司三期扩建项目</w:t>
      </w:r>
    </w:p>
    <w:p>
      <w:pPr>
        <w:spacing w:line="360" w:lineRule="auto"/>
        <w:jc w:val="center"/>
        <w:rPr>
          <w:rFonts w:ascii="方正小标宋_GBK" w:hAnsi="方正小标宋_GBK" w:eastAsia="方正小标宋_GBK" w:cs="方正小标宋_GBK"/>
          <w:sz w:val="36"/>
          <w:szCs w:val="36"/>
          <w:u w:val="single"/>
        </w:rPr>
      </w:pPr>
      <w:r>
        <w:rPr>
          <w:rFonts w:hint="eastAsia" w:ascii="方正小标宋_GBK" w:hAnsi="方正小标宋_GBK" w:eastAsia="方正小标宋_GBK" w:cs="方正小标宋_GBK"/>
          <w:sz w:val="36"/>
          <w:szCs w:val="36"/>
          <w:u w:val="single"/>
        </w:rPr>
        <w:t>可行性研究报告编制服务项目</w:t>
      </w:r>
    </w:p>
    <w:p>
      <w:pPr>
        <w:spacing w:line="360" w:lineRule="auto"/>
        <w:jc w:val="center"/>
        <w:rPr>
          <w:rFonts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合</w:t>
      </w:r>
    </w:p>
    <w:p>
      <w:pPr>
        <w:spacing w:line="360" w:lineRule="auto"/>
        <w:jc w:val="center"/>
        <w:rPr>
          <w:rFonts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同</w:t>
      </w:r>
    </w:p>
    <w:p>
      <w:pPr>
        <w:spacing w:line="360" w:lineRule="auto"/>
        <w:jc w:val="center"/>
        <w:rPr>
          <w:rFonts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文</w:t>
      </w:r>
    </w:p>
    <w:p>
      <w:pPr>
        <w:spacing w:line="360" w:lineRule="auto"/>
        <w:jc w:val="center"/>
        <w:rPr>
          <w:rFonts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件</w:t>
      </w:r>
    </w:p>
    <w:p>
      <w:pPr>
        <w:tabs>
          <w:tab w:val="left" w:pos="1800"/>
        </w:tabs>
        <w:spacing w:line="360" w:lineRule="auto"/>
        <w:jc w:val="center"/>
        <w:rPr>
          <w:sz w:val="24"/>
        </w:rPr>
      </w:pPr>
      <w:r>
        <w:rPr>
          <w:rFonts w:hint="eastAsia"/>
          <w:sz w:val="24"/>
        </w:rPr>
        <w:t>（甲方合同编号：</w:t>
      </w:r>
      <w:r>
        <w:rPr>
          <w:rFonts w:hint="eastAsia"/>
          <w:sz w:val="24"/>
          <w:u w:val="single"/>
        </w:rPr>
        <w:t xml:space="preserve">                             </w:t>
      </w:r>
      <w:r>
        <w:rPr>
          <w:rFonts w:hint="eastAsia"/>
          <w:sz w:val="24"/>
        </w:rPr>
        <w:t>）</w:t>
      </w:r>
    </w:p>
    <w:p>
      <w:pPr>
        <w:tabs>
          <w:tab w:val="left" w:pos="1800"/>
        </w:tabs>
        <w:spacing w:line="360" w:lineRule="auto"/>
        <w:jc w:val="center"/>
        <w:rPr>
          <w:sz w:val="24"/>
        </w:rPr>
      </w:pPr>
      <w:r>
        <w:rPr>
          <w:rFonts w:hint="eastAsia"/>
          <w:sz w:val="24"/>
        </w:rPr>
        <w:t>（乙方合同编号：</w:t>
      </w:r>
      <w:r>
        <w:rPr>
          <w:rFonts w:hint="eastAsia"/>
          <w:sz w:val="24"/>
          <w:u w:val="single"/>
        </w:rPr>
        <w:t xml:space="preserve">                             </w:t>
      </w:r>
      <w:r>
        <w:rPr>
          <w:rFonts w:hint="eastAsia"/>
          <w:sz w:val="24"/>
        </w:rPr>
        <w:t>）</w:t>
      </w:r>
    </w:p>
    <w:p>
      <w:pPr>
        <w:tabs>
          <w:tab w:val="left" w:pos="1800"/>
        </w:tabs>
        <w:spacing w:line="360" w:lineRule="auto"/>
        <w:rPr>
          <w:sz w:val="24"/>
        </w:rPr>
      </w:pPr>
    </w:p>
    <w:p>
      <w:pPr>
        <w:tabs>
          <w:tab w:val="left" w:pos="1800"/>
        </w:tabs>
        <w:spacing w:line="360" w:lineRule="auto"/>
        <w:rPr>
          <w:rFonts w:eastAsia="宋体"/>
          <w:sz w:val="24"/>
        </w:rPr>
      </w:pPr>
      <w:r>
        <w:rPr>
          <w:rFonts w:hint="eastAsia"/>
          <w:sz w:val="24"/>
        </w:rPr>
        <w:t>甲方：云南能投曲靖发电有限公司</w:t>
      </w:r>
    </w:p>
    <w:p>
      <w:pPr>
        <w:tabs>
          <w:tab w:val="left" w:pos="1800"/>
        </w:tabs>
        <w:spacing w:line="360" w:lineRule="auto"/>
        <w:rPr>
          <w:bCs/>
        </w:rPr>
      </w:pPr>
      <w:r>
        <w:rPr>
          <w:rFonts w:hint="eastAsia"/>
          <w:sz w:val="24"/>
        </w:rPr>
        <w:t xml:space="preserve">乙方： </w:t>
      </w:r>
    </w:p>
    <w:p>
      <w:pPr>
        <w:tabs>
          <w:tab w:val="left" w:pos="1800"/>
        </w:tabs>
        <w:spacing w:line="360" w:lineRule="auto"/>
        <w:rPr>
          <w:sz w:val="24"/>
        </w:rPr>
      </w:pPr>
      <w:r>
        <w:rPr>
          <w:rFonts w:hint="eastAsia"/>
          <w:bCs/>
          <w:sz w:val="24"/>
        </w:rPr>
        <w:t>签订日期：        年      月     日</w:t>
      </w:r>
    </w:p>
    <w:p>
      <w:pPr>
        <w:tabs>
          <w:tab w:val="left" w:pos="1800"/>
        </w:tabs>
        <w:spacing w:line="360" w:lineRule="auto"/>
        <w:ind w:firstLine="480" w:firstLineChars="200"/>
        <w:rPr>
          <w:sz w:val="24"/>
        </w:rPr>
      </w:pPr>
      <w:r>
        <w:rPr>
          <w:rFonts w:hint="eastAsia"/>
          <w:sz w:val="24"/>
        </w:rPr>
        <w:br w:type="page"/>
      </w:r>
      <w:r>
        <w:rPr>
          <w:rFonts w:hint="eastAsia"/>
          <w:sz w:val="24"/>
        </w:rPr>
        <w:t>根据《中华人民共和国民法典》、《中华人民共和国建筑法》、《建设工程勘察设计管理条例》、《工程勘察设计收费管理规定》及有关的法律规定，结合项目具体情况，双方本着自愿平等、互利和诚实信用的原则，经充分协商一致，订立本技术服务合同，并由双方共同遵守。</w:t>
      </w:r>
    </w:p>
    <w:p>
      <w:pPr>
        <w:tabs>
          <w:tab w:val="left" w:pos="1800"/>
        </w:tabs>
        <w:spacing w:line="360" w:lineRule="auto"/>
        <w:ind w:firstLine="480" w:firstLineChars="200"/>
        <w:rPr>
          <w:sz w:val="24"/>
        </w:rPr>
      </w:pPr>
      <w:r>
        <w:rPr>
          <w:rFonts w:hint="eastAsia"/>
          <w:sz w:val="24"/>
        </w:rPr>
        <w:t>组成合同的文件，可以认为是互为说明的。但在有含意不清或有矛盾时，除非合同中有特殊说明，组成合同文件的优先级如下：</w:t>
      </w:r>
    </w:p>
    <w:p>
      <w:pPr>
        <w:tabs>
          <w:tab w:val="left" w:pos="1800"/>
        </w:tabs>
        <w:spacing w:line="360" w:lineRule="auto"/>
        <w:ind w:firstLine="480" w:firstLineChars="200"/>
        <w:rPr>
          <w:sz w:val="24"/>
        </w:rPr>
      </w:pPr>
      <w:r>
        <w:rPr>
          <w:rFonts w:hint="eastAsia"/>
          <w:sz w:val="24"/>
        </w:rPr>
        <w:t>（1） 合同协议书及有关补充资料（如有）；</w:t>
      </w:r>
    </w:p>
    <w:p>
      <w:pPr>
        <w:tabs>
          <w:tab w:val="left" w:pos="1800"/>
        </w:tabs>
        <w:spacing w:line="360" w:lineRule="auto"/>
        <w:ind w:firstLine="480" w:firstLineChars="200"/>
        <w:rPr>
          <w:sz w:val="24"/>
        </w:rPr>
      </w:pPr>
      <w:r>
        <w:rPr>
          <w:rFonts w:hint="eastAsia"/>
          <w:sz w:val="24"/>
        </w:rPr>
        <w:t>（2） 合同协议备忘录（包括澄清材料）（如有）；</w:t>
      </w:r>
    </w:p>
    <w:p>
      <w:pPr>
        <w:tabs>
          <w:tab w:val="left" w:pos="1800"/>
        </w:tabs>
        <w:spacing w:line="360" w:lineRule="auto"/>
        <w:ind w:firstLine="480" w:firstLineChars="200"/>
        <w:rPr>
          <w:sz w:val="24"/>
        </w:rPr>
      </w:pPr>
      <w:r>
        <w:rPr>
          <w:rFonts w:hint="eastAsia"/>
          <w:sz w:val="24"/>
        </w:rPr>
        <w:t>（3） 成交通知书；</w:t>
      </w:r>
    </w:p>
    <w:p>
      <w:pPr>
        <w:tabs>
          <w:tab w:val="left" w:pos="1800"/>
        </w:tabs>
        <w:spacing w:line="360" w:lineRule="auto"/>
        <w:ind w:firstLine="480" w:firstLineChars="200"/>
        <w:rPr>
          <w:sz w:val="24"/>
        </w:rPr>
      </w:pPr>
      <w:r>
        <w:rPr>
          <w:rFonts w:hint="eastAsia"/>
          <w:sz w:val="24"/>
        </w:rPr>
        <w:t>（4） 经评审确认的具有标价的《报价表》；</w:t>
      </w:r>
    </w:p>
    <w:p>
      <w:pPr>
        <w:tabs>
          <w:tab w:val="left" w:pos="1800"/>
        </w:tabs>
        <w:spacing w:line="360" w:lineRule="auto"/>
        <w:ind w:firstLine="480" w:firstLineChars="200"/>
        <w:rPr>
          <w:sz w:val="24"/>
        </w:rPr>
      </w:pPr>
      <w:r>
        <w:rPr>
          <w:rFonts w:hint="eastAsia"/>
          <w:sz w:val="24"/>
        </w:rPr>
        <w:t>（5） 合同条款；</w:t>
      </w:r>
    </w:p>
    <w:p>
      <w:pPr>
        <w:tabs>
          <w:tab w:val="left" w:pos="1800"/>
        </w:tabs>
        <w:spacing w:line="360" w:lineRule="auto"/>
        <w:ind w:firstLine="480" w:firstLineChars="200"/>
        <w:rPr>
          <w:sz w:val="24"/>
        </w:rPr>
      </w:pPr>
      <w:r>
        <w:rPr>
          <w:rFonts w:hint="eastAsia"/>
          <w:sz w:val="24"/>
        </w:rPr>
        <w:t>（6） 技术条款；</w:t>
      </w:r>
    </w:p>
    <w:p>
      <w:pPr>
        <w:tabs>
          <w:tab w:val="left" w:pos="1800"/>
        </w:tabs>
        <w:spacing w:line="360" w:lineRule="auto"/>
        <w:ind w:firstLine="480" w:firstLineChars="200"/>
        <w:rPr>
          <w:sz w:val="24"/>
        </w:rPr>
      </w:pPr>
      <w:r>
        <w:rPr>
          <w:rFonts w:hint="eastAsia"/>
          <w:sz w:val="24"/>
        </w:rPr>
        <w:t>（7） 报价文件（包括报价辅助资料）；</w:t>
      </w:r>
    </w:p>
    <w:p>
      <w:pPr>
        <w:tabs>
          <w:tab w:val="left" w:pos="1800"/>
        </w:tabs>
        <w:spacing w:line="360" w:lineRule="auto"/>
        <w:ind w:firstLine="480" w:firstLineChars="200"/>
        <w:rPr>
          <w:sz w:val="24"/>
        </w:rPr>
      </w:pPr>
      <w:r>
        <w:rPr>
          <w:rFonts w:hint="eastAsia"/>
          <w:sz w:val="24"/>
        </w:rPr>
        <w:t>（8） 图纸（包括设计说明及技术文件）；</w:t>
      </w:r>
    </w:p>
    <w:p>
      <w:pPr>
        <w:tabs>
          <w:tab w:val="left" w:pos="1800"/>
        </w:tabs>
        <w:spacing w:line="360" w:lineRule="auto"/>
        <w:ind w:firstLine="480" w:firstLineChars="200"/>
        <w:rPr>
          <w:sz w:val="24"/>
        </w:rPr>
      </w:pPr>
      <w:r>
        <w:rPr>
          <w:rFonts w:hint="eastAsia"/>
          <w:sz w:val="24"/>
        </w:rPr>
        <w:t>（9） 其他任何组成合同的文件。</w:t>
      </w:r>
    </w:p>
    <w:p>
      <w:pPr>
        <w:tabs>
          <w:tab w:val="left" w:pos="1800"/>
        </w:tabs>
        <w:spacing w:line="360" w:lineRule="auto"/>
        <w:ind w:firstLine="482" w:firstLineChars="200"/>
        <w:rPr>
          <w:b/>
          <w:bCs/>
          <w:sz w:val="24"/>
        </w:rPr>
      </w:pPr>
      <w:bookmarkStart w:id="73" w:name="_Toc492973892"/>
      <w:bookmarkStart w:id="74" w:name="_Toc456108198"/>
      <w:bookmarkStart w:id="75" w:name="_Toc29351"/>
      <w:r>
        <w:rPr>
          <w:rFonts w:hint="eastAsia"/>
          <w:b/>
          <w:bCs/>
          <w:sz w:val="24"/>
        </w:rPr>
        <w:t>1．</w:t>
      </w:r>
      <w:bookmarkEnd w:id="73"/>
      <w:bookmarkEnd w:id="74"/>
      <w:r>
        <w:rPr>
          <w:rFonts w:hint="eastAsia"/>
          <w:b/>
          <w:bCs/>
          <w:sz w:val="24"/>
        </w:rPr>
        <w:t>工作内容</w:t>
      </w:r>
      <w:bookmarkEnd w:id="75"/>
    </w:p>
    <w:p>
      <w:pPr>
        <w:wordWrap w:val="0"/>
        <w:topLinePunct/>
        <w:spacing w:line="360" w:lineRule="auto"/>
        <w:ind w:firstLine="480" w:firstLineChars="200"/>
        <w:rPr>
          <w:rFonts w:ascii="Times New Roman" w:hAnsi="Times New Roman" w:eastAsia="宋体" w:cs="Times New Roman"/>
          <w:b/>
          <w:bCs/>
          <w:sz w:val="24"/>
          <w:szCs w:val="24"/>
        </w:rPr>
      </w:pPr>
      <w:bookmarkStart w:id="76" w:name="_Toc456108199"/>
      <w:bookmarkStart w:id="77" w:name="_Toc492973893"/>
      <w:r>
        <w:rPr>
          <w:rFonts w:hint="eastAsia" w:ascii="Times New Roman" w:hAnsi="Times New Roman" w:eastAsia="宋体" w:cs="Times New Roman"/>
          <w:sz w:val="24"/>
          <w:szCs w:val="24"/>
        </w:rPr>
        <w:t>乙方</w:t>
      </w:r>
      <w:r>
        <w:rPr>
          <w:rFonts w:ascii="Times New Roman" w:hAnsi="Times New Roman" w:eastAsia="宋体" w:cs="Times New Roman"/>
          <w:sz w:val="24"/>
          <w:szCs w:val="24"/>
        </w:rPr>
        <w:t>负责本</w:t>
      </w:r>
      <w:r>
        <w:rPr>
          <w:rFonts w:hint="eastAsia" w:ascii="Times New Roman" w:hAnsi="Times New Roman" w:eastAsia="宋体" w:cs="Times New Roman"/>
          <w:sz w:val="24"/>
          <w:szCs w:val="24"/>
        </w:rPr>
        <w:t>次</w:t>
      </w:r>
      <w:r>
        <w:rPr>
          <w:rFonts w:ascii="Times New Roman" w:hAnsi="Times New Roman" w:eastAsia="宋体" w:cs="Times New Roman"/>
          <w:sz w:val="24"/>
          <w:szCs w:val="24"/>
        </w:rPr>
        <w:t>项目可行性研究报告编制。可行性研究报告应符合《火力发电厂可行性研究报告内容深度规定》（DL/T5375-2018）的要求。</w:t>
      </w:r>
      <w:r>
        <w:rPr>
          <w:rFonts w:ascii="Times New Roman" w:hAnsi="Times New Roman" w:eastAsia="宋体" w:cs="Times New Roman"/>
          <w:b/>
          <w:bCs/>
          <w:sz w:val="24"/>
          <w:szCs w:val="24"/>
        </w:rPr>
        <w:t>主要工作内容包括（但不限于此）：</w:t>
      </w:r>
    </w:p>
    <w:p>
      <w:pPr>
        <w:widowControl/>
        <w:numPr>
          <w:ilvl w:val="255"/>
          <w:numId w:val="0"/>
        </w:numPr>
        <w:spacing w:line="360" w:lineRule="auto"/>
        <w:ind w:firstLine="482" w:firstLineChars="200"/>
        <w:jc w:val="left"/>
        <w:rPr>
          <w:rFonts w:eastAsia="宋体" w:cs="Times New Roman"/>
          <w:b/>
          <w:bCs/>
          <w:sz w:val="24"/>
          <w:szCs w:val="24"/>
        </w:rPr>
      </w:pPr>
      <w:r>
        <w:rPr>
          <w:rFonts w:hint="eastAsia" w:asciiTheme="minorEastAsia" w:hAnsiTheme="minorEastAsia" w:cstheme="minorEastAsia"/>
          <w:b/>
          <w:bCs/>
          <w:color w:val="000000"/>
          <w:kern w:val="0"/>
          <w:sz w:val="24"/>
          <w:szCs w:val="24"/>
        </w:rPr>
        <w:t>(1)组织专业团队对曲靖电厂三期扩建项目的建厂内外部条件进行现场踏勘，对拟选厂址及贮灰场进行勘察、勘探及勘测等工作，包括但不限于以下内容：工程场地及地质情况、生态环境限制因素、取退水限制因素、燃料及交通运输、热（冷）负荷分析等。提出可行性研究需要收资的清单，采购人负责配合。</w:t>
      </w:r>
    </w:p>
    <w:p>
      <w:pPr>
        <w:wordWrap w:val="0"/>
        <w:topLinePunct/>
        <w:spacing w:line="360" w:lineRule="auto"/>
        <w:ind w:firstLine="482" w:firstLineChars="200"/>
        <w:rPr>
          <w:rFonts w:ascii="Times New Roman" w:hAnsi="Times New Roman" w:eastAsia="宋体" w:cs="Times New Roman"/>
          <w:b/>
          <w:bCs/>
          <w:sz w:val="24"/>
          <w:szCs w:val="24"/>
        </w:rPr>
      </w:pPr>
      <w:r>
        <w:rPr>
          <w:rFonts w:hint="eastAsia" w:eastAsia="宋体" w:cs="Times New Roman"/>
          <w:b/>
          <w:bCs/>
          <w:sz w:val="24"/>
          <w:szCs w:val="24"/>
        </w:rPr>
        <w:t>（2）</w:t>
      </w:r>
      <w:r>
        <w:rPr>
          <w:rFonts w:ascii="Times New Roman" w:hAnsi="Times New Roman" w:eastAsia="宋体" w:cs="Times New Roman"/>
          <w:b/>
          <w:bCs/>
          <w:sz w:val="24"/>
          <w:szCs w:val="24"/>
        </w:rPr>
        <w:t>负责可行性研究全过程设计任务的勘测工作</w:t>
      </w:r>
      <w:r>
        <w:rPr>
          <w:rFonts w:hint="eastAsia" w:eastAsia="宋体" w:cs="Times New Roman"/>
          <w:b/>
          <w:bCs/>
          <w:sz w:val="24"/>
          <w:szCs w:val="24"/>
        </w:rPr>
        <w:t>（含地形图测绘）</w:t>
      </w:r>
      <w:r>
        <w:rPr>
          <w:rFonts w:ascii="Times New Roman" w:hAnsi="Times New Roman" w:eastAsia="宋体" w:cs="Times New Roman"/>
          <w:b/>
          <w:bCs/>
          <w:sz w:val="24"/>
          <w:szCs w:val="24"/>
        </w:rPr>
        <w:t>和服务工作，按照国家、电力行业有关标准和内容深度要求完成设计工作，完成可行性研究阶段勘测报告。</w:t>
      </w:r>
    </w:p>
    <w:p>
      <w:pPr>
        <w:wordWrap w:val="0"/>
        <w:topLinePunct/>
        <w:spacing w:line="360" w:lineRule="auto"/>
        <w:ind w:firstLine="482" w:firstLineChars="200"/>
        <w:rPr>
          <w:rFonts w:ascii="Times New Roman" w:hAnsi="Times New Roman" w:eastAsia="宋体" w:cs="Times New Roman"/>
          <w:b/>
          <w:bCs/>
          <w:sz w:val="24"/>
          <w:szCs w:val="24"/>
        </w:rPr>
      </w:pPr>
      <w:r>
        <w:rPr>
          <w:rFonts w:hint="eastAsia" w:eastAsia="宋体" w:cs="Times New Roman"/>
          <w:b/>
          <w:bCs/>
          <w:sz w:val="24"/>
          <w:szCs w:val="24"/>
        </w:rPr>
        <w:t>（3）</w:t>
      </w:r>
      <w:r>
        <w:rPr>
          <w:rFonts w:ascii="Times New Roman" w:hAnsi="Times New Roman" w:eastAsia="宋体" w:cs="Times New Roman"/>
          <w:b/>
          <w:bCs/>
          <w:sz w:val="24"/>
          <w:szCs w:val="24"/>
        </w:rPr>
        <w:t>根据本项目</w:t>
      </w:r>
      <w:r>
        <w:rPr>
          <w:rFonts w:hint="eastAsia" w:eastAsia="宋体" w:cs="Times New Roman"/>
          <w:b/>
          <w:bCs/>
          <w:sz w:val="24"/>
          <w:szCs w:val="24"/>
        </w:rPr>
        <w:t>前期工作</w:t>
      </w:r>
      <w:r>
        <w:rPr>
          <w:rFonts w:ascii="Times New Roman" w:hAnsi="Times New Roman" w:eastAsia="宋体" w:cs="Times New Roman"/>
          <w:b/>
          <w:bCs/>
          <w:sz w:val="24"/>
          <w:szCs w:val="24"/>
        </w:rPr>
        <w:t>进展</w:t>
      </w:r>
      <w:r>
        <w:rPr>
          <w:rFonts w:hint="eastAsia" w:eastAsia="宋体" w:cs="Times New Roman"/>
          <w:b/>
          <w:bCs/>
          <w:sz w:val="24"/>
          <w:szCs w:val="24"/>
        </w:rPr>
        <w:t>要求</w:t>
      </w:r>
      <w:r>
        <w:rPr>
          <w:rFonts w:ascii="Times New Roman" w:hAnsi="Times New Roman" w:eastAsia="宋体" w:cs="Times New Roman"/>
          <w:b/>
          <w:bCs/>
          <w:sz w:val="24"/>
          <w:szCs w:val="24"/>
        </w:rPr>
        <w:t>，配合</w:t>
      </w:r>
      <w:r>
        <w:rPr>
          <w:rFonts w:hint="eastAsia" w:eastAsia="宋体" w:cs="Times New Roman"/>
          <w:b/>
          <w:bCs/>
          <w:sz w:val="24"/>
          <w:szCs w:val="24"/>
        </w:rPr>
        <w:t>提交用地预审、节能审查、社稳、</w:t>
      </w:r>
      <w:r>
        <w:rPr>
          <w:rFonts w:ascii="Times New Roman" w:hAnsi="Times New Roman" w:eastAsia="宋体" w:cs="Times New Roman"/>
          <w:b/>
          <w:bCs/>
          <w:sz w:val="24"/>
          <w:szCs w:val="24"/>
        </w:rPr>
        <w:t>安评、环评</w:t>
      </w:r>
      <w:r>
        <w:rPr>
          <w:rFonts w:hint="eastAsia" w:eastAsia="宋体" w:cs="Times New Roman"/>
          <w:b/>
          <w:bCs/>
          <w:sz w:val="24"/>
          <w:szCs w:val="24"/>
        </w:rPr>
        <w:t>等专题论证</w:t>
      </w:r>
      <w:r>
        <w:rPr>
          <w:rFonts w:ascii="Times New Roman" w:hAnsi="Times New Roman" w:eastAsia="宋体" w:cs="Times New Roman"/>
          <w:b/>
          <w:bCs/>
          <w:sz w:val="24"/>
          <w:szCs w:val="24"/>
        </w:rPr>
        <w:t>所需全部资料，保证所提资料满足</w:t>
      </w:r>
      <w:r>
        <w:rPr>
          <w:rFonts w:hint="eastAsia" w:eastAsia="宋体" w:cs="Times New Roman"/>
          <w:b/>
          <w:bCs/>
          <w:sz w:val="24"/>
          <w:szCs w:val="24"/>
        </w:rPr>
        <w:t>报批</w:t>
      </w:r>
      <w:r>
        <w:rPr>
          <w:rFonts w:ascii="Times New Roman" w:hAnsi="Times New Roman" w:eastAsia="宋体" w:cs="Times New Roman"/>
          <w:b/>
          <w:bCs/>
          <w:sz w:val="24"/>
          <w:szCs w:val="24"/>
        </w:rPr>
        <w:t>要求。</w:t>
      </w:r>
    </w:p>
    <w:p>
      <w:pPr>
        <w:wordWrap w:val="0"/>
        <w:topLinePunct/>
        <w:spacing w:line="360" w:lineRule="auto"/>
        <w:ind w:firstLine="482" w:firstLineChars="200"/>
        <w:rPr>
          <w:rFonts w:ascii="Times New Roman" w:hAnsi="Times New Roman" w:eastAsia="宋体" w:cs="Times New Roman"/>
          <w:b/>
          <w:bCs/>
          <w:sz w:val="24"/>
          <w:szCs w:val="24"/>
        </w:rPr>
      </w:pPr>
      <w:r>
        <w:rPr>
          <w:rFonts w:hint="eastAsia" w:eastAsia="宋体" w:cs="Times New Roman"/>
          <w:b/>
          <w:bCs/>
          <w:sz w:val="24"/>
          <w:szCs w:val="24"/>
        </w:rPr>
        <w:t>（4）</w:t>
      </w:r>
      <w:r>
        <w:rPr>
          <w:rFonts w:ascii="Times New Roman" w:hAnsi="Times New Roman" w:eastAsia="宋体" w:cs="Times New Roman"/>
          <w:b/>
          <w:bCs/>
          <w:sz w:val="24"/>
          <w:szCs w:val="24"/>
        </w:rPr>
        <w:t>负责可行性研究报告编制，并提供审查可行性研究报告、供</w:t>
      </w:r>
      <w:r>
        <w:rPr>
          <w:rFonts w:hint="eastAsia" w:ascii="Times New Roman" w:hAnsi="Times New Roman" w:eastAsia="宋体" w:cs="Times New Roman"/>
          <w:b/>
          <w:bCs/>
          <w:sz w:val="24"/>
          <w:szCs w:val="24"/>
        </w:rPr>
        <w:t>采购人</w:t>
      </w:r>
      <w:r>
        <w:rPr>
          <w:rFonts w:ascii="Times New Roman" w:hAnsi="Times New Roman" w:eastAsia="宋体" w:cs="Times New Roman"/>
          <w:b/>
          <w:bCs/>
          <w:sz w:val="24"/>
          <w:szCs w:val="24"/>
        </w:rPr>
        <w:t>审查及其他专题论证的基础资料。在可行性研究报告编制过程中，如果因为国家产业政策、装机方案、技术先进性、总平面布置以及燃料等发生重大变化，</w:t>
      </w:r>
      <w:r>
        <w:rPr>
          <w:rFonts w:hint="eastAsia" w:eastAsia="宋体" w:cs="Times New Roman"/>
          <w:b/>
          <w:bCs/>
          <w:sz w:val="24"/>
          <w:szCs w:val="24"/>
        </w:rPr>
        <w:t>乙方</w:t>
      </w:r>
      <w:r>
        <w:rPr>
          <w:rFonts w:ascii="Times New Roman" w:hAnsi="Times New Roman" w:eastAsia="宋体" w:cs="Times New Roman"/>
          <w:b/>
          <w:bCs/>
          <w:sz w:val="24"/>
          <w:szCs w:val="24"/>
        </w:rPr>
        <w:t>应</w:t>
      </w:r>
      <w:r>
        <w:rPr>
          <w:rFonts w:hint="eastAsia" w:eastAsia="宋体" w:cs="Times New Roman"/>
          <w:b/>
          <w:bCs/>
          <w:sz w:val="24"/>
          <w:szCs w:val="24"/>
        </w:rPr>
        <w:t>按照采购人的时间要求</w:t>
      </w:r>
      <w:r>
        <w:rPr>
          <w:rFonts w:ascii="Times New Roman" w:hAnsi="Times New Roman" w:eastAsia="宋体" w:cs="Times New Roman"/>
          <w:b/>
          <w:bCs/>
          <w:sz w:val="24"/>
          <w:szCs w:val="24"/>
        </w:rPr>
        <w:t>对可行性研究报告进行修编</w:t>
      </w:r>
      <w:r>
        <w:rPr>
          <w:rFonts w:hint="eastAsia" w:eastAsia="宋体" w:cs="Times New Roman"/>
          <w:b/>
          <w:bCs/>
          <w:sz w:val="24"/>
          <w:szCs w:val="24"/>
        </w:rPr>
        <w:t>。</w:t>
      </w:r>
    </w:p>
    <w:p>
      <w:pPr>
        <w:wordWrap w:val="0"/>
        <w:topLinePunct/>
        <w:spacing w:line="360" w:lineRule="auto"/>
        <w:ind w:firstLine="482" w:firstLineChars="200"/>
        <w:rPr>
          <w:rFonts w:ascii="Times New Roman" w:hAnsi="Times New Roman" w:eastAsia="宋体" w:cs="Times New Roman"/>
          <w:b/>
          <w:bCs/>
          <w:sz w:val="24"/>
          <w:szCs w:val="24"/>
        </w:rPr>
      </w:pPr>
      <w:r>
        <w:rPr>
          <w:rFonts w:hint="eastAsia" w:eastAsia="宋体" w:cs="Times New Roman"/>
          <w:b/>
          <w:bCs/>
          <w:sz w:val="24"/>
          <w:szCs w:val="24"/>
        </w:rPr>
        <w:t>（5）</w:t>
      </w:r>
      <w:r>
        <w:rPr>
          <w:rFonts w:ascii="Times New Roman" w:hAnsi="Times New Roman" w:eastAsia="宋体" w:cs="Times New Roman"/>
          <w:b/>
          <w:bCs/>
          <w:sz w:val="24"/>
          <w:szCs w:val="24"/>
        </w:rPr>
        <w:t>乙方进行可研设计（包括经济技术分析），可研设计方案应遵照执行国家、地方、行业的各项环保、节能政策，符合法律法规及最新标准的要求，且应结合项目实际，选择先进、成熟、适当的工艺。</w:t>
      </w:r>
    </w:p>
    <w:p>
      <w:pPr>
        <w:wordWrap w:val="0"/>
        <w:topLinePunct/>
        <w:spacing w:line="360" w:lineRule="auto"/>
        <w:ind w:firstLine="482" w:firstLineChars="200"/>
        <w:rPr>
          <w:rFonts w:ascii="Times New Roman" w:hAnsi="Times New Roman" w:eastAsia="宋体" w:cs="Times New Roman"/>
          <w:b/>
          <w:bCs/>
          <w:sz w:val="24"/>
          <w:szCs w:val="24"/>
        </w:rPr>
      </w:pPr>
      <w:r>
        <w:rPr>
          <w:rFonts w:hint="eastAsia" w:eastAsia="宋体" w:cs="Times New Roman"/>
          <w:b/>
          <w:bCs/>
          <w:sz w:val="24"/>
          <w:szCs w:val="24"/>
        </w:rPr>
        <w:t>（6）</w:t>
      </w:r>
      <w:r>
        <w:rPr>
          <w:rFonts w:ascii="Times New Roman" w:hAnsi="Times New Roman" w:eastAsia="宋体" w:cs="Times New Roman"/>
          <w:b/>
          <w:bCs/>
          <w:sz w:val="24"/>
          <w:szCs w:val="24"/>
        </w:rPr>
        <w:t>编制可行性研究报告送审稿，可行性研究报告包括但不限于方案设计、图纸、估算等。</w:t>
      </w:r>
    </w:p>
    <w:p>
      <w:pPr>
        <w:wordWrap w:val="0"/>
        <w:topLinePunct/>
        <w:spacing w:line="360" w:lineRule="auto"/>
        <w:ind w:firstLine="482" w:firstLineChars="200"/>
        <w:rPr>
          <w:rFonts w:ascii="Times New Roman" w:hAnsi="Times New Roman" w:eastAsia="宋体" w:cs="Times New Roman"/>
          <w:b/>
          <w:bCs/>
          <w:sz w:val="24"/>
          <w:szCs w:val="24"/>
        </w:rPr>
      </w:pPr>
      <w:r>
        <w:rPr>
          <w:rFonts w:hint="eastAsia" w:eastAsia="宋体" w:cs="Times New Roman"/>
          <w:b/>
          <w:bCs/>
          <w:sz w:val="24"/>
          <w:szCs w:val="24"/>
        </w:rPr>
        <w:t>（7）</w:t>
      </w:r>
      <w:r>
        <w:rPr>
          <w:rFonts w:ascii="Times New Roman" w:hAnsi="Times New Roman" w:eastAsia="宋体" w:cs="Times New Roman"/>
          <w:b/>
          <w:bCs/>
          <w:sz w:val="24"/>
          <w:szCs w:val="24"/>
        </w:rPr>
        <w:t>根据可行性研究阶段的进展和需要组织召开技术联络会，参加可行性研究报告审查会，并按照审查批复意见完成可行性研究报告的修编和收口工作，最终形成可行性研究收口报告。</w:t>
      </w:r>
    </w:p>
    <w:p>
      <w:pPr>
        <w:wordWrap w:val="0"/>
        <w:topLinePunct/>
        <w:spacing w:line="360" w:lineRule="auto"/>
        <w:ind w:firstLine="482" w:firstLineChars="200"/>
        <w:rPr>
          <w:rFonts w:ascii="Times New Roman" w:hAnsi="Times New Roman" w:eastAsia="宋体" w:cs="Times New Roman"/>
          <w:b/>
          <w:bCs/>
          <w:sz w:val="24"/>
          <w:szCs w:val="24"/>
        </w:rPr>
      </w:pPr>
      <w:r>
        <w:rPr>
          <w:rFonts w:hint="eastAsia" w:eastAsia="宋体" w:cs="Times New Roman"/>
          <w:b/>
          <w:bCs/>
          <w:sz w:val="24"/>
          <w:szCs w:val="24"/>
        </w:rPr>
        <w:t>（8）协助采购人完成项目立项需要的补正资料，包括但不限于技术方案比选、不同边界条件下经济指标评价等</w:t>
      </w:r>
      <w:r>
        <w:rPr>
          <w:rFonts w:ascii="Times New Roman" w:hAnsi="Times New Roman" w:eastAsia="宋体" w:cs="Times New Roman"/>
          <w:b/>
          <w:bCs/>
          <w:sz w:val="24"/>
          <w:szCs w:val="24"/>
        </w:rPr>
        <w:t>。</w:t>
      </w:r>
    </w:p>
    <w:p>
      <w:pPr>
        <w:tabs>
          <w:tab w:val="left" w:pos="426"/>
        </w:tabs>
        <w:wordWrap w:val="0"/>
        <w:topLinePunct/>
        <w:spacing w:line="360" w:lineRule="auto"/>
        <w:ind w:firstLine="482" w:firstLineChars="200"/>
        <w:outlineLvl w:val="0"/>
        <w:rPr>
          <w:rFonts w:eastAsia="宋体" w:cs="Times New Roman"/>
          <w:b/>
          <w:bCs/>
          <w:sz w:val="24"/>
          <w:szCs w:val="24"/>
        </w:rPr>
      </w:pPr>
      <w:bookmarkStart w:id="78" w:name="_Toc14121"/>
      <w:r>
        <w:rPr>
          <w:rFonts w:hint="eastAsia" w:eastAsia="宋体" w:cs="Times New Roman"/>
          <w:b/>
          <w:bCs/>
          <w:sz w:val="24"/>
          <w:szCs w:val="24"/>
        </w:rPr>
        <w:t>（9）</w:t>
      </w:r>
      <w:r>
        <w:rPr>
          <w:rFonts w:hint="eastAsia" w:asciiTheme="minorEastAsia" w:hAnsiTheme="minorEastAsia" w:cstheme="minorEastAsia"/>
          <w:b/>
          <w:bCs/>
          <w:sz w:val="24"/>
          <w:szCs w:val="24"/>
        </w:rPr>
        <w:t>智慧电厂建设总体构想，</w:t>
      </w:r>
      <w:r>
        <w:rPr>
          <w:rFonts w:hint="eastAsia" w:eastAsia="宋体" w:cs="Times New Roman"/>
          <w:b/>
          <w:bCs/>
          <w:sz w:val="24"/>
          <w:szCs w:val="24"/>
        </w:rPr>
        <w:t>智慧化电厂设计方案。</w:t>
      </w:r>
      <w:bookmarkEnd w:id="78"/>
    </w:p>
    <w:p>
      <w:pPr>
        <w:tabs>
          <w:tab w:val="left" w:pos="426"/>
        </w:tabs>
        <w:wordWrap w:val="0"/>
        <w:topLinePunct/>
        <w:spacing w:line="360" w:lineRule="auto"/>
        <w:ind w:firstLine="482" w:firstLineChars="200"/>
        <w:outlineLvl w:val="0"/>
        <w:rPr>
          <w:rFonts w:asciiTheme="minorEastAsia" w:hAnsiTheme="minorEastAsia" w:cstheme="minorEastAsia"/>
          <w:b/>
          <w:bCs/>
          <w:sz w:val="24"/>
          <w:szCs w:val="24"/>
        </w:rPr>
      </w:pPr>
      <w:bookmarkStart w:id="79" w:name="_Toc5397"/>
      <w:r>
        <w:rPr>
          <w:rFonts w:hint="eastAsia" w:asciiTheme="minorEastAsia" w:hAnsiTheme="minorEastAsia" w:cstheme="minorEastAsia"/>
          <w:b/>
          <w:bCs/>
          <w:sz w:val="24"/>
          <w:szCs w:val="24"/>
        </w:rPr>
        <w:t>（10）复核已有设备设施、预留场地和已完成部分专题初步研究成果。</w:t>
      </w:r>
      <w:bookmarkEnd w:id="79"/>
    </w:p>
    <w:p>
      <w:pPr>
        <w:tabs>
          <w:tab w:val="left" w:pos="426"/>
        </w:tabs>
        <w:wordWrap w:val="0"/>
        <w:topLinePunct/>
        <w:spacing w:line="360" w:lineRule="auto"/>
        <w:ind w:firstLine="482" w:firstLineChars="200"/>
        <w:outlineLvl w:val="0"/>
        <w:rPr>
          <w:rFonts w:asciiTheme="minorEastAsia" w:hAnsiTheme="minorEastAsia" w:cstheme="minorEastAsia"/>
          <w:b/>
          <w:bCs/>
          <w:sz w:val="24"/>
          <w:szCs w:val="24"/>
        </w:rPr>
      </w:pPr>
      <w:bookmarkStart w:id="80" w:name="_Toc19254"/>
      <w:r>
        <w:rPr>
          <w:rFonts w:hint="eastAsia" w:asciiTheme="minorEastAsia" w:hAnsiTheme="minorEastAsia" w:cstheme="minorEastAsia"/>
          <w:b/>
          <w:bCs/>
          <w:sz w:val="24"/>
          <w:szCs w:val="24"/>
        </w:rPr>
        <w:t>（11）配合完成曲靖电厂三期扩建项目的配套贮灰场选址。</w:t>
      </w:r>
      <w:bookmarkEnd w:id="80"/>
    </w:p>
    <w:p>
      <w:pPr>
        <w:tabs>
          <w:tab w:val="left" w:pos="426"/>
        </w:tabs>
        <w:wordWrap w:val="0"/>
        <w:topLinePunct/>
        <w:spacing w:line="360" w:lineRule="auto"/>
        <w:ind w:firstLine="482" w:firstLineChars="200"/>
        <w:outlineLvl w:val="0"/>
        <w:rPr>
          <w:rFonts w:hint="eastAsia" w:asciiTheme="minorEastAsia" w:hAnsiTheme="minorEastAsia" w:cstheme="minorEastAsia"/>
          <w:b/>
          <w:bCs/>
          <w:sz w:val="24"/>
          <w:szCs w:val="24"/>
        </w:rPr>
      </w:pPr>
      <w:bookmarkStart w:id="81" w:name="_Toc14039"/>
      <w:r>
        <w:rPr>
          <w:rFonts w:hint="eastAsia" w:asciiTheme="minorEastAsia" w:hAnsiTheme="minorEastAsia" w:cstheme="minorEastAsia"/>
          <w:b/>
          <w:bCs/>
          <w:sz w:val="24"/>
          <w:szCs w:val="24"/>
        </w:rPr>
        <w:t>（12）提出项目可持续发展路径及建议。“双碳”目标下，结合云南省以水电为主的非化石电源结构特点，提出本项目按“风光火储”一体化模式建设的可行性，并提出需配置的新能源装机规模。</w:t>
      </w:r>
      <w:bookmarkEnd w:id="81"/>
    </w:p>
    <w:p>
      <w:pPr>
        <w:tabs>
          <w:tab w:val="left" w:pos="426"/>
        </w:tabs>
        <w:wordWrap w:val="0"/>
        <w:topLinePunct/>
        <w:spacing w:line="360" w:lineRule="auto"/>
        <w:ind w:firstLine="482" w:firstLineChars="200"/>
        <w:outlineLvl w:val="0"/>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（13）对本项目建设一台机组与建设两台机组（分期实施）的经济性进行对比分析。</w:t>
      </w:r>
    </w:p>
    <w:p>
      <w:pPr>
        <w:tabs>
          <w:tab w:val="left" w:pos="426"/>
        </w:tabs>
        <w:wordWrap w:val="0"/>
        <w:topLinePunct/>
        <w:spacing w:line="360" w:lineRule="auto"/>
        <w:ind w:firstLine="482" w:firstLineChars="200"/>
        <w:outlineLvl w:val="0"/>
        <w:rPr>
          <w:rFonts w:hint="eastAsia" w:asciiTheme="minorEastAsia" w:hAnsiTheme="minorEastAsia" w:cstheme="minorEastAsia"/>
          <w:b/>
          <w:bCs/>
          <w:sz w:val="24"/>
          <w:szCs w:val="24"/>
        </w:rPr>
      </w:pPr>
      <w:r>
        <w:rPr>
          <w:rFonts w:hint="eastAsia" w:asciiTheme="minorEastAsia" w:hAnsiTheme="minorEastAsia" w:cstheme="minorEastAsia"/>
          <w:b/>
          <w:bCs/>
          <w:sz w:val="24"/>
          <w:szCs w:val="24"/>
          <w:lang w:val="en-US" w:eastAsia="zh-CN"/>
        </w:rPr>
        <w:t>（14）结合国家、云南省对新型电力系统要求，以及国家发改委、能源局关于印发《新一代煤电升级专项行动实施方案（2025-2027）》的通知要求，策划（挖掘）本项目科技创新项目及路径，在可行性研究报告中增加科技创新专篇。</w:t>
      </w:r>
    </w:p>
    <w:p>
      <w:pPr>
        <w:tabs>
          <w:tab w:val="left" w:pos="1800"/>
        </w:tabs>
        <w:spacing w:line="360" w:lineRule="auto"/>
        <w:ind w:firstLine="482" w:firstLineChars="200"/>
        <w:rPr>
          <w:b/>
          <w:bCs/>
          <w:sz w:val="24"/>
        </w:rPr>
      </w:pPr>
      <w:bookmarkStart w:id="82" w:name="_Toc20497"/>
      <w:r>
        <w:rPr>
          <w:rFonts w:hint="eastAsia"/>
          <w:b/>
          <w:bCs/>
          <w:sz w:val="24"/>
        </w:rPr>
        <w:t>2．甲方的权利和义务</w:t>
      </w:r>
      <w:bookmarkEnd w:id="76"/>
      <w:bookmarkEnd w:id="77"/>
      <w:bookmarkEnd w:id="82"/>
    </w:p>
    <w:p>
      <w:pPr>
        <w:tabs>
          <w:tab w:val="left" w:pos="1800"/>
        </w:tabs>
        <w:spacing w:line="360" w:lineRule="auto"/>
        <w:ind w:firstLine="480" w:firstLineChars="200"/>
        <w:rPr>
          <w:sz w:val="24"/>
        </w:rPr>
      </w:pPr>
      <w:r>
        <w:rPr>
          <w:rFonts w:hint="eastAsia"/>
          <w:sz w:val="24"/>
        </w:rPr>
        <w:t>2.1 审定技术服务立项方案，负责协调相关技术服务项目实施的边界条件，并根据需要告知乙方。</w:t>
      </w:r>
    </w:p>
    <w:p>
      <w:pPr>
        <w:tabs>
          <w:tab w:val="left" w:pos="1800"/>
        </w:tabs>
        <w:spacing w:line="360" w:lineRule="auto"/>
        <w:ind w:firstLine="480" w:firstLineChars="200"/>
        <w:rPr>
          <w:sz w:val="24"/>
        </w:rPr>
      </w:pPr>
      <w:r>
        <w:rPr>
          <w:rFonts w:hint="eastAsia"/>
          <w:sz w:val="24"/>
        </w:rPr>
        <w:t>2.2 负责向乙方提供开展技术服务工作必需的、应由甲方负责的工作条件和相关资料等，但乙方仅限于本项目使用，并须做到保密。</w:t>
      </w:r>
    </w:p>
    <w:p>
      <w:pPr>
        <w:tabs>
          <w:tab w:val="left" w:pos="1800"/>
        </w:tabs>
        <w:spacing w:line="360" w:lineRule="auto"/>
        <w:ind w:firstLine="480" w:firstLineChars="200"/>
        <w:rPr>
          <w:sz w:val="24"/>
        </w:rPr>
      </w:pPr>
      <w:r>
        <w:rPr>
          <w:rFonts w:hint="eastAsia"/>
          <w:sz w:val="24"/>
        </w:rPr>
        <w:t>2.3 在本合同的执行过程中，协调乙方与本合同相关方的关系。</w:t>
      </w:r>
    </w:p>
    <w:p>
      <w:pPr>
        <w:tabs>
          <w:tab w:val="left" w:pos="1800"/>
        </w:tabs>
        <w:spacing w:line="360" w:lineRule="auto"/>
        <w:ind w:firstLine="480" w:firstLineChars="200"/>
        <w:rPr>
          <w:sz w:val="24"/>
        </w:rPr>
      </w:pPr>
      <w:r>
        <w:rPr>
          <w:rFonts w:hint="eastAsia"/>
          <w:sz w:val="24"/>
        </w:rPr>
        <w:t>2.4 对技术服务项目开展监督检查工作。</w:t>
      </w:r>
    </w:p>
    <w:p>
      <w:pPr>
        <w:tabs>
          <w:tab w:val="left" w:pos="1800"/>
        </w:tabs>
        <w:spacing w:line="360" w:lineRule="auto"/>
        <w:ind w:firstLine="480" w:firstLineChars="200"/>
        <w:rPr>
          <w:sz w:val="24"/>
        </w:rPr>
      </w:pPr>
      <w:r>
        <w:rPr>
          <w:rFonts w:hint="eastAsia"/>
          <w:sz w:val="24"/>
        </w:rPr>
        <w:t>2.5 甲方应在乙方提出项目成果和验收申请后，组织进行项目成果检查和验收。</w:t>
      </w:r>
    </w:p>
    <w:p>
      <w:pPr>
        <w:tabs>
          <w:tab w:val="left" w:pos="1800"/>
        </w:tabs>
        <w:spacing w:line="360" w:lineRule="auto"/>
        <w:ind w:firstLine="480" w:firstLineChars="200"/>
        <w:rPr>
          <w:sz w:val="24"/>
        </w:rPr>
      </w:pPr>
      <w:r>
        <w:rPr>
          <w:rFonts w:hint="eastAsia"/>
          <w:sz w:val="24"/>
        </w:rPr>
        <w:t>2.6 按时向乙方支付合同费用。</w:t>
      </w:r>
    </w:p>
    <w:p>
      <w:pPr>
        <w:tabs>
          <w:tab w:val="left" w:pos="1800"/>
        </w:tabs>
        <w:spacing w:line="360" w:lineRule="auto"/>
        <w:ind w:firstLine="482" w:firstLineChars="200"/>
        <w:rPr>
          <w:b/>
          <w:bCs/>
          <w:sz w:val="24"/>
        </w:rPr>
      </w:pPr>
      <w:bookmarkStart w:id="83" w:name="_Toc8693"/>
      <w:bookmarkStart w:id="84" w:name="_Toc492973894"/>
      <w:bookmarkStart w:id="85" w:name="_Toc456108200"/>
      <w:r>
        <w:rPr>
          <w:rFonts w:hint="eastAsia"/>
          <w:b/>
          <w:bCs/>
          <w:sz w:val="24"/>
        </w:rPr>
        <w:t>3．乙方的权利和义务</w:t>
      </w:r>
      <w:bookmarkEnd w:id="83"/>
      <w:bookmarkEnd w:id="84"/>
      <w:bookmarkEnd w:id="85"/>
    </w:p>
    <w:p>
      <w:pPr>
        <w:tabs>
          <w:tab w:val="left" w:pos="1800"/>
        </w:tabs>
        <w:spacing w:line="360" w:lineRule="auto"/>
        <w:ind w:firstLine="480" w:firstLineChars="200"/>
        <w:rPr>
          <w:sz w:val="24"/>
        </w:rPr>
      </w:pPr>
      <w:r>
        <w:rPr>
          <w:rFonts w:hint="eastAsia"/>
          <w:sz w:val="24"/>
        </w:rPr>
        <w:t>3.1自备与本次可研服务相关的规范标准、图集等。</w:t>
      </w:r>
    </w:p>
    <w:p>
      <w:pPr>
        <w:tabs>
          <w:tab w:val="left" w:pos="1800"/>
        </w:tabs>
        <w:spacing w:line="360" w:lineRule="auto"/>
        <w:ind w:firstLine="480" w:firstLineChars="200"/>
        <w:rPr>
          <w:sz w:val="24"/>
        </w:rPr>
      </w:pPr>
      <w:r>
        <w:rPr>
          <w:rFonts w:hint="eastAsia"/>
          <w:sz w:val="24"/>
        </w:rPr>
        <w:t>3.2自备办公设备：如电脑、软件、投影、打印机、复印机、照相机等。</w:t>
      </w:r>
    </w:p>
    <w:p>
      <w:pPr>
        <w:tabs>
          <w:tab w:val="left" w:pos="1800"/>
        </w:tabs>
        <w:spacing w:line="360" w:lineRule="auto"/>
        <w:ind w:firstLine="480" w:firstLineChars="200"/>
        <w:rPr>
          <w:sz w:val="24"/>
        </w:rPr>
      </w:pPr>
      <w:r>
        <w:rPr>
          <w:rFonts w:hint="eastAsia"/>
          <w:sz w:val="24"/>
        </w:rPr>
        <w:t>3.3自行负责交通出行，以及自备必要的出行车辆等。</w:t>
      </w:r>
    </w:p>
    <w:p>
      <w:pPr>
        <w:tabs>
          <w:tab w:val="left" w:pos="1800"/>
        </w:tabs>
        <w:spacing w:line="360" w:lineRule="auto"/>
        <w:ind w:firstLine="480" w:firstLineChars="200"/>
        <w:rPr>
          <w:sz w:val="24"/>
        </w:rPr>
      </w:pPr>
      <w:r>
        <w:rPr>
          <w:rFonts w:hint="eastAsia"/>
          <w:sz w:val="24"/>
        </w:rPr>
        <w:t>3.4自备现场办公设施（如需要）。</w:t>
      </w:r>
    </w:p>
    <w:p>
      <w:pPr>
        <w:tabs>
          <w:tab w:val="left" w:pos="1800"/>
        </w:tabs>
        <w:spacing w:line="360" w:lineRule="auto"/>
        <w:ind w:firstLine="480" w:firstLineChars="200"/>
        <w:rPr>
          <w:sz w:val="24"/>
        </w:rPr>
      </w:pPr>
      <w:r>
        <w:rPr>
          <w:rFonts w:hint="eastAsia"/>
          <w:sz w:val="24"/>
        </w:rPr>
        <w:t>3.5自备现场工作的安全设施。</w:t>
      </w:r>
    </w:p>
    <w:p>
      <w:pPr>
        <w:tabs>
          <w:tab w:val="left" w:pos="1800"/>
        </w:tabs>
        <w:spacing w:line="360" w:lineRule="auto"/>
        <w:ind w:firstLine="480" w:firstLineChars="200"/>
        <w:rPr>
          <w:sz w:val="24"/>
        </w:rPr>
      </w:pPr>
      <w:r>
        <w:rPr>
          <w:rFonts w:hint="eastAsia"/>
          <w:sz w:val="24"/>
        </w:rPr>
        <w:t>3.6完成可研数据测试和资料收集。</w:t>
      </w:r>
    </w:p>
    <w:p>
      <w:pPr>
        <w:tabs>
          <w:tab w:val="left" w:pos="1800"/>
        </w:tabs>
        <w:spacing w:line="360" w:lineRule="auto"/>
        <w:ind w:firstLine="480" w:firstLineChars="200"/>
        <w:rPr>
          <w:sz w:val="24"/>
        </w:rPr>
      </w:pPr>
      <w:r>
        <w:rPr>
          <w:rFonts w:hint="eastAsia"/>
          <w:sz w:val="24"/>
        </w:rPr>
        <w:t xml:space="preserve">3.8完成可研报告的编写并出版。 </w:t>
      </w:r>
    </w:p>
    <w:p>
      <w:pPr>
        <w:tabs>
          <w:tab w:val="left" w:pos="1800"/>
        </w:tabs>
        <w:spacing w:line="360" w:lineRule="auto"/>
        <w:ind w:firstLine="480" w:firstLineChars="200"/>
        <w:rPr>
          <w:sz w:val="24"/>
        </w:rPr>
      </w:pPr>
      <w:r>
        <w:rPr>
          <w:rFonts w:hint="eastAsia"/>
          <w:sz w:val="24"/>
        </w:rPr>
        <w:t>3.9组织考察类似工程。</w:t>
      </w:r>
    </w:p>
    <w:p>
      <w:pPr>
        <w:tabs>
          <w:tab w:val="left" w:pos="1800"/>
        </w:tabs>
        <w:spacing w:line="360" w:lineRule="auto"/>
        <w:ind w:firstLine="480" w:firstLineChars="200"/>
        <w:rPr>
          <w:sz w:val="24"/>
        </w:rPr>
      </w:pPr>
      <w:r>
        <w:rPr>
          <w:rFonts w:hint="eastAsia"/>
          <w:sz w:val="24"/>
        </w:rPr>
        <w:t>3.10按照甲方工期进度要求按时完成可研评审报告及配合完成审查工作。</w:t>
      </w:r>
    </w:p>
    <w:p>
      <w:pPr>
        <w:tabs>
          <w:tab w:val="left" w:pos="1800"/>
        </w:tabs>
        <w:spacing w:line="360" w:lineRule="auto"/>
        <w:ind w:firstLine="480" w:firstLineChars="200"/>
        <w:rPr>
          <w:sz w:val="24"/>
        </w:rPr>
      </w:pPr>
      <w:r>
        <w:rPr>
          <w:rFonts w:hint="eastAsia"/>
          <w:sz w:val="24"/>
        </w:rPr>
        <w:t>3.11按照甲方档案管理规定将全部合同项目文件资料向甲方归档移交。</w:t>
      </w:r>
    </w:p>
    <w:p>
      <w:pPr>
        <w:tabs>
          <w:tab w:val="left" w:pos="1800"/>
        </w:tabs>
        <w:spacing w:line="360" w:lineRule="auto"/>
        <w:ind w:firstLine="480" w:firstLineChars="200"/>
        <w:rPr>
          <w:sz w:val="24"/>
        </w:rPr>
      </w:pPr>
      <w:r>
        <w:rPr>
          <w:rFonts w:hint="eastAsia"/>
          <w:sz w:val="24"/>
        </w:rPr>
        <w:t>3.12接受甲方对技术成果的审查和对工作过程的监督。甲方向乙方提出工作中存在的问题，乙方应予以纠正。</w:t>
      </w:r>
    </w:p>
    <w:p>
      <w:pPr>
        <w:tabs>
          <w:tab w:val="left" w:pos="1800"/>
        </w:tabs>
        <w:spacing w:line="360" w:lineRule="auto"/>
        <w:ind w:firstLine="480" w:firstLineChars="200"/>
        <w:rPr>
          <w:sz w:val="24"/>
        </w:rPr>
      </w:pPr>
      <w:r>
        <w:rPr>
          <w:rFonts w:hint="eastAsia"/>
          <w:sz w:val="24"/>
        </w:rPr>
        <w:t>3.13乙方在甲方现场进行相关工作时，应遵守甲方关于安全、管理、环保、保密等方面制度。</w:t>
      </w:r>
    </w:p>
    <w:p>
      <w:pPr>
        <w:tabs>
          <w:tab w:val="left" w:pos="1800"/>
        </w:tabs>
        <w:spacing w:line="360" w:lineRule="auto"/>
        <w:ind w:firstLine="480" w:firstLineChars="200"/>
        <w:rPr>
          <w:sz w:val="24"/>
        </w:rPr>
      </w:pPr>
      <w:r>
        <w:rPr>
          <w:rFonts w:hint="eastAsia"/>
          <w:sz w:val="24"/>
        </w:rPr>
        <w:t>3.14为本项目从事现场工作的人员办理意外伤害等相关保险，费用已包含在合同总金额中。乙方必须负责承担为本项目所雇人员伤亡处理和善后保障的一切费用，包括人员伤亡、财产损失的赔偿费、诉讼费等有关费用。</w:t>
      </w:r>
    </w:p>
    <w:p>
      <w:pPr>
        <w:tabs>
          <w:tab w:val="left" w:pos="1800"/>
        </w:tabs>
        <w:spacing w:line="360" w:lineRule="auto"/>
        <w:ind w:firstLine="480" w:firstLineChars="200"/>
        <w:rPr>
          <w:sz w:val="24"/>
        </w:rPr>
      </w:pPr>
      <w:r>
        <w:rPr>
          <w:rFonts w:hint="eastAsia"/>
          <w:sz w:val="24"/>
        </w:rPr>
        <w:t>3.15乙方应为本项目配备符合本项目合同要求的人员。乙方保证团队人员的稳定性，如需更换团队主要成员须提前 2 日内书面通知甲方，获得甲方书面同意后方可更换，更换人应具备同等的专业技术水平及相应资质。若甲方认为乙方人员不符合要求的，可以书面要求乙方对其进行更换；乙方应在收到甲方书面要求后应于 2 日内对其进行更换。</w:t>
      </w:r>
    </w:p>
    <w:p>
      <w:pPr>
        <w:tabs>
          <w:tab w:val="left" w:pos="1800"/>
        </w:tabs>
        <w:spacing w:line="360" w:lineRule="auto"/>
        <w:ind w:firstLine="480" w:firstLineChars="200"/>
        <w:rPr>
          <w:sz w:val="24"/>
        </w:rPr>
      </w:pPr>
      <w:r>
        <w:rPr>
          <w:rFonts w:hint="eastAsia"/>
          <w:sz w:val="24"/>
        </w:rPr>
        <w:t>3.16 技术规范书要求的其他内容。</w:t>
      </w:r>
    </w:p>
    <w:p>
      <w:pPr>
        <w:tabs>
          <w:tab w:val="left" w:pos="1800"/>
        </w:tabs>
        <w:spacing w:line="360" w:lineRule="auto"/>
        <w:ind w:firstLine="482" w:firstLineChars="200"/>
        <w:rPr>
          <w:sz w:val="24"/>
        </w:rPr>
      </w:pPr>
      <w:bookmarkStart w:id="86" w:name="_Toc27478"/>
      <w:bookmarkStart w:id="87" w:name="_Toc492973895"/>
      <w:bookmarkStart w:id="88" w:name="_Toc456108201"/>
      <w:r>
        <w:rPr>
          <w:rFonts w:hint="eastAsia"/>
          <w:b/>
          <w:bCs/>
          <w:sz w:val="24"/>
        </w:rPr>
        <w:t>4．提交成果及时间</w:t>
      </w:r>
      <w:bookmarkEnd w:id="86"/>
      <w:bookmarkEnd w:id="87"/>
      <w:bookmarkEnd w:id="88"/>
    </w:p>
    <w:p>
      <w:pPr>
        <w:tabs>
          <w:tab w:val="left" w:pos="1800"/>
        </w:tabs>
        <w:spacing w:line="360" w:lineRule="auto"/>
        <w:ind w:firstLine="480" w:firstLineChars="200"/>
        <w:rPr>
          <w:sz w:val="24"/>
        </w:rPr>
      </w:pPr>
      <w:bookmarkStart w:id="89" w:name="_Toc492973896"/>
      <w:bookmarkStart w:id="90" w:name="_Toc456108202"/>
      <w:r>
        <w:rPr>
          <w:rFonts w:hint="eastAsia"/>
          <w:sz w:val="24"/>
        </w:rPr>
        <w:t>4.1服务成果及提交时限：</w:t>
      </w:r>
    </w:p>
    <w:p>
      <w:pPr>
        <w:tabs>
          <w:tab w:val="left" w:pos="1800"/>
        </w:tabs>
        <w:spacing w:line="360" w:lineRule="auto"/>
        <w:ind w:firstLine="480" w:firstLineChars="200"/>
        <w:rPr>
          <w:sz w:val="24"/>
        </w:rPr>
      </w:pPr>
      <w:r>
        <w:rPr>
          <w:rFonts w:ascii="Times New Roman" w:hAnsi="Times New Roman" w:eastAsia="宋体" w:cs="Times New Roman"/>
          <w:sz w:val="24"/>
          <w:szCs w:val="24"/>
        </w:rPr>
        <w:t>合同签订后60日内完成可行性研究报告初稿编制（并组织完成内部评审）</w:t>
      </w:r>
      <w:r>
        <w:rPr>
          <w:rFonts w:hint="eastAsia" w:eastAsia="宋体" w:cs="Times New Roman"/>
          <w:sz w:val="24"/>
          <w:szCs w:val="24"/>
        </w:rPr>
        <w:t>；</w:t>
      </w:r>
      <w:r>
        <w:rPr>
          <w:rFonts w:ascii="Times New Roman" w:hAnsi="Times New Roman" w:eastAsia="宋体" w:cs="Times New Roman"/>
          <w:sz w:val="24"/>
          <w:szCs w:val="24"/>
        </w:rPr>
        <w:t>合同签订后</w:t>
      </w:r>
      <w:r>
        <w:rPr>
          <w:rFonts w:hint="eastAsia" w:eastAsia="宋体" w:cs="Times New Roman"/>
          <w:sz w:val="24"/>
          <w:szCs w:val="24"/>
        </w:rPr>
        <w:t>75</w:t>
      </w:r>
      <w:r>
        <w:rPr>
          <w:rFonts w:ascii="Times New Roman" w:hAnsi="Times New Roman" w:eastAsia="宋体" w:cs="Times New Roman"/>
          <w:sz w:val="24"/>
          <w:szCs w:val="24"/>
        </w:rPr>
        <w:t>日内完成送审稿编制</w:t>
      </w:r>
      <w:r>
        <w:rPr>
          <w:rFonts w:hint="eastAsia" w:eastAsia="宋体" w:cs="Times New Roman"/>
          <w:sz w:val="24"/>
          <w:szCs w:val="24"/>
        </w:rPr>
        <w:t>；</w:t>
      </w:r>
      <w:r>
        <w:rPr>
          <w:rFonts w:hint="eastAsia" w:ascii="Times New Roman" w:hAnsi="Times New Roman" w:eastAsia="宋体" w:cs="Times New Roman"/>
          <w:sz w:val="24"/>
          <w:szCs w:val="24"/>
        </w:rPr>
        <w:t>按</w:t>
      </w:r>
      <w:r>
        <w:rPr>
          <w:rFonts w:hint="eastAsia" w:eastAsia="宋体" w:cs="Times New Roman"/>
          <w:sz w:val="24"/>
          <w:szCs w:val="24"/>
        </w:rPr>
        <w:t>项目前期工作</w:t>
      </w:r>
      <w:r>
        <w:rPr>
          <w:rFonts w:hint="eastAsia" w:ascii="Times New Roman" w:hAnsi="Times New Roman" w:eastAsia="宋体" w:cs="Times New Roman"/>
          <w:sz w:val="24"/>
          <w:szCs w:val="24"/>
        </w:rPr>
        <w:t>进展</w:t>
      </w:r>
      <w:r>
        <w:rPr>
          <w:rFonts w:hint="eastAsia" w:eastAsia="宋体" w:cs="Times New Roman"/>
          <w:sz w:val="24"/>
          <w:szCs w:val="24"/>
        </w:rPr>
        <w:t>要求</w:t>
      </w:r>
      <w:r>
        <w:rPr>
          <w:rFonts w:hint="eastAsia" w:ascii="Times New Roman" w:hAnsi="Times New Roman" w:eastAsia="宋体" w:cs="Times New Roman"/>
          <w:sz w:val="24"/>
          <w:szCs w:val="24"/>
        </w:rPr>
        <w:t>，配合完成外部审查及可行性研究终版报告出版，做好可行性研究收口</w:t>
      </w:r>
      <w:r>
        <w:rPr>
          <w:rFonts w:hint="eastAsia" w:eastAsia="宋体" w:cs="Times New Roman"/>
          <w:sz w:val="24"/>
          <w:szCs w:val="24"/>
        </w:rPr>
        <w:t>（含图纸）、核准报告（核准申请）编制、项目用地范围矢量数据制作等</w:t>
      </w:r>
      <w:r>
        <w:rPr>
          <w:rFonts w:hint="eastAsia" w:ascii="Times New Roman" w:hAnsi="Times New Roman" w:eastAsia="宋体" w:cs="Times New Roman"/>
          <w:sz w:val="24"/>
          <w:szCs w:val="24"/>
        </w:rPr>
        <w:t>其他相关配合工作</w:t>
      </w:r>
      <w:r>
        <w:rPr>
          <w:rFonts w:hint="eastAsia" w:eastAsia="宋体" w:cs="Times New Roman"/>
          <w:sz w:val="24"/>
          <w:szCs w:val="24"/>
        </w:rPr>
        <w:t>，直至项目获得核准审批</w:t>
      </w:r>
      <w:r>
        <w:rPr>
          <w:rFonts w:hint="eastAsia"/>
          <w:sz w:val="24"/>
        </w:rPr>
        <w:t>。</w:t>
      </w:r>
    </w:p>
    <w:p>
      <w:pPr>
        <w:tabs>
          <w:tab w:val="left" w:pos="1800"/>
        </w:tabs>
        <w:spacing w:line="360" w:lineRule="auto"/>
        <w:ind w:firstLine="480" w:firstLineChars="200"/>
        <w:rPr>
          <w:sz w:val="24"/>
        </w:rPr>
      </w:pPr>
      <w:r>
        <w:rPr>
          <w:rFonts w:hint="eastAsia"/>
          <w:sz w:val="24"/>
        </w:rPr>
        <w:t>4.2 在乙方提交项目成果后，甲方应及时、全面地对项目成果进行审核。</w:t>
      </w:r>
    </w:p>
    <w:p>
      <w:pPr>
        <w:tabs>
          <w:tab w:val="left" w:pos="1800"/>
        </w:tabs>
        <w:spacing w:line="360" w:lineRule="auto"/>
        <w:ind w:firstLine="480" w:firstLineChars="200"/>
        <w:rPr>
          <w:sz w:val="24"/>
        </w:rPr>
      </w:pPr>
      <w:r>
        <w:rPr>
          <w:rFonts w:hint="eastAsia"/>
          <w:sz w:val="24"/>
        </w:rPr>
        <w:t>4.3 服务成果提交方式：乙方按要求及时向甲方提交项目成果，包括纸质版及电子文档（刻制光盘或U盘），提交份数按照“委托人要求”进行。</w:t>
      </w:r>
    </w:p>
    <w:bookmarkEnd w:id="89"/>
    <w:bookmarkEnd w:id="90"/>
    <w:p>
      <w:pPr>
        <w:tabs>
          <w:tab w:val="left" w:pos="1800"/>
        </w:tabs>
        <w:spacing w:line="360" w:lineRule="auto"/>
        <w:ind w:firstLine="482" w:firstLineChars="200"/>
        <w:rPr>
          <w:b/>
          <w:bCs/>
          <w:sz w:val="24"/>
        </w:rPr>
      </w:pPr>
      <w:bookmarkStart w:id="91" w:name="_Toc492973897"/>
      <w:bookmarkStart w:id="92" w:name="_Toc456108203"/>
      <w:bookmarkStart w:id="93" w:name="_Toc22516"/>
      <w:r>
        <w:rPr>
          <w:rFonts w:hint="eastAsia"/>
          <w:b/>
          <w:bCs/>
          <w:sz w:val="24"/>
        </w:rPr>
        <w:t>5．合同金额与支付</w:t>
      </w:r>
      <w:bookmarkEnd w:id="91"/>
      <w:bookmarkEnd w:id="92"/>
      <w:bookmarkEnd w:id="93"/>
    </w:p>
    <w:p>
      <w:pPr>
        <w:tabs>
          <w:tab w:val="left" w:pos="1800"/>
        </w:tabs>
        <w:spacing w:line="360" w:lineRule="auto"/>
        <w:ind w:firstLine="480" w:firstLineChars="200"/>
        <w:rPr>
          <w:sz w:val="24"/>
        </w:rPr>
      </w:pPr>
      <w:r>
        <w:rPr>
          <w:rFonts w:hint="eastAsia"/>
          <w:sz w:val="24"/>
        </w:rPr>
        <w:t>5.1 合同金额</w:t>
      </w:r>
    </w:p>
    <w:p>
      <w:pPr>
        <w:tabs>
          <w:tab w:val="left" w:pos="1800"/>
        </w:tabs>
        <w:spacing w:line="360" w:lineRule="auto"/>
        <w:ind w:firstLine="480" w:firstLineChars="200"/>
        <w:rPr>
          <w:rFonts w:ascii="宋体" w:hAnsi="宋体" w:cs="宋体"/>
          <w:sz w:val="24"/>
        </w:rPr>
      </w:pPr>
      <w:r>
        <w:rPr>
          <w:rFonts w:hint="eastAsia"/>
          <w:sz w:val="24"/>
        </w:rPr>
        <w:t>本合同为固定总价合同，包含完成所有工作的全部费用，包括人工费、差旅费、资料收集费、后续服务费及税金，除固定总价外甲方不再另行支付完成该项工作的任何费用。</w:t>
      </w:r>
    </w:p>
    <w:p>
      <w:pPr>
        <w:spacing w:line="360" w:lineRule="auto"/>
        <w:ind w:firstLine="480" w:firstLineChars="200"/>
        <w:rPr>
          <w:rFonts w:eastAsia="黑体"/>
          <w:sz w:val="24"/>
        </w:rPr>
      </w:pPr>
      <w:r>
        <w:rPr>
          <w:rFonts w:ascii="Arial" w:hAnsi="Arial" w:cs="Arial"/>
          <w:sz w:val="24"/>
        </w:rPr>
        <w:t>合同总价款为：人民币（大写）</w:t>
      </w:r>
      <w:r>
        <w:rPr>
          <w:rFonts w:ascii="Arial" w:hAnsi="Arial" w:cs="Arial"/>
          <w:sz w:val="24"/>
          <w:u w:val="single"/>
        </w:rPr>
        <w:t xml:space="preserve">         </w:t>
      </w:r>
      <w:r>
        <w:rPr>
          <w:rFonts w:ascii="Arial" w:hAnsi="Arial" w:cs="Arial"/>
          <w:sz w:val="24"/>
        </w:rPr>
        <w:t>元（¥</w:t>
      </w:r>
      <w:r>
        <w:rPr>
          <w:rFonts w:ascii="Arial" w:hAnsi="Arial" w:cs="Arial"/>
          <w:sz w:val="24"/>
          <w:u w:val="single"/>
        </w:rPr>
        <w:t xml:space="preserve">        </w:t>
      </w:r>
      <w:r>
        <w:rPr>
          <w:rFonts w:ascii="Arial" w:hAnsi="Arial" w:cs="Arial"/>
          <w:sz w:val="24"/>
        </w:rPr>
        <w:t>）。其中，不含税价：人民币（大写）</w:t>
      </w:r>
      <w:r>
        <w:rPr>
          <w:rFonts w:ascii="Arial" w:hAnsi="Arial" w:cs="Arial"/>
          <w:sz w:val="24"/>
          <w:u w:val="single"/>
        </w:rPr>
        <w:t xml:space="preserve">         </w:t>
      </w:r>
      <w:r>
        <w:rPr>
          <w:rFonts w:ascii="Arial" w:hAnsi="Arial" w:cs="Arial"/>
          <w:sz w:val="24"/>
        </w:rPr>
        <w:t>元（¥</w:t>
      </w:r>
      <w:r>
        <w:rPr>
          <w:rFonts w:ascii="Arial" w:hAnsi="Arial" w:cs="Arial"/>
          <w:sz w:val="24"/>
          <w:u w:val="single"/>
        </w:rPr>
        <w:t xml:space="preserve">        </w:t>
      </w:r>
      <w:r>
        <w:rPr>
          <w:rFonts w:ascii="Arial" w:hAnsi="Arial" w:cs="Arial"/>
          <w:sz w:val="24"/>
        </w:rPr>
        <w:t>），增值税额：人民币（大写）</w:t>
      </w:r>
      <w:r>
        <w:rPr>
          <w:rFonts w:ascii="Arial" w:hAnsi="Arial" w:cs="Arial"/>
          <w:sz w:val="24"/>
          <w:u w:val="single"/>
        </w:rPr>
        <w:t xml:space="preserve">        </w:t>
      </w:r>
      <w:r>
        <w:rPr>
          <w:rFonts w:ascii="Arial" w:hAnsi="Arial" w:cs="Arial"/>
          <w:sz w:val="24"/>
        </w:rPr>
        <w:t>元（¥</w:t>
      </w:r>
      <w:r>
        <w:rPr>
          <w:rFonts w:ascii="Arial" w:hAnsi="Arial" w:cs="Arial"/>
          <w:sz w:val="24"/>
          <w:u w:val="single"/>
        </w:rPr>
        <w:t xml:space="preserve">        </w:t>
      </w:r>
      <w:r>
        <w:rPr>
          <w:rFonts w:ascii="Arial" w:hAnsi="Arial" w:cs="Arial"/>
          <w:sz w:val="24"/>
        </w:rPr>
        <w:t>），增值税税率：</w:t>
      </w:r>
      <w:r>
        <w:rPr>
          <w:rFonts w:ascii="Arial" w:hAnsi="Arial" w:cs="Arial"/>
          <w:sz w:val="24"/>
          <w:u w:val="single"/>
        </w:rPr>
        <w:t xml:space="preserve">       </w:t>
      </w:r>
      <w:r>
        <w:rPr>
          <w:rFonts w:ascii="Arial" w:hAnsi="Arial" w:cs="Arial"/>
          <w:sz w:val="24"/>
        </w:rPr>
        <w:t>。</w:t>
      </w:r>
      <w:r>
        <w:rPr>
          <w:rFonts w:hint="eastAsia" w:ascii="Arial" w:hAnsi="Arial" w:cs="Arial"/>
          <w:sz w:val="24"/>
        </w:rPr>
        <w:t>包括但不限于人工费、服务费用、相关税费等。</w:t>
      </w:r>
    </w:p>
    <w:p>
      <w:pPr>
        <w:spacing w:line="360" w:lineRule="auto"/>
        <w:ind w:firstLine="480"/>
        <w:rPr>
          <w:rFonts w:ascii="Arial" w:hAnsi="Arial" w:cs="Arial"/>
          <w:sz w:val="24"/>
        </w:rPr>
      </w:pPr>
      <w:r>
        <w:rPr>
          <w:rFonts w:hint="eastAsia" w:ascii="Arial" w:hAnsi="Arial" w:cs="Arial"/>
          <w:sz w:val="24"/>
        </w:rPr>
        <w:t>5.2 支付方式</w:t>
      </w:r>
    </w:p>
    <w:p>
      <w:pPr>
        <w:spacing w:line="360" w:lineRule="auto"/>
        <w:ind w:firstLine="480"/>
        <w:rPr>
          <w:rFonts w:ascii="Arial" w:hAnsi="Arial" w:cs="Arial"/>
          <w:sz w:val="24"/>
        </w:rPr>
      </w:pPr>
      <w:r>
        <w:rPr>
          <w:rFonts w:hint="eastAsia" w:ascii="Arial" w:hAnsi="Arial" w:cs="Arial"/>
          <w:sz w:val="24"/>
        </w:rPr>
        <w:t>5</w:t>
      </w:r>
      <w:r>
        <w:rPr>
          <w:rFonts w:ascii="Arial" w:hAnsi="Arial" w:cs="Arial"/>
          <w:sz w:val="24"/>
        </w:rPr>
        <w:t>.2.</w:t>
      </w:r>
      <w:r>
        <w:rPr>
          <w:rFonts w:hint="eastAsia" w:ascii="Arial" w:hAnsi="Arial" w:cs="Arial"/>
          <w:sz w:val="24"/>
        </w:rPr>
        <w:t>1</w:t>
      </w:r>
      <w:r>
        <w:rPr>
          <w:rFonts w:ascii="Arial" w:hAnsi="Arial" w:cs="Arial"/>
          <w:sz w:val="24"/>
        </w:rPr>
        <w:t xml:space="preserve"> </w:t>
      </w:r>
      <w:r>
        <w:rPr>
          <w:rFonts w:hint="eastAsia" w:ascii="Arial" w:hAnsi="Arial" w:cs="Arial"/>
          <w:sz w:val="24"/>
        </w:rPr>
        <w:t>付款：</w:t>
      </w:r>
    </w:p>
    <w:p>
      <w:pPr>
        <w:tabs>
          <w:tab w:val="left" w:pos="1800"/>
        </w:tabs>
        <w:spacing w:line="360" w:lineRule="auto"/>
        <w:ind w:firstLine="480"/>
        <w:rPr>
          <w:rFonts w:ascii="Arial" w:hAnsi="Arial" w:cs="Arial"/>
          <w:sz w:val="24"/>
        </w:rPr>
      </w:pPr>
      <w:r>
        <w:rPr>
          <w:rFonts w:hint="eastAsia" w:ascii="Arial" w:hAnsi="Arial" w:cs="Arial"/>
          <w:sz w:val="24"/>
        </w:rPr>
        <w:t>本合同为固定总价合同，根据项目工作进度进行付款。</w:t>
      </w:r>
    </w:p>
    <w:p>
      <w:pPr>
        <w:tabs>
          <w:tab w:val="left" w:pos="1800"/>
        </w:tabs>
        <w:spacing w:line="360" w:lineRule="auto"/>
        <w:ind w:firstLine="480"/>
        <w:rPr>
          <w:rFonts w:ascii="Arial" w:hAnsi="Arial" w:cs="Arial"/>
          <w:sz w:val="24"/>
        </w:rPr>
      </w:pPr>
      <w:r>
        <w:rPr>
          <w:rFonts w:hint="eastAsia" w:ascii="Arial" w:hAnsi="Arial" w:cs="Arial"/>
          <w:sz w:val="24"/>
        </w:rPr>
        <w:t>1.乙方完成本项目报告初稿并报送甲方审查，30个工作日内甲方支付至合同金额的30%；</w:t>
      </w:r>
    </w:p>
    <w:p>
      <w:pPr>
        <w:tabs>
          <w:tab w:val="left" w:pos="1800"/>
        </w:tabs>
        <w:spacing w:line="360" w:lineRule="auto"/>
        <w:ind w:firstLine="480"/>
        <w:rPr>
          <w:rFonts w:ascii="Arial" w:hAnsi="Arial" w:cs="Arial"/>
          <w:sz w:val="24"/>
        </w:rPr>
      </w:pPr>
      <w:r>
        <w:rPr>
          <w:rFonts w:hint="eastAsia" w:ascii="Arial" w:hAnsi="Arial" w:cs="Arial"/>
          <w:sz w:val="24"/>
        </w:rPr>
        <w:t>2.完成本项目所有服务内容，乙方提交所有工作成果后30个工作日内甲方支付至合同金额的</w:t>
      </w:r>
      <w:r>
        <w:rPr>
          <w:rFonts w:ascii="Arial" w:hAnsi="Arial" w:cs="Arial"/>
          <w:sz w:val="24"/>
        </w:rPr>
        <w:t>100</w:t>
      </w:r>
      <w:r>
        <w:rPr>
          <w:rFonts w:hint="eastAsia" w:ascii="Arial" w:hAnsi="Arial" w:cs="Arial"/>
          <w:sz w:val="24"/>
        </w:rPr>
        <w:t>%；</w:t>
      </w:r>
    </w:p>
    <w:p>
      <w:pPr>
        <w:spacing w:line="360" w:lineRule="auto"/>
        <w:ind w:firstLine="480"/>
        <w:rPr>
          <w:rFonts w:hint="eastAsia" w:ascii="Arial" w:hAnsi="Arial" w:cs="Arial"/>
          <w:sz w:val="24"/>
        </w:rPr>
      </w:pPr>
      <w:r>
        <w:rPr>
          <w:rFonts w:hint="eastAsia" w:ascii="Arial" w:hAnsi="Arial" w:cs="Arial"/>
          <w:sz w:val="24"/>
        </w:rPr>
        <w:t>3.每期付款时，由乙方提供对应金额的增值税专用发票。</w:t>
      </w:r>
    </w:p>
    <w:p>
      <w:pPr>
        <w:spacing w:line="360" w:lineRule="auto"/>
        <w:ind w:firstLine="480"/>
        <w:rPr>
          <w:rFonts w:ascii="Arial" w:hAnsi="Arial" w:cs="Arial"/>
          <w:sz w:val="24"/>
        </w:rPr>
      </w:pPr>
      <w:r>
        <w:rPr>
          <w:rFonts w:hint="eastAsia" w:ascii="Arial" w:hAnsi="Arial" w:cs="Arial"/>
          <w:sz w:val="24"/>
        </w:rPr>
        <w:t>5.</w:t>
      </w:r>
      <w:r>
        <w:rPr>
          <w:rFonts w:ascii="Arial" w:hAnsi="Arial" w:cs="Arial"/>
          <w:sz w:val="24"/>
        </w:rPr>
        <w:t>2.</w:t>
      </w:r>
      <w:r>
        <w:rPr>
          <w:rFonts w:hint="eastAsia" w:ascii="Arial" w:hAnsi="Arial" w:cs="Arial"/>
          <w:sz w:val="24"/>
        </w:rPr>
        <w:t>2</w:t>
      </w:r>
      <w:r>
        <w:rPr>
          <w:rFonts w:ascii="Arial" w:hAnsi="Arial" w:cs="Arial"/>
          <w:sz w:val="24"/>
        </w:rPr>
        <w:t xml:space="preserve"> </w:t>
      </w:r>
      <w:r>
        <w:rPr>
          <w:rFonts w:hint="eastAsia" w:ascii="Arial" w:hAnsi="Arial" w:cs="Arial"/>
          <w:sz w:val="24"/>
        </w:rPr>
        <w:t>乙方开户银行、地址、账号</w:t>
      </w:r>
    </w:p>
    <w:p>
      <w:pPr>
        <w:spacing w:line="360" w:lineRule="auto"/>
        <w:ind w:firstLine="480"/>
        <w:rPr>
          <w:rFonts w:ascii="Arial" w:hAnsi="Arial" w:cs="Arial"/>
          <w:sz w:val="24"/>
        </w:rPr>
      </w:pPr>
      <w:r>
        <w:rPr>
          <w:rFonts w:hint="eastAsia" w:ascii="Arial" w:hAnsi="Arial" w:cs="Arial"/>
          <w:sz w:val="24"/>
        </w:rPr>
        <w:t xml:space="preserve">账   </w:t>
      </w:r>
      <w:r>
        <w:rPr>
          <w:rFonts w:ascii="Arial" w:hAnsi="Arial" w:cs="Arial"/>
          <w:sz w:val="24"/>
        </w:rPr>
        <w:t xml:space="preserve"> </w:t>
      </w:r>
      <w:r>
        <w:rPr>
          <w:rFonts w:hint="eastAsia" w:ascii="Arial" w:hAnsi="Arial" w:cs="Arial"/>
          <w:sz w:val="24"/>
        </w:rPr>
        <w:t>号：</w:t>
      </w:r>
      <w:r>
        <w:rPr>
          <w:rFonts w:hint="eastAsia" w:ascii="Arial" w:hAnsi="Arial" w:cs="Arial"/>
          <w:sz w:val="24"/>
          <w:u w:val="single"/>
        </w:rPr>
        <w:t xml:space="preserve">                     </w:t>
      </w:r>
      <w:r>
        <w:rPr>
          <w:rFonts w:ascii="Arial" w:hAnsi="Arial" w:cs="Arial"/>
          <w:sz w:val="24"/>
          <w:u w:val="single"/>
        </w:rPr>
        <w:t xml:space="preserve"> </w:t>
      </w:r>
      <w:r>
        <w:rPr>
          <w:rFonts w:hint="eastAsia" w:ascii="Arial" w:hAnsi="Arial" w:cs="Arial"/>
          <w:sz w:val="24"/>
        </w:rPr>
        <w:t>；</w:t>
      </w:r>
    </w:p>
    <w:p>
      <w:pPr>
        <w:spacing w:line="360" w:lineRule="auto"/>
        <w:ind w:firstLine="480"/>
        <w:rPr>
          <w:rFonts w:ascii="Arial" w:hAnsi="Arial" w:cs="Arial"/>
          <w:sz w:val="24"/>
        </w:rPr>
      </w:pPr>
      <w:r>
        <w:rPr>
          <w:rFonts w:hint="eastAsia" w:ascii="Arial" w:hAnsi="Arial" w:cs="Arial"/>
          <w:sz w:val="24"/>
        </w:rPr>
        <w:t xml:space="preserve">户   </w:t>
      </w:r>
      <w:r>
        <w:rPr>
          <w:rFonts w:ascii="Arial" w:hAnsi="Arial" w:cs="Arial"/>
          <w:sz w:val="24"/>
        </w:rPr>
        <w:t xml:space="preserve"> </w:t>
      </w:r>
      <w:r>
        <w:rPr>
          <w:rFonts w:hint="eastAsia" w:ascii="Arial" w:hAnsi="Arial" w:cs="Arial"/>
          <w:sz w:val="24"/>
        </w:rPr>
        <w:t>名：</w:t>
      </w:r>
      <w:r>
        <w:rPr>
          <w:rFonts w:hint="eastAsia" w:ascii="Arial" w:hAnsi="Arial" w:cs="Arial"/>
          <w:sz w:val="24"/>
          <w:u w:val="single"/>
        </w:rPr>
        <w:t xml:space="preserve">                      </w:t>
      </w:r>
      <w:r>
        <w:rPr>
          <w:rFonts w:hint="eastAsia" w:ascii="Arial" w:hAnsi="Arial" w:cs="Arial"/>
          <w:sz w:val="24"/>
        </w:rPr>
        <w:t>；</w:t>
      </w:r>
    </w:p>
    <w:p>
      <w:pPr>
        <w:spacing w:line="360" w:lineRule="auto"/>
        <w:ind w:firstLine="480"/>
        <w:rPr>
          <w:rFonts w:ascii="Arial" w:hAnsi="Arial" w:cs="Arial"/>
          <w:sz w:val="24"/>
        </w:rPr>
      </w:pPr>
      <w:r>
        <w:rPr>
          <w:rFonts w:hint="eastAsia" w:ascii="Arial" w:hAnsi="Arial" w:cs="Arial"/>
          <w:sz w:val="24"/>
        </w:rPr>
        <w:t>开户银行：</w:t>
      </w:r>
      <w:r>
        <w:rPr>
          <w:rFonts w:hint="eastAsia" w:ascii="Arial" w:hAnsi="Arial" w:cs="Arial"/>
          <w:sz w:val="24"/>
          <w:u w:val="single"/>
        </w:rPr>
        <w:t xml:space="preserve">                     </w:t>
      </w:r>
      <w:r>
        <w:rPr>
          <w:rFonts w:ascii="Arial" w:hAnsi="Arial" w:cs="Arial"/>
          <w:sz w:val="24"/>
          <w:u w:val="single"/>
        </w:rPr>
        <w:t xml:space="preserve"> </w:t>
      </w:r>
      <w:r>
        <w:rPr>
          <w:rFonts w:hint="eastAsia" w:ascii="Arial" w:hAnsi="Arial" w:cs="Arial"/>
          <w:sz w:val="24"/>
        </w:rPr>
        <w:t>；</w:t>
      </w:r>
    </w:p>
    <w:p>
      <w:pPr>
        <w:spacing w:line="360" w:lineRule="auto"/>
        <w:ind w:firstLine="480"/>
        <w:rPr>
          <w:rFonts w:ascii="Arial" w:hAnsi="Arial" w:cs="Arial"/>
          <w:sz w:val="24"/>
        </w:rPr>
      </w:pPr>
      <w:r>
        <w:rPr>
          <w:rFonts w:hint="eastAsia" w:ascii="Arial" w:hAnsi="Arial" w:cs="Arial"/>
          <w:sz w:val="24"/>
        </w:rPr>
        <w:t>开户地址：</w:t>
      </w:r>
      <w:r>
        <w:rPr>
          <w:rFonts w:hint="eastAsia" w:ascii="Arial" w:hAnsi="Arial" w:cs="Arial"/>
          <w:sz w:val="24"/>
          <w:u w:val="single"/>
        </w:rPr>
        <w:t xml:space="preserve">                       。</w:t>
      </w:r>
    </w:p>
    <w:p>
      <w:pPr>
        <w:spacing w:line="360" w:lineRule="auto"/>
        <w:ind w:firstLine="480"/>
        <w:rPr>
          <w:rFonts w:ascii="Arial" w:hAnsi="Arial" w:cs="Arial"/>
          <w:sz w:val="24"/>
        </w:rPr>
      </w:pPr>
      <w:r>
        <w:rPr>
          <w:rFonts w:hint="eastAsia" w:ascii="Arial" w:hAnsi="Arial" w:cs="Arial"/>
          <w:sz w:val="24"/>
        </w:rPr>
        <w:t>乙方需要变更银行账号的，应当及时以书面形式通知委托方，因未及时通知而造成的一切损失，由受托方自己承担。</w:t>
      </w:r>
    </w:p>
    <w:p>
      <w:pPr>
        <w:spacing w:line="360" w:lineRule="auto"/>
        <w:ind w:firstLine="480"/>
        <w:rPr>
          <w:sz w:val="24"/>
        </w:rPr>
      </w:pPr>
      <w:r>
        <w:rPr>
          <w:rFonts w:hint="eastAsia"/>
          <w:sz w:val="24"/>
        </w:rPr>
        <w:t>5.3 乙方应按照结算款项</w:t>
      </w:r>
      <w:r>
        <w:rPr>
          <w:sz w:val="24"/>
        </w:rPr>
        <w:t>金额</w:t>
      </w:r>
      <w:r>
        <w:rPr>
          <w:rFonts w:hint="eastAsia"/>
          <w:sz w:val="24"/>
        </w:rPr>
        <w:t>向</w:t>
      </w:r>
      <w:r>
        <w:rPr>
          <w:sz w:val="24"/>
        </w:rPr>
        <w:t>甲方提供符合税务规定的增值税专用发票</w:t>
      </w:r>
      <w:r>
        <w:rPr>
          <w:rFonts w:hint="eastAsia"/>
          <w:sz w:val="24"/>
        </w:rPr>
        <w:t>，</w:t>
      </w:r>
      <w:r>
        <w:rPr>
          <w:sz w:val="24"/>
        </w:rPr>
        <w:t>甲方在收到</w:t>
      </w:r>
      <w:r>
        <w:rPr>
          <w:rFonts w:hint="eastAsia"/>
          <w:sz w:val="24"/>
        </w:rPr>
        <w:t>乙方提供</w:t>
      </w:r>
      <w:r>
        <w:rPr>
          <w:sz w:val="24"/>
        </w:rPr>
        <w:t>的合</w:t>
      </w:r>
      <w:r>
        <w:rPr>
          <w:rFonts w:hint="eastAsia"/>
          <w:sz w:val="24"/>
        </w:rPr>
        <w:t>格增值税专用发票后</w:t>
      </w:r>
      <w:r>
        <w:rPr>
          <w:sz w:val="24"/>
        </w:rPr>
        <w:t>支付款项。</w:t>
      </w:r>
      <w:r>
        <w:rPr>
          <w:rFonts w:hint="eastAsia"/>
          <w:sz w:val="24"/>
        </w:rPr>
        <w:t>乙方完成相应工作达到付款节点后提供对应数额的增值税发票，甲方在收到乙方增值税发票后按合同约定付款。</w:t>
      </w:r>
    </w:p>
    <w:p>
      <w:pPr>
        <w:widowControl/>
        <w:adjustRightInd w:val="0"/>
        <w:snapToGrid w:val="0"/>
        <w:spacing w:line="360" w:lineRule="auto"/>
        <w:ind w:firstLine="480"/>
        <w:jc w:val="left"/>
        <w:rPr>
          <w:rFonts w:ascii="宋体" w:hAnsi="宋体" w:cs="宋体"/>
          <w:sz w:val="24"/>
          <w:szCs w:val="24"/>
        </w:rPr>
      </w:pPr>
      <w:r>
        <w:rPr>
          <w:rFonts w:hint="eastAsia" w:ascii="宋体" w:hAnsi="宋体" w:cs="宋体"/>
          <w:sz w:val="24"/>
          <w:szCs w:val="24"/>
        </w:rPr>
        <w:t>如因乙方发票未按期提供或发票不合规等原因，导致甲方增值税无法抵扣的，乙方同意承担由此对甲方造成的一切损失（包括但不限于因票据问题导致甲方无法抵扣的税款，以及由此产生的须由甲方支付的滞纳金、行政罚款等）。</w:t>
      </w:r>
    </w:p>
    <w:p>
      <w:pPr>
        <w:widowControl/>
        <w:adjustRightInd w:val="0"/>
        <w:snapToGrid w:val="0"/>
        <w:spacing w:line="360" w:lineRule="auto"/>
        <w:ind w:firstLine="480"/>
        <w:jc w:val="left"/>
        <w:rPr>
          <w:rFonts w:ascii="宋体" w:hAnsi="宋体" w:cs="宋体"/>
          <w:sz w:val="24"/>
          <w:szCs w:val="24"/>
        </w:rPr>
      </w:pPr>
      <w:r>
        <w:rPr>
          <w:rFonts w:hint="eastAsia" w:ascii="宋体" w:hAnsi="宋体" w:cs="宋体"/>
          <w:sz w:val="24"/>
          <w:szCs w:val="24"/>
        </w:rPr>
        <w:t>乙方承诺，本合同签署的乙方公司名称与发票开具单位与收款单位一致，乙方不得以其他理由在合同执行过程中要求调整发票开具单位或收款单位，否则视为乙方违约。</w:t>
      </w:r>
    </w:p>
    <w:p>
      <w:pPr>
        <w:spacing w:line="360" w:lineRule="auto"/>
        <w:ind w:firstLine="600" w:firstLineChars="250"/>
        <w:rPr>
          <w:rFonts w:ascii="宋体" w:hAnsi="宋体" w:cs="宋体"/>
          <w:sz w:val="24"/>
          <w:szCs w:val="24"/>
        </w:rPr>
      </w:pPr>
      <w:r>
        <w:rPr>
          <w:rFonts w:hint="eastAsia" w:ascii="宋体" w:hAnsi="宋体" w:cs="宋体"/>
          <w:sz w:val="24"/>
          <w:szCs w:val="24"/>
        </w:rPr>
        <w:t>若在合同履行期间，因国家税收政策导致税率发生变化，则对原合同金额进行相应调整，调整后的合同金额=原合同金额/（1+原合同约定的增值税税率）*（1+政策调整后相应的增值税税率）。</w:t>
      </w:r>
    </w:p>
    <w:p>
      <w:pPr>
        <w:tabs>
          <w:tab w:val="left" w:pos="1800"/>
        </w:tabs>
        <w:spacing w:line="360" w:lineRule="auto"/>
        <w:ind w:firstLine="482" w:firstLineChars="200"/>
        <w:rPr>
          <w:b/>
          <w:bCs/>
          <w:sz w:val="24"/>
        </w:rPr>
      </w:pPr>
      <w:bookmarkStart w:id="94" w:name="_Toc26837"/>
      <w:bookmarkStart w:id="95" w:name="_Toc21772"/>
      <w:bookmarkStart w:id="96" w:name="_Toc25355"/>
      <w:bookmarkStart w:id="97" w:name="_Toc492973898"/>
      <w:bookmarkStart w:id="98" w:name="_Toc456108204"/>
      <w:bookmarkStart w:id="99" w:name="_Toc17999"/>
      <w:r>
        <w:rPr>
          <w:rFonts w:hint="eastAsia"/>
          <w:b/>
          <w:bCs/>
          <w:sz w:val="24"/>
        </w:rPr>
        <w:t xml:space="preserve">6. </w:t>
      </w:r>
      <w:r>
        <w:rPr>
          <w:b/>
          <w:bCs/>
          <w:sz w:val="24"/>
        </w:rPr>
        <w:t>合同价款的调整</w:t>
      </w:r>
      <w:bookmarkEnd w:id="94"/>
      <w:bookmarkEnd w:id="95"/>
      <w:bookmarkEnd w:id="96"/>
    </w:p>
    <w:p>
      <w:pPr>
        <w:widowControl/>
        <w:spacing w:line="360" w:lineRule="auto"/>
        <w:ind w:firstLine="480" w:firstLineChars="200"/>
        <w:rPr>
          <w:sz w:val="24"/>
        </w:rPr>
      </w:pPr>
      <w:r>
        <w:rPr>
          <w:rFonts w:hint="eastAsia"/>
          <w:sz w:val="24"/>
        </w:rPr>
        <w:t>6</w:t>
      </w:r>
      <w:r>
        <w:rPr>
          <w:sz w:val="24"/>
        </w:rPr>
        <w:t>.1项目若因</w:t>
      </w:r>
      <w:r>
        <w:rPr>
          <w:rFonts w:hint="eastAsia"/>
          <w:sz w:val="24"/>
        </w:rPr>
        <w:t>外部政策</w:t>
      </w:r>
      <w:r>
        <w:rPr>
          <w:sz w:val="24"/>
        </w:rPr>
        <w:t>等原因结束合同工作，甲方可终止合同，以甲方终止合同通知为准，合同终止时，根据乙方为履行合同工作内容所发生的实际费用，双方协商支付。</w:t>
      </w:r>
    </w:p>
    <w:p>
      <w:pPr>
        <w:tabs>
          <w:tab w:val="left" w:pos="1800"/>
        </w:tabs>
        <w:spacing w:line="360" w:lineRule="auto"/>
        <w:ind w:firstLine="482" w:firstLineChars="200"/>
        <w:rPr>
          <w:b/>
          <w:bCs/>
          <w:sz w:val="24"/>
        </w:rPr>
      </w:pPr>
      <w:bookmarkStart w:id="100" w:name="_Toc25611"/>
      <w:bookmarkStart w:id="101" w:name="_Toc2626"/>
      <w:bookmarkStart w:id="102" w:name="_Toc13754"/>
      <w:r>
        <w:rPr>
          <w:rFonts w:hint="eastAsia"/>
          <w:b/>
          <w:bCs/>
          <w:sz w:val="24"/>
        </w:rPr>
        <w:t>7</w:t>
      </w:r>
      <w:r>
        <w:rPr>
          <w:b/>
          <w:bCs/>
          <w:sz w:val="24"/>
        </w:rPr>
        <w:t>.</w:t>
      </w:r>
      <w:r>
        <w:rPr>
          <w:rFonts w:hint="eastAsia"/>
          <w:b/>
          <w:bCs/>
          <w:sz w:val="24"/>
        </w:rPr>
        <w:t>知识产权保护</w:t>
      </w:r>
      <w:bookmarkEnd w:id="97"/>
      <w:bookmarkEnd w:id="98"/>
      <w:bookmarkEnd w:id="99"/>
      <w:bookmarkEnd w:id="100"/>
      <w:bookmarkEnd w:id="101"/>
      <w:bookmarkEnd w:id="102"/>
    </w:p>
    <w:p>
      <w:pPr>
        <w:widowControl/>
        <w:spacing w:line="360" w:lineRule="auto"/>
        <w:ind w:firstLine="480" w:firstLineChars="200"/>
        <w:rPr>
          <w:sz w:val="24"/>
        </w:rPr>
      </w:pPr>
      <w:r>
        <w:rPr>
          <w:rFonts w:hint="eastAsia"/>
          <w:sz w:val="24"/>
        </w:rPr>
        <w:t>7</w:t>
      </w:r>
      <w:r>
        <w:rPr>
          <w:sz w:val="24"/>
        </w:rPr>
        <w:t>.1 乙方为本项目所收集的全部资料仅用于本次工作，其所有权归甲方所有，未经甲方同意不得提供第三方使用。</w:t>
      </w:r>
    </w:p>
    <w:p>
      <w:pPr>
        <w:widowControl/>
        <w:spacing w:line="360" w:lineRule="auto"/>
        <w:ind w:firstLine="480" w:firstLineChars="200"/>
        <w:rPr>
          <w:sz w:val="24"/>
        </w:rPr>
      </w:pPr>
      <w:r>
        <w:rPr>
          <w:rFonts w:hint="eastAsia"/>
          <w:sz w:val="24"/>
        </w:rPr>
        <w:t>7</w:t>
      </w:r>
      <w:r>
        <w:rPr>
          <w:sz w:val="24"/>
        </w:rPr>
        <w:t>.2 双方约定，除特殊情况由双方另行协商外，履行本合同产生的技术成果申请专利的权利归甲方享有，未经甲方许可，乙方不得单独申请专利或向第三方转让专利申请权。乙方取得专利权的，未经甲方许可，不得转让专利权或许可第三方实施该专利。</w:t>
      </w:r>
    </w:p>
    <w:p>
      <w:pPr>
        <w:widowControl/>
        <w:spacing w:line="360" w:lineRule="auto"/>
        <w:ind w:firstLine="480" w:firstLineChars="200"/>
        <w:rPr>
          <w:sz w:val="24"/>
        </w:rPr>
      </w:pPr>
      <w:r>
        <w:rPr>
          <w:rFonts w:hint="eastAsia"/>
          <w:sz w:val="24"/>
        </w:rPr>
        <w:t>7</w:t>
      </w:r>
      <w:r>
        <w:rPr>
          <w:sz w:val="24"/>
        </w:rPr>
        <w:t>.3 甲乙双方均享有本合同产生的技术秘密的使用权，但乙方仅能在甲方许可的范围内使用该秘密。因使用该技术秘密所产生的效益，由甲乙双方共同协商确定分配方式。</w:t>
      </w:r>
    </w:p>
    <w:p>
      <w:pPr>
        <w:widowControl/>
        <w:spacing w:line="360" w:lineRule="auto"/>
        <w:ind w:firstLine="480" w:firstLineChars="200"/>
        <w:rPr>
          <w:sz w:val="24"/>
        </w:rPr>
      </w:pPr>
      <w:r>
        <w:rPr>
          <w:rFonts w:hint="eastAsia"/>
          <w:sz w:val="24"/>
        </w:rPr>
        <w:t>7</w:t>
      </w:r>
      <w:r>
        <w:rPr>
          <w:sz w:val="24"/>
        </w:rPr>
        <w:t>.4 本合同产生的技术秘密的转让权属于甲方，乙方不得向第三方转让该技术秘密或其使用权，亦不得许可第三方实施使用，乙方擅自转让所产生的利益归甲方所有。</w:t>
      </w:r>
    </w:p>
    <w:p>
      <w:pPr>
        <w:widowControl/>
        <w:spacing w:line="360" w:lineRule="auto"/>
        <w:ind w:firstLine="480" w:firstLineChars="200"/>
        <w:rPr>
          <w:sz w:val="24"/>
        </w:rPr>
      </w:pPr>
      <w:r>
        <w:rPr>
          <w:rFonts w:hint="eastAsia"/>
          <w:sz w:val="24"/>
        </w:rPr>
        <w:t>7</w:t>
      </w:r>
      <w:r>
        <w:rPr>
          <w:sz w:val="24"/>
        </w:rPr>
        <w:t>.5 履行本合同产生的技术成果（包括技术秘密）申请奖励的权利归甲方享有。未经甲方许可，乙方不得单方申请奖励。</w:t>
      </w:r>
    </w:p>
    <w:p>
      <w:pPr>
        <w:widowControl/>
        <w:spacing w:line="360" w:lineRule="auto"/>
        <w:ind w:firstLine="480" w:firstLineChars="200"/>
        <w:rPr>
          <w:sz w:val="24"/>
        </w:rPr>
      </w:pPr>
      <w:r>
        <w:rPr>
          <w:rFonts w:hint="eastAsia"/>
          <w:sz w:val="24"/>
        </w:rPr>
        <w:t>7</w:t>
      </w:r>
      <w:r>
        <w:rPr>
          <w:sz w:val="24"/>
        </w:rPr>
        <w:t>.6 本合同所产生研究成果的发表权由甲乙双方共同享有。未经甲方许可，乙方不得单方发表。项目研究团队人员个人发表有关项目研究内容的论文须征得甲乙双方的同意，乙方应制定相应规章制度约束项目研究团队人员的个人行为。</w:t>
      </w:r>
    </w:p>
    <w:p>
      <w:pPr>
        <w:widowControl/>
        <w:spacing w:line="360" w:lineRule="auto"/>
        <w:ind w:firstLine="480" w:firstLineChars="200"/>
        <w:rPr>
          <w:sz w:val="24"/>
        </w:rPr>
      </w:pPr>
      <w:r>
        <w:rPr>
          <w:rFonts w:hint="eastAsia"/>
          <w:sz w:val="24"/>
        </w:rPr>
        <w:t>7</w:t>
      </w:r>
      <w:r>
        <w:rPr>
          <w:sz w:val="24"/>
        </w:rPr>
        <w:t>.7 使用履行本合同产生的技术成果参与国际标准、国家标准或行业标准等的制定或修订工作的权利属于甲方所有，未经甲方许可，乙方不得单独参与此类工作。</w:t>
      </w:r>
    </w:p>
    <w:p>
      <w:pPr>
        <w:widowControl/>
        <w:spacing w:line="360" w:lineRule="auto"/>
        <w:ind w:firstLine="480" w:firstLineChars="200"/>
        <w:rPr>
          <w:sz w:val="24"/>
        </w:rPr>
      </w:pPr>
      <w:r>
        <w:rPr>
          <w:rFonts w:hint="eastAsia"/>
          <w:sz w:val="24"/>
        </w:rPr>
        <w:t>7</w:t>
      </w:r>
      <w:r>
        <w:rPr>
          <w:sz w:val="24"/>
        </w:rPr>
        <w:t>.8 乙方在研究过程中出现剽窃、抄袭等侵犯他人知识产权的行为，由行为人承担相应责任。由此给甲方造成损失的，也应承担责任。</w:t>
      </w:r>
    </w:p>
    <w:p>
      <w:pPr>
        <w:tabs>
          <w:tab w:val="left" w:pos="1800"/>
        </w:tabs>
        <w:spacing w:line="360" w:lineRule="auto"/>
        <w:ind w:firstLine="482" w:firstLineChars="200"/>
        <w:rPr>
          <w:b/>
          <w:bCs/>
          <w:sz w:val="24"/>
        </w:rPr>
      </w:pPr>
      <w:bookmarkStart w:id="103" w:name="_Toc12411"/>
      <w:bookmarkStart w:id="104" w:name="_Toc20128"/>
      <w:bookmarkStart w:id="105" w:name="_Toc492973899"/>
      <w:bookmarkStart w:id="106" w:name="_Toc17343"/>
      <w:bookmarkStart w:id="107" w:name="_Toc456108205"/>
      <w:bookmarkStart w:id="108" w:name="_Toc12928"/>
      <w:r>
        <w:rPr>
          <w:rFonts w:hint="eastAsia"/>
          <w:b/>
          <w:bCs/>
          <w:sz w:val="24"/>
        </w:rPr>
        <w:t>8．不可抗力</w:t>
      </w:r>
      <w:bookmarkEnd w:id="103"/>
      <w:bookmarkEnd w:id="104"/>
      <w:bookmarkEnd w:id="105"/>
      <w:bookmarkEnd w:id="106"/>
      <w:bookmarkEnd w:id="107"/>
      <w:bookmarkEnd w:id="108"/>
    </w:p>
    <w:p>
      <w:pPr>
        <w:widowControl/>
        <w:spacing w:line="360" w:lineRule="auto"/>
        <w:ind w:firstLine="480" w:firstLineChars="200"/>
        <w:rPr>
          <w:sz w:val="24"/>
        </w:rPr>
      </w:pPr>
      <w:r>
        <w:rPr>
          <w:rFonts w:hint="eastAsia"/>
          <w:sz w:val="24"/>
        </w:rPr>
        <w:t>8</w:t>
      </w:r>
      <w:r>
        <w:rPr>
          <w:sz w:val="24"/>
        </w:rPr>
        <w:t>.1 如果不可抗力影响合同义务的履行，受影响方应积极采取补救措施以保证合同义务在经济、技术可行的条件下得以履行。在不可抗力事件造成该合同义务确实不可履行的前提下，该方可在该不可抗力造成的影响范围内暂时中止履行该合同义务；未受该不可抗力事件影响的其他合同义务应继续履行。</w:t>
      </w:r>
    </w:p>
    <w:p>
      <w:pPr>
        <w:spacing w:line="360" w:lineRule="auto"/>
        <w:ind w:firstLine="480" w:firstLineChars="200"/>
        <w:rPr>
          <w:rFonts w:ascii="宋体" w:hAnsi="Courier New"/>
          <w:sz w:val="24"/>
        </w:rPr>
      </w:pPr>
      <w:r>
        <w:rPr>
          <w:rFonts w:ascii="宋体" w:hAnsi="Courier New"/>
          <w:sz w:val="24"/>
        </w:rPr>
        <w:t>本文所述不可抗力，是指在订立合同时不可预见、在履行合同过程中不可避免发生并不能克服的自然灾害和社会性突发事件，如地震、瘟疫、海啸、水灾、骚乱、暴动。战争和其他在受影响的一方合理控制范围以外且经该方合理努力后也不能防止或避免的其他情形。</w:t>
      </w:r>
    </w:p>
    <w:p>
      <w:pPr>
        <w:widowControl/>
        <w:spacing w:line="360" w:lineRule="auto"/>
        <w:ind w:firstLine="480" w:firstLineChars="200"/>
        <w:rPr>
          <w:sz w:val="24"/>
        </w:rPr>
      </w:pPr>
      <w:r>
        <w:rPr>
          <w:rFonts w:hint="eastAsia"/>
          <w:sz w:val="24"/>
        </w:rPr>
        <w:t>8</w:t>
      </w:r>
      <w:r>
        <w:rPr>
          <w:sz w:val="24"/>
        </w:rPr>
        <w:t>.2 受不可抗力影响的一方应在通讯可行时立即通知另一方，详细说明不可抗力与不能履行义务的因果关系，并自不可抗力发生以致影响合同义务之日起（如遇通讯中断，则自通讯恢复之日起）10天内提供证明该不可抗力发生及其预期持续时间的足够权威证明材料。</w:t>
      </w:r>
    </w:p>
    <w:p>
      <w:pPr>
        <w:widowControl/>
        <w:spacing w:line="360" w:lineRule="auto"/>
        <w:ind w:firstLine="480" w:firstLineChars="200"/>
        <w:rPr>
          <w:sz w:val="24"/>
        </w:rPr>
      </w:pPr>
      <w:r>
        <w:rPr>
          <w:rFonts w:hint="eastAsia"/>
          <w:sz w:val="24"/>
        </w:rPr>
        <w:t>8</w:t>
      </w:r>
      <w:r>
        <w:rPr>
          <w:sz w:val="24"/>
        </w:rPr>
        <w:t>.3 如发生不可抗力事件，双方应立即互相协商，寻找公平的解决办法，并且应尽一切合理努力尽量减轻该不可抗力的后果。如当事人一方未及时通知对方而给对方造成损害的应负赔偿责任。如因不可抗力合同目的无法达到、为达到合同目的所需支付的成本显著增加或不可抗力阻碍一方履行义务持续时间超过合同期限，双方可在协商一致的情况下解除合同。</w:t>
      </w:r>
    </w:p>
    <w:p>
      <w:pPr>
        <w:tabs>
          <w:tab w:val="left" w:pos="1800"/>
        </w:tabs>
        <w:spacing w:line="360" w:lineRule="auto"/>
        <w:ind w:firstLine="482" w:firstLineChars="200"/>
        <w:rPr>
          <w:b/>
          <w:bCs/>
          <w:sz w:val="24"/>
        </w:rPr>
      </w:pPr>
      <w:bookmarkStart w:id="109" w:name="_Toc9042"/>
      <w:bookmarkStart w:id="110" w:name="_Toc241"/>
      <w:bookmarkStart w:id="111" w:name="_Toc21138"/>
      <w:bookmarkStart w:id="112" w:name="_Toc492973900"/>
      <w:bookmarkStart w:id="113" w:name="_Toc2950"/>
      <w:bookmarkStart w:id="114" w:name="_Toc456108206"/>
      <w:r>
        <w:rPr>
          <w:rFonts w:hint="eastAsia"/>
          <w:b/>
          <w:bCs/>
          <w:sz w:val="24"/>
        </w:rPr>
        <w:t>8．违约责任</w:t>
      </w:r>
      <w:bookmarkEnd w:id="109"/>
      <w:bookmarkEnd w:id="110"/>
      <w:bookmarkEnd w:id="111"/>
      <w:bookmarkEnd w:id="112"/>
      <w:bookmarkEnd w:id="113"/>
      <w:bookmarkEnd w:id="114"/>
    </w:p>
    <w:p>
      <w:pPr>
        <w:widowControl/>
        <w:spacing w:line="360" w:lineRule="auto"/>
        <w:ind w:firstLine="480" w:firstLineChars="200"/>
        <w:rPr>
          <w:sz w:val="24"/>
        </w:rPr>
      </w:pPr>
      <w:r>
        <w:rPr>
          <w:rFonts w:hint="eastAsia"/>
          <w:sz w:val="24"/>
        </w:rPr>
        <w:t>9</w:t>
      </w:r>
      <w:r>
        <w:rPr>
          <w:sz w:val="24"/>
        </w:rPr>
        <w:t>.1乙方未经授权擅自使用或允许他人使用其通过签订或履行本合同而获得的甲方专利、专有技术或商业秘密等技术成果的，乙方应向甲方支付合同总额5%的违约金，并赔偿甲方由此造成的损失。</w:t>
      </w:r>
    </w:p>
    <w:p>
      <w:pPr>
        <w:widowControl/>
        <w:spacing w:line="360" w:lineRule="auto"/>
        <w:ind w:firstLine="480" w:firstLineChars="200"/>
        <w:rPr>
          <w:sz w:val="24"/>
        </w:rPr>
      </w:pPr>
      <w:r>
        <w:rPr>
          <w:rFonts w:hint="eastAsia"/>
          <w:sz w:val="24"/>
        </w:rPr>
        <w:t>9</w:t>
      </w:r>
      <w:r>
        <w:rPr>
          <w:sz w:val="24"/>
        </w:rPr>
        <w:t>.2乙方单方违反合同约定导致本合同终止的，乙方应向甲方支付本合同总额5 %的违约金，同时甲方有权要求乙方返还所有已支付款项及相应利息（利息按中国人民银行一年期贷款利率计算，超过一年按同期贷款利率计算，利率自违约事项发生之日起计算。同期LPR按照中国人民银行每月公布的利率计算）。由此给甲方造成任何损失的，乙方还应当承担赔偿责任。</w:t>
      </w:r>
    </w:p>
    <w:p>
      <w:pPr>
        <w:widowControl/>
        <w:spacing w:line="360" w:lineRule="auto"/>
        <w:ind w:firstLine="480" w:firstLineChars="200"/>
        <w:rPr>
          <w:sz w:val="24"/>
        </w:rPr>
      </w:pPr>
      <w:r>
        <w:rPr>
          <w:rFonts w:hint="eastAsia"/>
          <w:sz w:val="24"/>
        </w:rPr>
        <w:t>9</w:t>
      </w:r>
      <w:r>
        <w:rPr>
          <w:sz w:val="24"/>
        </w:rPr>
        <w:t>.</w:t>
      </w:r>
      <w:r>
        <w:rPr>
          <w:rFonts w:hint="eastAsia"/>
          <w:sz w:val="24"/>
        </w:rPr>
        <w:t>3</w:t>
      </w:r>
      <w:r>
        <w:rPr>
          <w:sz w:val="24"/>
        </w:rPr>
        <w:t xml:space="preserve"> 乙方所提交本合同项下服务未能满足甲方要求，由乙方于15日内进行整改，整改费用由乙方承担。整改一次后仍不满足要求的或乙方收到甲方要求15日后怠于整改的，甲方可单方解除合同，乙方应承担合同总价款5%的违约金，且向甲方退还其已付款项及相应利息（利息按中国人民银行一年期贷款利率计算，超过一年按同期贷款利率计算，利率自违约事项发生之日起计算。），并承担甲方由此遭受的损失。</w:t>
      </w:r>
    </w:p>
    <w:p>
      <w:pPr>
        <w:widowControl/>
        <w:spacing w:line="360" w:lineRule="auto"/>
        <w:ind w:firstLine="480" w:firstLineChars="200"/>
        <w:rPr>
          <w:sz w:val="24"/>
        </w:rPr>
      </w:pPr>
      <w:r>
        <w:rPr>
          <w:rFonts w:hint="eastAsia"/>
          <w:sz w:val="24"/>
        </w:rPr>
        <w:t>9</w:t>
      </w:r>
      <w:r>
        <w:rPr>
          <w:sz w:val="24"/>
        </w:rPr>
        <w:t>.</w:t>
      </w:r>
      <w:r>
        <w:rPr>
          <w:rFonts w:hint="eastAsia"/>
          <w:sz w:val="24"/>
        </w:rPr>
        <w:t>4</w:t>
      </w:r>
      <w:r>
        <w:rPr>
          <w:sz w:val="24"/>
        </w:rPr>
        <w:t xml:space="preserve"> 乙方未经甲方书面同意，转让本合同项下权利义务给第三方的，甲方有权解除本合同。乙方应向甲方支付本合同总额5%的违约金，并赔偿甲方由此造成的损失。如取得甲方追认的，乙方应就第三人完成的工作成果向甲方负责。</w:t>
      </w:r>
    </w:p>
    <w:p>
      <w:pPr>
        <w:widowControl/>
        <w:spacing w:line="360" w:lineRule="auto"/>
        <w:ind w:firstLine="480" w:firstLineChars="200"/>
        <w:rPr>
          <w:sz w:val="24"/>
        </w:rPr>
      </w:pPr>
      <w:r>
        <w:rPr>
          <w:rFonts w:hint="eastAsia"/>
          <w:sz w:val="24"/>
        </w:rPr>
        <w:t>9</w:t>
      </w:r>
      <w:r>
        <w:rPr>
          <w:sz w:val="24"/>
        </w:rPr>
        <w:t>.</w:t>
      </w:r>
      <w:r>
        <w:rPr>
          <w:rFonts w:hint="eastAsia"/>
          <w:sz w:val="24"/>
        </w:rPr>
        <w:t>5</w:t>
      </w:r>
      <w:r>
        <w:rPr>
          <w:sz w:val="24"/>
        </w:rPr>
        <w:t>合同双方违反本合同其他条款的，按照相应条款约定承担违约责任，违约方应当赔偿因此而给非违约方所造成的损失。</w:t>
      </w:r>
    </w:p>
    <w:p>
      <w:pPr>
        <w:widowControl/>
        <w:spacing w:line="360" w:lineRule="auto"/>
        <w:ind w:firstLine="480" w:firstLineChars="200"/>
        <w:rPr>
          <w:sz w:val="24"/>
        </w:rPr>
      </w:pPr>
      <w:r>
        <w:rPr>
          <w:rFonts w:hint="eastAsia"/>
          <w:sz w:val="24"/>
        </w:rPr>
        <w:t>9</w:t>
      </w:r>
      <w:r>
        <w:rPr>
          <w:sz w:val="24"/>
        </w:rPr>
        <w:t>.</w:t>
      </w:r>
      <w:r>
        <w:rPr>
          <w:rFonts w:hint="eastAsia"/>
          <w:sz w:val="24"/>
        </w:rPr>
        <w:t>6</w:t>
      </w:r>
      <w:r>
        <w:rPr>
          <w:sz w:val="24"/>
        </w:rPr>
        <w:t>违约方在承担违约责任时还应全额承担守约方为追究违约责任而支付的交通费、差旅费、律师费等费用。</w:t>
      </w:r>
    </w:p>
    <w:p>
      <w:pPr>
        <w:tabs>
          <w:tab w:val="left" w:pos="1800"/>
        </w:tabs>
        <w:spacing w:line="360" w:lineRule="auto"/>
        <w:ind w:firstLine="482" w:firstLineChars="200"/>
        <w:rPr>
          <w:b/>
          <w:bCs/>
          <w:sz w:val="24"/>
        </w:rPr>
      </w:pPr>
      <w:bookmarkStart w:id="115" w:name="_Toc456108207"/>
      <w:bookmarkStart w:id="116" w:name="_Toc5801"/>
      <w:bookmarkStart w:id="117" w:name="_Toc5770"/>
      <w:bookmarkStart w:id="118" w:name="_Toc11998"/>
      <w:bookmarkStart w:id="119" w:name="_Toc492973901"/>
      <w:bookmarkStart w:id="120" w:name="_Toc4188"/>
      <w:r>
        <w:rPr>
          <w:rFonts w:hint="eastAsia"/>
          <w:b/>
          <w:bCs/>
          <w:sz w:val="24"/>
        </w:rPr>
        <w:t>10．合同变更</w:t>
      </w:r>
      <w:bookmarkEnd w:id="115"/>
      <w:bookmarkEnd w:id="116"/>
      <w:bookmarkEnd w:id="117"/>
      <w:bookmarkEnd w:id="118"/>
      <w:bookmarkEnd w:id="119"/>
      <w:bookmarkEnd w:id="120"/>
    </w:p>
    <w:p>
      <w:pPr>
        <w:widowControl/>
        <w:spacing w:line="360" w:lineRule="auto"/>
        <w:ind w:firstLine="480" w:firstLineChars="200"/>
        <w:rPr>
          <w:sz w:val="24"/>
        </w:rPr>
      </w:pPr>
      <w:r>
        <w:rPr>
          <w:sz w:val="24"/>
        </w:rPr>
        <w:t>本合同在履行过程中遇到下列情况，予以变更：</w:t>
      </w:r>
    </w:p>
    <w:p>
      <w:pPr>
        <w:widowControl/>
        <w:spacing w:line="360" w:lineRule="auto"/>
        <w:ind w:firstLine="480" w:firstLineChars="200"/>
        <w:rPr>
          <w:sz w:val="24"/>
        </w:rPr>
      </w:pPr>
      <w:r>
        <w:rPr>
          <w:sz w:val="24"/>
        </w:rPr>
        <w:t>1</w:t>
      </w:r>
      <w:r>
        <w:rPr>
          <w:rFonts w:hint="eastAsia"/>
          <w:sz w:val="24"/>
        </w:rPr>
        <w:t>0</w:t>
      </w:r>
      <w:r>
        <w:rPr>
          <w:sz w:val="24"/>
        </w:rPr>
        <w:t>.1 因不可抗力，国家宏观政策的重大调整等原因造成本合同不能如期履行的，双方可协商变更合同，甲方不同意变更的，双方应解除合同。</w:t>
      </w:r>
    </w:p>
    <w:p>
      <w:pPr>
        <w:widowControl/>
        <w:spacing w:line="360" w:lineRule="auto"/>
        <w:ind w:firstLine="480" w:firstLineChars="200"/>
        <w:rPr>
          <w:sz w:val="24"/>
        </w:rPr>
      </w:pPr>
      <w:r>
        <w:rPr>
          <w:sz w:val="24"/>
        </w:rPr>
        <w:t>1</w:t>
      </w:r>
      <w:r>
        <w:rPr>
          <w:rFonts w:hint="eastAsia"/>
          <w:sz w:val="24"/>
        </w:rPr>
        <w:t>0</w:t>
      </w:r>
      <w:r>
        <w:rPr>
          <w:sz w:val="24"/>
        </w:rPr>
        <w:t>.2 甲乙双方中任何一方提出申请要求变更合同，经双方协商书面同意后，可对本合同进行变更。</w:t>
      </w:r>
    </w:p>
    <w:p>
      <w:pPr>
        <w:tabs>
          <w:tab w:val="left" w:pos="1800"/>
        </w:tabs>
        <w:spacing w:line="360" w:lineRule="auto"/>
        <w:ind w:firstLine="482" w:firstLineChars="200"/>
        <w:rPr>
          <w:b/>
          <w:bCs/>
          <w:sz w:val="24"/>
        </w:rPr>
      </w:pPr>
      <w:bookmarkStart w:id="121" w:name="_Toc25853"/>
      <w:bookmarkStart w:id="122" w:name="_Toc492973902"/>
      <w:bookmarkStart w:id="123" w:name="_Toc456108208"/>
      <w:bookmarkStart w:id="124" w:name="_Toc9280"/>
      <w:bookmarkStart w:id="125" w:name="_Toc20105"/>
      <w:bookmarkStart w:id="126" w:name="_Toc20848"/>
      <w:r>
        <w:rPr>
          <w:rFonts w:hint="eastAsia"/>
          <w:b/>
          <w:bCs/>
          <w:sz w:val="24"/>
        </w:rPr>
        <w:t>11．争议解决办法</w:t>
      </w:r>
      <w:bookmarkEnd w:id="121"/>
      <w:bookmarkEnd w:id="122"/>
      <w:bookmarkEnd w:id="123"/>
      <w:bookmarkEnd w:id="124"/>
      <w:bookmarkEnd w:id="125"/>
      <w:bookmarkEnd w:id="126"/>
    </w:p>
    <w:p>
      <w:pPr>
        <w:widowControl/>
        <w:spacing w:line="360" w:lineRule="auto"/>
        <w:ind w:firstLine="480" w:firstLineChars="200"/>
        <w:rPr>
          <w:sz w:val="24"/>
        </w:rPr>
      </w:pPr>
      <w:r>
        <w:rPr>
          <w:sz w:val="24"/>
        </w:rPr>
        <w:t>合同双方在履行合同中发生争议的，友好协商解决。协商不成的，诉讼解决，任何一方可向甲方所在地具有管辖权的人民法院提起诉讼。</w:t>
      </w:r>
    </w:p>
    <w:p>
      <w:pPr>
        <w:tabs>
          <w:tab w:val="left" w:pos="1800"/>
        </w:tabs>
        <w:spacing w:line="360" w:lineRule="auto"/>
        <w:ind w:firstLine="482" w:firstLineChars="200"/>
        <w:rPr>
          <w:b/>
          <w:bCs/>
          <w:sz w:val="24"/>
        </w:rPr>
      </w:pPr>
      <w:bookmarkStart w:id="127" w:name="_Toc456108209"/>
      <w:bookmarkStart w:id="128" w:name="_Toc28693"/>
      <w:bookmarkStart w:id="129" w:name="_Toc8027"/>
      <w:bookmarkStart w:id="130" w:name="_Toc30607"/>
      <w:bookmarkStart w:id="131" w:name="_Toc28713"/>
      <w:bookmarkStart w:id="132" w:name="_Toc492973903"/>
      <w:r>
        <w:rPr>
          <w:rFonts w:hint="eastAsia"/>
          <w:b/>
          <w:bCs/>
          <w:sz w:val="24"/>
        </w:rPr>
        <w:t>12．保密条款</w:t>
      </w:r>
      <w:bookmarkEnd w:id="127"/>
      <w:bookmarkEnd w:id="128"/>
      <w:bookmarkEnd w:id="129"/>
      <w:bookmarkEnd w:id="130"/>
      <w:bookmarkEnd w:id="131"/>
      <w:bookmarkEnd w:id="132"/>
    </w:p>
    <w:p>
      <w:pPr>
        <w:widowControl/>
        <w:spacing w:line="360" w:lineRule="auto"/>
        <w:ind w:firstLine="480" w:firstLineChars="200"/>
        <w:rPr>
          <w:sz w:val="24"/>
        </w:rPr>
      </w:pPr>
      <w:r>
        <w:rPr>
          <w:sz w:val="24"/>
        </w:rPr>
        <w:t>双方保证对讨论、执行本协议过程中所获悉的属于对方的且无法自公开渠道获得的技术信息和经营信息予以保密。具体内容见附件保密协议。</w:t>
      </w:r>
    </w:p>
    <w:p>
      <w:pPr>
        <w:tabs>
          <w:tab w:val="left" w:pos="1800"/>
        </w:tabs>
        <w:spacing w:line="360" w:lineRule="auto"/>
        <w:ind w:firstLine="482" w:firstLineChars="200"/>
        <w:rPr>
          <w:b/>
          <w:bCs/>
          <w:sz w:val="24"/>
        </w:rPr>
      </w:pPr>
      <w:bookmarkStart w:id="133" w:name="_Toc17617"/>
      <w:bookmarkStart w:id="134" w:name="_Toc29548"/>
      <w:bookmarkStart w:id="135" w:name="_Toc492973904"/>
      <w:bookmarkStart w:id="136" w:name="_Toc11822"/>
      <w:bookmarkStart w:id="137" w:name="_Toc456108210"/>
      <w:bookmarkStart w:id="138" w:name="_Toc14914"/>
      <w:r>
        <w:rPr>
          <w:rFonts w:hint="eastAsia"/>
          <w:b/>
          <w:bCs/>
          <w:sz w:val="24"/>
        </w:rPr>
        <w:t>13．合同生效及终止</w:t>
      </w:r>
      <w:bookmarkEnd w:id="133"/>
      <w:bookmarkEnd w:id="134"/>
      <w:bookmarkEnd w:id="135"/>
      <w:bookmarkEnd w:id="136"/>
      <w:bookmarkEnd w:id="137"/>
      <w:bookmarkEnd w:id="138"/>
    </w:p>
    <w:p>
      <w:pPr>
        <w:widowControl/>
        <w:spacing w:line="360" w:lineRule="auto"/>
        <w:ind w:firstLine="480" w:firstLineChars="200"/>
        <w:rPr>
          <w:sz w:val="24"/>
        </w:rPr>
      </w:pPr>
      <w:r>
        <w:rPr>
          <w:rFonts w:hint="eastAsia"/>
          <w:sz w:val="24"/>
          <w:lang w:val="en-US" w:eastAsia="zh-CN"/>
        </w:rPr>
        <w:t>13.1 乙方应在收到中标通知书15日内按照成交金额的10%向甲方提交履约保证金或履约保函。</w:t>
      </w:r>
    </w:p>
    <w:p>
      <w:pPr>
        <w:widowControl/>
        <w:spacing w:line="360" w:lineRule="auto"/>
        <w:ind w:firstLine="480" w:firstLineChars="200"/>
        <w:rPr>
          <w:sz w:val="24"/>
        </w:rPr>
      </w:pPr>
      <w:r>
        <w:rPr>
          <w:sz w:val="24"/>
        </w:rPr>
        <w:t>1</w:t>
      </w:r>
      <w:r>
        <w:rPr>
          <w:rFonts w:hint="eastAsia"/>
          <w:sz w:val="24"/>
        </w:rPr>
        <w:t>3</w:t>
      </w:r>
      <w:r>
        <w:rPr>
          <w:sz w:val="24"/>
        </w:rPr>
        <w:t>.</w:t>
      </w:r>
      <w:r>
        <w:rPr>
          <w:rFonts w:hint="eastAsia"/>
          <w:sz w:val="24"/>
          <w:lang w:val="en-US" w:eastAsia="zh-CN"/>
        </w:rPr>
        <w:t>2</w:t>
      </w:r>
      <w:r>
        <w:rPr>
          <w:sz w:val="24"/>
        </w:rPr>
        <w:t xml:space="preserve"> 乙方在承担本合同项下义务期间如需要根据甲方要求到现场工作，应遵守有关法律、法规和规章的规定，制定实施严格的安全措施、严格的人员职业健康防护措施和环境保护防护措施。</w:t>
      </w:r>
    </w:p>
    <w:p>
      <w:pPr>
        <w:widowControl/>
        <w:spacing w:line="360" w:lineRule="auto"/>
        <w:ind w:firstLine="480" w:firstLineChars="200"/>
        <w:rPr>
          <w:sz w:val="24"/>
        </w:rPr>
      </w:pPr>
      <w:r>
        <w:rPr>
          <w:sz w:val="24"/>
        </w:rPr>
        <w:t>1</w:t>
      </w:r>
      <w:r>
        <w:rPr>
          <w:rFonts w:hint="eastAsia"/>
          <w:sz w:val="24"/>
        </w:rPr>
        <w:t>3</w:t>
      </w:r>
      <w:r>
        <w:rPr>
          <w:sz w:val="24"/>
        </w:rPr>
        <w:t>.</w:t>
      </w:r>
      <w:r>
        <w:rPr>
          <w:rFonts w:hint="eastAsia"/>
          <w:sz w:val="24"/>
          <w:lang w:val="en-US" w:eastAsia="zh-CN"/>
        </w:rPr>
        <w:t>3</w:t>
      </w:r>
      <w:r>
        <w:rPr>
          <w:sz w:val="24"/>
        </w:rPr>
        <w:t xml:space="preserve"> 为保障本合同的顺利完成，甲方指定项目负责人：</w:t>
      </w:r>
      <w:r>
        <w:rPr>
          <w:sz w:val="24"/>
          <w:u w:val="single"/>
        </w:rPr>
        <w:t xml:space="preserve">    </w:t>
      </w:r>
      <w:r>
        <w:rPr>
          <w:sz w:val="24"/>
        </w:rPr>
        <w:t>，联系电话</w:t>
      </w:r>
      <w:r>
        <w:rPr>
          <w:sz w:val="24"/>
          <w:u w:val="single"/>
        </w:rPr>
        <w:t xml:space="preserve">：     </w:t>
      </w:r>
      <w:r>
        <w:rPr>
          <w:sz w:val="24"/>
        </w:rPr>
        <w:t>；乙方指定项目负责人：</w:t>
      </w:r>
      <w:r>
        <w:rPr>
          <w:sz w:val="24"/>
          <w:u w:val="single"/>
        </w:rPr>
        <w:t xml:space="preserve">    </w:t>
      </w:r>
      <w:r>
        <w:rPr>
          <w:sz w:val="24"/>
        </w:rPr>
        <w:t>，联系电话：</w:t>
      </w:r>
      <w:r>
        <w:rPr>
          <w:sz w:val="24"/>
          <w:u w:val="single"/>
        </w:rPr>
        <w:t xml:space="preserve">   </w:t>
      </w:r>
      <w:r>
        <w:rPr>
          <w:sz w:val="24"/>
        </w:rPr>
        <w:t>。乙方更换项目负责人须及时书面通知甲方，在取得委托人的书面同意后更换。</w:t>
      </w:r>
    </w:p>
    <w:p>
      <w:pPr>
        <w:widowControl/>
        <w:spacing w:line="360" w:lineRule="auto"/>
        <w:ind w:firstLine="480" w:firstLineChars="200"/>
        <w:rPr>
          <w:sz w:val="24"/>
        </w:rPr>
      </w:pPr>
      <w:r>
        <w:rPr>
          <w:sz w:val="24"/>
        </w:rPr>
        <w:t>1</w:t>
      </w:r>
      <w:r>
        <w:rPr>
          <w:rFonts w:hint="eastAsia"/>
          <w:sz w:val="24"/>
        </w:rPr>
        <w:t>3</w:t>
      </w:r>
      <w:r>
        <w:rPr>
          <w:sz w:val="24"/>
        </w:rPr>
        <w:t>.</w:t>
      </w:r>
      <w:r>
        <w:rPr>
          <w:rFonts w:hint="eastAsia"/>
          <w:sz w:val="24"/>
          <w:lang w:val="en-US" w:eastAsia="zh-CN"/>
        </w:rPr>
        <w:t>4</w:t>
      </w:r>
      <w:r>
        <w:rPr>
          <w:sz w:val="24"/>
        </w:rPr>
        <w:t xml:space="preserve"> 本合同经双方法定代表人或其委托代理人签字并加盖合同章后生效，履行完成合同规定的义务后自然终止。</w:t>
      </w:r>
    </w:p>
    <w:p>
      <w:pPr>
        <w:widowControl/>
        <w:spacing w:line="360" w:lineRule="auto"/>
        <w:ind w:firstLine="480" w:firstLineChars="200"/>
        <w:rPr>
          <w:sz w:val="24"/>
        </w:rPr>
      </w:pPr>
      <w:r>
        <w:rPr>
          <w:sz w:val="24"/>
        </w:rPr>
        <w:t>1</w:t>
      </w:r>
      <w:r>
        <w:rPr>
          <w:rFonts w:hint="eastAsia"/>
          <w:sz w:val="24"/>
        </w:rPr>
        <w:t>3</w:t>
      </w:r>
      <w:r>
        <w:rPr>
          <w:sz w:val="24"/>
        </w:rPr>
        <w:t>.</w:t>
      </w:r>
      <w:r>
        <w:rPr>
          <w:rFonts w:hint="eastAsia"/>
          <w:sz w:val="24"/>
          <w:lang w:val="en-US" w:eastAsia="zh-CN"/>
        </w:rPr>
        <w:t>5</w:t>
      </w:r>
      <w:r>
        <w:rPr>
          <w:sz w:val="24"/>
        </w:rPr>
        <w:t xml:space="preserve"> 本合同附件及合同执行过程中双方签署的协议是本合同不可分割的一部分，与本合同具有同等效力。</w:t>
      </w:r>
    </w:p>
    <w:p>
      <w:pPr>
        <w:tabs>
          <w:tab w:val="left" w:pos="1800"/>
        </w:tabs>
        <w:spacing w:line="360" w:lineRule="auto"/>
        <w:ind w:firstLine="482" w:firstLineChars="200"/>
        <w:rPr>
          <w:b/>
          <w:bCs/>
          <w:sz w:val="24"/>
        </w:rPr>
      </w:pPr>
      <w:bookmarkStart w:id="139" w:name="_Toc22488"/>
      <w:bookmarkStart w:id="140" w:name="_Toc28375"/>
      <w:bookmarkStart w:id="141" w:name="_Toc31970"/>
      <w:r>
        <w:rPr>
          <w:rFonts w:hint="eastAsia"/>
          <w:b/>
          <w:bCs/>
          <w:sz w:val="24"/>
        </w:rPr>
        <w:t>14</w:t>
      </w:r>
      <w:r>
        <w:rPr>
          <w:b/>
          <w:bCs/>
          <w:sz w:val="24"/>
        </w:rPr>
        <w:t>.其他</w:t>
      </w:r>
      <w:bookmarkEnd w:id="139"/>
      <w:bookmarkEnd w:id="140"/>
      <w:bookmarkEnd w:id="141"/>
    </w:p>
    <w:p>
      <w:pPr>
        <w:widowControl/>
        <w:spacing w:line="360" w:lineRule="auto"/>
        <w:ind w:firstLine="480" w:firstLineChars="200"/>
        <w:rPr>
          <w:sz w:val="24"/>
        </w:rPr>
      </w:pPr>
      <w:r>
        <w:rPr>
          <w:rFonts w:hint="eastAsia"/>
          <w:sz w:val="24"/>
        </w:rPr>
        <w:t>14</w:t>
      </w:r>
      <w:r>
        <w:rPr>
          <w:sz w:val="24"/>
        </w:rPr>
        <w:t>.1未尽事宜，双方另行商签订补充协议，补充协议与本合同具有同等效力。</w:t>
      </w:r>
    </w:p>
    <w:p>
      <w:pPr>
        <w:widowControl/>
        <w:spacing w:line="360" w:lineRule="auto"/>
        <w:ind w:firstLine="480" w:firstLineChars="200"/>
        <w:rPr>
          <w:sz w:val="24"/>
        </w:rPr>
      </w:pPr>
      <w:r>
        <w:rPr>
          <w:rFonts w:hint="eastAsia"/>
          <w:sz w:val="24"/>
        </w:rPr>
        <w:t>14.2 本合同及技术协议书中“包含”应理解为“包含但不限于”。</w:t>
      </w:r>
    </w:p>
    <w:p>
      <w:pPr>
        <w:widowControl/>
        <w:spacing w:line="360" w:lineRule="auto"/>
        <w:ind w:firstLine="480" w:firstLineChars="200"/>
        <w:rPr>
          <w:sz w:val="24"/>
        </w:rPr>
      </w:pPr>
      <w:r>
        <w:rPr>
          <w:sz w:val="24"/>
        </w:rPr>
        <w:t>1</w:t>
      </w:r>
      <w:r>
        <w:rPr>
          <w:rFonts w:hint="eastAsia"/>
          <w:sz w:val="24"/>
        </w:rPr>
        <w:t>4</w:t>
      </w:r>
      <w:r>
        <w:rPr>
          <w:sz w:val="24"/>
        </w:rPr>
        <w:t>.2本合同一式</w:t>
      </w:r>
      <w:r>
        <w:rPr>
          <w:rFonts w:hint="eastAsia"/>
          <w:sz w:val="24"/>
        </w:rPr>
        <w:t>6</w:t>
      </w:r>
      <w:r>
        <w:rPr>
          <w:sz w:val="24"/>
        </w:rPr>
        <w:t>份，其中甲方执</w:t>
      </w:r>
      <w:r>
        <w:rPr>
          <w:rFonts w:hint="eastAsia"/>
          <w:sz w:val="24"/>
        </w:rPr>
        <w:t>4</w:t>
      </w:r>
      <w:r>
        <w:rPr>
          <w:sz w:val="24"/>
        </w:rPr>
        <w:t>份；乙方执2份。</w:t>
      </w:r>
    </w:p>
    <w:p>
      <w:pPr>
        <w:spacing w:line="360" w:lineRule="auto"/>
        <w:ind w:firstLine="480" w:firstLineChars="200"/>
        <w:rPr>
          <w:rFonts w:ascii="宋体" w:hAnsi="宋体" w:cs="宋体"/>
          <w:kern w:val="0"/>
          <w:sz w:val="24"/>
        </w:rPr>
      </w:pPr>
    </w:p>
    <w:p>
      <w:pPr>
        <w:spacing w:line="360" w:lineRule="auto"/>
        <w:ind w:firstLine="480" w:firstLineChars="200"/>
        <w:rPr>
          <w:rFonts w:ascii="宋体" w:hAnsi="宋体" w:cs="宋体"/>
          <w:color w:val="000000"/>
          <w:sz w:val="24"/>
        </w:rPr>
      </w:pPr>
      <w:r>
        <w:rPr>
          <w:rFonts w:hint="eastAsia" w:ascii="宋体" w:hAnsi="宋体" w:cs="宋体"/>
          <w:color w:val="000000"/>
          <w:sz w:val="24"/>
        </w:rPr>
        <w:t xml:space="preserve">（下无正文） </w:t>
      </w:r>
    </w:p>
    <w:p>
      <w:pPr>
        <w:spacing w:line="360" w:lineRule="auto"/>
        <w:rPr>
          <w:rFonts w:hint="eastAsia" w:ascii="宋体" w:hAnsi="宋体" w:cs="宋体"/>
          <w:kern w:val="0"/>
          <w:sz w:val="24"/>
        </w:rPr>
      </w:pPr>
    </w:p>
    <w:p>
      <w:pPr>
        <w:spacing w:line="360" w:lineRule="auto"/>
        <w:rPr>
          <w:rFonts w:hint="eastAsia" w:ascii="宋体" w:hAnsi="宋体" w:cs="宋体"/>
          <w:kern w:val="0"/>
          <w:sz w:val="24"/>
        </w:rPr>
      </w:pPr>
    </w:p>
    <w:p>
      <w:pPr>
        <w:spacing w:line="360" w:lineRule="auto"/>
        <w:rPr>
          <w:rFonts w:hint="eastAsia" w:ascii="宋体" w:hAnsi="宋体" w:cs="宋体"/>
          <w:kern w:val="0"/>
          <w:sz w:val="24"/>
        </w:rPr>
      </w:pPr>
    </w:p>
    <w:p>
      <w:pPr>
        <w:spacing w:line="360" w:lineRule="auto"/>
        <w:rPr>
          <w:rFonts w:cs="Calibri"/>
          <w:b/>
          <w:sz w:val="24"/>
        </w:rPr>
      </w:pPr>
      <w:r>
        <w:rPr>
          <w:rFonts w:hint="eastAsia" w:ascii="宋体" w:hAnsi="宋体" w:cs="宋体"/>
          <w:kern w:val="0"/>
          <w:sz w:val="24"/>
        </w:rPr>
        <w:t>（本页无正文，为双方签字页）</w:t>
      </w:r>
    </w:p>
    <w:p>
      <w:pPr>
        <w:widowControl/>
        <w:spacing w:line="520" w:lineRule="exact"/>
        <w:rPr>
          <w:rFonts w:hint="eastAsia" w:ascii="宋体" w:hAnsi="宋体" w:eastAsia="宋体" w:cs="Times New Roman"/>
          <w:b/>
          <w:bCs/>
        </w:rPr>
      </w:pPr>
    </w:p>
    <w:p>
      <w:pPr>
        <w:widowControl/>
        <w:spacing w:line="520" w:lineRule="exact"/>
        <w:rPr>
          <w:rFonts w:ascii="宋体" w:hAnsi="宋体" w:cs="宋体"/>
          <w:sz w:val="24"/>
          <w:szCs w:val="24"/>
        </w:rPr>
      </w:pPr>
      <w:r>
        <w:rPr>
          <w:rFonts w:hint="eastAsia" w:ascii="宋体" w:hAnsi="宋体" w:cs="宋体"/>
          <w:sz w:val="24"/>
          <w:szCs w:val="24"/>
        </w:rPr>
        <w:t>甲方（盖章）：云南能投曲靖发电有限公司       乙方（盖章）：</w:t>
      </w:r>
    </w:p>
    <w:p>
      <w:pPr>
        <w:widowControl/>
        <w:spacing w:line="520" w:lineRule="exact"/>
        <w:rPr>
          <w:rFonts w:hint="eastAsia" w:ascii="宋体" w:hAnsi="宋体" w:cs="宋体"/>
          <w:sz w:val="24"/>
          <w:szCs w:val="24"/>
        </w:rPr>
      </w:pPr>
    </w:p>
    <w:p>
      <w:pPr>
        <w:widowControl/>
        <w:spacing w:line="520" w:lineRule="exact"/>
        <w:rPr>
          <w:rFonts w:ascii="宋体" w:hAnsi="宋体" w:cs="宋体"/>
          <w:sz w:val="24"/>
          <w:szCs w:val="24"/>
        </w:rPr>
      </w:pPr>
      <w:r>
        <w:rPr>
          <w:rFonts w:hint="eastAsia" w:ascii="宋体" w:hAnsi="宋体" w:cs="宋体"/>
          <w:sz w:val="24"/>
          <w:szCs w:val="24"/>
        </w:rPr>
        <w:t>法定代表人：                                法定代表人：</w:t>
      </w:r>
    </w:p>
    <w:p>
      <w:pPr>
        <w:widowControl/>
        <w:spacing w:line="520" w:lineRule="exact"/>
        <w:rPr>
          <w:rFonts w:hint="eastAsia" w:ascii="宋体" w:hAnsi="宋体" w:cs="宋体"/>
          <w:sz w:val="24"/>
          <w:szCs w:val="24"/>
        </w:rPr>
      </w:pPr>
    </w:p>
    <w:p>
      <w:pPr>
        <w:widowControl/>
        <w:spacing w:line="520" w:lineRule="exact"/>
        <w:rPr>
          <w:rFonts w:ascii="宋体" w:hAnsi="宋体" w:cs="宋体"/>
          <w:sz w:val="24"/>
          <w:szCs w:val="24"/>
        </w:rPr>
      </w:pPr>
      <w:r>
        <w:rPr>
          <w:rFonts w:hint="eastAsia" w:ascii="宋体" w:hAnsi="宋体" w:cs="宋体"/>
          <w:sz w:val="24"/>
          <w:szCs w:val="24"/>
        </w:rPr>
        <w:t>或委托代理人：                              或委托代理人：</w:t>
      </w:r>
    </w:p>
    <w:p>
      <w:pPr>
        <w:widowControl/>
        <w:spacing w:line="520" w:lineRule="exact"/>
        <w:rPr>
          <w:rFonts w:ascii="宋体" w:hAnsi="宋体" w:cs="宋体"/>
          <w:sz w:val="24"/>
          <w:szCs w:val="24"/>
        </w:rPr>
      </w:pPr>
      <w:r>
        <w:rPr>
          <w:rFonts w:hint="eastAsia" w:ascii="宋体" w:hAnsi="宋体" w:cs="宋体"/>
          <w:sz w:val="24"/>
          <w:szCs w:val="24"/>
        </w:rPr>
        <w:t>联系人：贾艳艳                              联系人：</w:t>
      </w:r>
    </w:p>
    <w:p>
      <w:pPr>
        <w:widowControl/>
        <w:spacing w:line="520" w:lineRule="exact"/>
        <w:rPr>
          <w:rFonts w:ascii="宋体" w:hAnsi="宋体" w:cs="宋体"/>
          <w:sz w:val="24"/>
          <w:szCs w:val="24"/>
        </w:rPr>
      </w:pPr>
      <w:r>
        <w:rPr>
          <w:rFonts w:hint="eastAsia" w:ascii="宋体" w:hAnsi="宋体" w:cs="宋体"/>
          <w:sz w:val="24"/>
          <w:szCs w:val="24"/>
        </w:rPr>
        <w:t>电话：0874-3080192                           电话：</w:t>
      </w:r>
    </w:p>
    <w:p>
      <w:pPr>
        <w:widowControl/>
        <w:spacing w:line="520" w:lineRule="exact"/>
        <w:rPr>
          <w:rFonts w:ascii="宋体" w:hAnsi="宋体" w:cs="宋体"/>
          <w:sz w:val="24"/>
          <w:szCs w:val="24"/>
        </w:rPr>
      </w:pPr>
      <w:r>
        <w:rPr>
          <w:rFonts w:hint="eastAsia" w:ascii="宋体" w:hAnsi="宋体" w:cs="宋体"/>
          <w:sz w:val="24"/>
          <w:szCs w:val="24"/>
        </w:rPr>
        <w:t>地址：曲靖市麒麟区南宁北路127号             地址：</w:t>
      </w:r>
    </w:p>
    <w:p>
      <w:pPr>
        <w:widowControl/>
        <w:spacing w:line="520" w:lineRule="exact"/>
        <w:rPr>
          <w:rFonts w:ascii="宋体" w:hAnsi="宋体" w:cs="宋体"/>
          <w:sz w:val="24"/>
          <w:szCs w:val="24"/>
        </w:rPr>
      </w:pPr>
      <w:r>
        <w:rPr>
          <w:rFonts w:hint="eastAsia" w:ascii="宋体" w:hAnsi="宋体" w:cs="宋体"/>
          <w:sz w:val="24"/>
          <w:szCs w:val="24"/>
        </w:rPr>
        <w:t>开户行：中国民生银行曲靖分行营业部           开户行：</w:t>
      </w:r>
    </w:p>
    <w:p>
      <w:pPr>
        <w:widowControl/>
        <w:spacing w:line="520" w:lineRule="exact"/>
        <w:rPr>
          <w:rFonts w:ascii="宋体" w:hAnsi="宋体" w:cs="宋体"/>
          <w:sz w:val="24"/>
          <w:szCs w:val="24"/>
        </w:rPr>
      </w:pPr>
      <w:r>
        <w:rPr>
          <w:rFonts w:hint="eastAsia" w:ascii="宋体" w:hAnsi="宋体" w:cs="宋体"/>
          <w:sz w:val="24"/>
          <w:szCs w:val="24"/>
        </w:rPr>
        <w:t>帐号：692475547                               帐号：</w:t>
      </w:r>
    </w:p>
    <w:p>
      <w:pPr>
        <w:widowControl/>
        <w:spacing w:line="520" w:lineRule="exact"/>
        <w:rPr>
          <w:rFonts w:ascii="宋体" w:hAnsi="宋体" w:cs="宋体"/>
          <w:sz w:val="24"/>
          <w:szCs w:val="24"/>
        </w:rPr>
      </w:pPr>
      <w:r>
        <w:rPr>
          <w:rFonts w:hint="eastAsia" w:ascii="宋体" w:hAnsi="宋体" w:cs="宋体"/>
          <w:sz w:val="24"/>
          <w:szCs w:val="24"/>
        </w:rPr>
        <w:t>税号：915303007535531287                      税号：</w:t>
      </w:r>
    </w:p>
    <w:p>
      <w:pPr>
        <w:widowControl/>
        <w:spacing w:line="520" w:lineRule="exact"/>
        <w:rPr>
          <w:rFonts w:ascii="宋体" w:hAnsi="宋体" w:cs="宋体"/>
          <w:sz w:val="24"/>
          <w:szCs w:val="24"/>
        </w:rPr>
      </w:pPr>
      <w:r>
        <w:rPr>
          <w:rFonts w:hint="eastAsia" w:ascii="宋体" w:hAnsi="宋体" w:cs="宋体"/>
          <w:sz w:val="24"/>
          <w:szCs w:val="24"/>
        </w:rPr>
        <w:t>签订日期：2025年 月  日                      签订地点：曲靖市沾益区</w:t>
      </w:r>
    </w:p>
    <w:p>
      <w:pPr>
        <w:tabs>
          <w:tab w:val="left" w:pos="-200"/>
        </w:tabs>
        <w:adjustRightInd w:val="0"/>
        <w:snapToGrid w:val="0"/>
        <w:spacing w:line="460" w:lineRule="exact"/>
        <w:ind w:firstLine="632" w:firstLineChars="300"/>
        <w:rPr>
          <w:rFonts w:ascii="宋体" w:hAnsi="宋体" w:eastAsia="宋体" w:cs="Times New Roman"/>
          <w:b/>
          <w:bCs/>
        </w:rPr>
      </w:pPr>
    </w:p>
    <w:p>
      <w:pPr>
        <w:jc w:val="left"/>
        <w:rPr>
          <w:rFonts w:ascii="宋体" w:hAnsi="宋体"/>
        </w:rPr>
        <w:sectPr>
          <w:pgSz w:w="11906" w:h="16838"/>
          <w:pgMar w:top="1440" w:right="1080" w:bottom="1440" w:left="1080" w:header="851" w:footer="851" w:gutter="0"/>
          <w:cols w:space="720" w:num="1"/>
          <w:docGrid w:linePitch="312" w:charSpace="0"/>
        </w:sectPr>
      </w:pPr>
    </w:p>
    <w:bookmarkEnd w:id="72"/>
    <w:p>
      <w:pPr>
        <w:widowControl/>
        <w:ind w:firstLine="420"/>
        <w:jc w:val="left"/>
        <w:rPr>
          <w:rFonts w:ascii="宋体" w:hAnsi="宋体" w:eastAsia="宋体" w:cs="Times New Roman"/>
          <w:kern w:val="0"/>
          <w:sz w:val="18"/>
          <w:szCs w:val="20"/>
        </w:rPr>
      </w:pPr>
    </w:p>
    <w:p>
      <w:pPr>
        <w:widowControl/>
        <w:spacing w:line="360" w:lineRule="auto"/>
        <w:jc w:val="left"/>
        <w:textAlignment w:val="baseline"/>
        <w:rPr>
          <w:rFonts w:ascii="宋体" w:hAnsi="宋体" w:eastAsia="宋体" w:cs="宋体"/>
          <w:b/>
          <w:bCs/>
          <w:szCs w:val="21"/>
        </w:rPr>
      </w:pPr>
      <w:r>
        <w:rPr>
          <w:rFonts w:hint="eastAsia" w:ascii="宋体" w:hAnsi="宋体" w:eastAsia="宋体" w:cs="宋体"/>
          <w:b/>
          <w:bCs/>
          <w:szCs w:val="21"/>
        </w:rPr>
        <w:t>附件一：</w:t>
      </w:r>
    </w:p>
    <w:p>
      <w:pPr>
        <w:spacing w:line="500" w:lineRule="exact"/>
        <w:jc w:val="center"/>
        <w:textAlignment w:val="baseline"/>
        <w:rPr>
          <w:rFonts w:ascii="宋体" w:hAnsi="宋体" w:eastAsia="宋体" w:cs="宋体"/>
          <w:b/>
          <w:sz w:val="24"/>
          <w:szCs w:val="24"/>
        </w:rPr>
      </w:pPr>
      <w:r>
        <w:rPr>
          <w:rFonts w:hint="eastAsia" w:ascii="宋体" w:hAnsi="宋体" w:eastAsia="宋体" w:cs="宋体"/>
          <w:b/>
          <w:sz w:val="24"/>
          <w:szCs w:val="24"/>
        </w:rPr>
        <w:t>合规与廉洁合同</w:t>
      </w:r>
    </w:p>
    <w:p>
      <w:pPr>
        <w:adjustRightInd w:val="0"/>
        <w:snapToGrid w:val="0"/>
        <w:spacing w:line="360" w:lineRule="auto"/>
        <w:ind w:right="-314"/>
        <w:rPr>
          <w:rFonts w:ascii="宋体" w:hAnsi="宋体" w:eastAsia="宋体" w:cs="宋体"/>
          <w:bCs/>
          <w:sz w:val="24"/>
          <w:szCs w:val="24"/>
        </w:rPr>
      </w:pPr>
      <w:r>
        <w:rPr>
          <w:rFonts w:hint="eastAsia" w:ascii="宋体" w:hAnsi="宋体" w:eastAsia="宋体" w:cs="宋体"/>
          <w:bCs/>
          <w:sz w:val="24"/>
          <w:szCs w:val="24"/>
        </w:rPr>
        <w:t>项目名称：</w:t>
      </w:r>
      <w:r>
        <w:rPr>
          <w:rFonts w:hint="eastAsia" w:ascii="宋体" w:hAnsi="宋体" w:eastAsia="宋体" w:cs="宋体"/>
          <w:sz w:val="24"/>
          <w:szCs w:val="24"/>
        </w:rPr>
        <w:t>云南能投曲靖发电有限公司三期扩建项目可行性研究报告编制服务项目</w:t>
      </w:r>
    </w:p>
    <w:p>
      <w:pPr>
        <w:spacing w:line="360" w:lineRule="auto"/>
        <w:textAlignment w:val="baseline"/>
        <w:rPr>
          <w:rFonts w:ascii="宋体" w:hAnsi="宋体" w:eastAsia="宋体" w:cs="宋体"/>
          <w:bCs/>
          <w:sz w:val="24"/>
          <w:szCs w:val="24"/>
        </w:rPr>
      </w:pPr>
      <w:r>
        <w:rPr>
          <w:rFonts w:hint="eastAsia" w:ascii="宋体" w:hAnsi="宋体" w:eastAsia="宋体" w:cs="宋体"/>
          <w:bCs/>
          <w:sz w:val="24"/>
          <w:szCs w:val="24"/>
        </w:rPr>
        <w:t>合同编号：</w:t>
      </w:r>
      <w:r>
        <w:rPr>
          <w:rFonts w:hint="eastAsia" w:ascii="宋体" w:hAnsi="宋体" w:eastAsia="宋体" w:cs="宋体"/>
          <w:sz w:val="24"/>
          <w:szCs w:val="24"/>
        </w:rPr>
        <w:t xml:space="preserve"> </w:t>
      </w:r>
    </w:p>
    <w:p>
      <w:pPr>
        <w:adjustRightInd w:val="0"/>
        <w:snapToGrid w:val="0"/>
        <w:spacing w:line="360" w:lineRule="auto"/>
        <w:ind w:right="-314"/>
        <w:rPr>
          <w:rFonts w:ascii="宋体" w:hAnsi="宋体" w:eastAsia="宋体" w:cs="宋体"/>
          <w:bCs/>
          <w:sz w:val="24"/>
          <w:szCs w:val="24"/>
        </w:rPr>
      </w:pPr>
      <w:r>
        <w:rPr>
          <w:rFonts w:hint="eastAsia" w:ascii="宋体" w:hAnsi="宋体" w:eastAsia="宋体" w:cs="宋体"/>
          <w:bCs/>
          <w:sz w:val="24"/>
          <w:szCs w:val="24"/>
        </w:rPr>
        <w:t>甲方：</w:t>
      </w:r>
      <w:r>
        <w:rPr>
          <w:rFonts w:hint="eastAsia" w:ascii="宋体" w:hAnsi="宋体" w:eastAsia="宋体" w:cs="宋体"/>
          <w:sz w:val="24"/>
          <w:szCs w:val="24"/>
        </w:rPr>
        <w:t>云南能投曲靖发电有限公司</w:t>
      </w:r>
    </w:p>
    <w:p>
      <w:pPr>
        <w:adjustRightInd w:val="0"/>
        <w:snapToGrid w:val="0"/>
        <w:spacing w:line="360" w:lineRule="auto"/>
        <w:ind w:right="-314"/>
        <w:rPr>
          <w:rFonts w:ascii="宋体" w:hAnsi="宋体" w:eastAsia="宋体" w:cs="宋体"/>
          <w:sz w:val="24"/>
          <w:szCs w:val="24"/>
          <w:u w:val="single"/>
        </w:rPr>
      </w:pPr>
      <w:r>
        <w:rPr>
          <w:rFonts w:hint="eastAsia" w:ascii="宋体" w:hAnsi="宋体" w:eastAsia="宋体" w:cs="宋体"/>
          <w:bCs/>
          <w:sz w:val="24"/>
          <w:szCs w:val="24"/>
        </w:rPr>
        <w:t>乙方：</w:t>
      </w:r>
      <w:r>
        <w:rPr>
          <w:rFonts w:hint="eastAsia" w:ascii="宋体" w:hAnsi="宋体" w:eastAsia="宋体" w:cs="宋体"/>
          <w:sz w:val="24"/>
          <w:szCs w:val="24"/>
          <w:u w:val="single"/>
        </w:rPr>
        <w:t xml:space="preserve">                        </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为促进甲乙双方在项目中合规高效合作，避免贸易风险，规范双方的合同执行工作，增强互信和合作透明度，按照《中华人民共和国民法典》《中华人民共和国反不正当竞争法》和中华人民共和国其他有关法律法规、行业规范规定、相关的国际贸易合规政策和惯例，经甲乙双方协商一致，双方承诺将严格遵守并执行以下条款：</w:t>
      </w:r>
    </w:p>
    <w:p>
      <w:pPr>
        <w:adjustRightInd w:val="0"/>
        <w:snapToGrid w:val="0"/>
        <w:spacing w:line="440" w:lineRule="exact"/>
        <w:ind w:firstLine="482" w:firstLineChars="200"/>
        <w:rPr>
          <w:rFonts w:ascii="宋体" w:hAnsi="宋体" w:eastAsia="宋体" w:cs="宋体"/>
          <w:b/>
          <w:sz w:val="24"/>
          <w:szCs w:val="24"/>
        </w:rPr>
      </w:pPr>
      <w:r>
        <w:rPr>
          <w:rFonts w:hint="eastAsia" w:ascii="宋体" w:hAnsi="宋体" w:eastAsia="宋体" w:cs="宋体"/>
          <w:b/>
          <w:sz w:val="24"/>
          <w:szCs w:val="24"/>
        </w:rPr>
        <w:t>一、甲乙双方应当共同遵守中华人民共和国的法律法规，以及各项关于合规管理、党风廉政、廉洁从业等规定。</w:t>
      </w:r>
    </w:p>
    <w:p>
      <w:pPr>
        <w:adjustRightInd w:val="0"/>
        <w:snapToGrid w:val="0"/>
        <w:spacing w:line="440" w:lineRule="exact"/>
        <w:ind w:firstLine="482" w:firstLineChars="200"/>
        <w:rPr>
          <w:rFonts w:ascii="宋体" w:hAnsi="宋体" w:eastAsia="宋体" w:cs="宋体"/>
          <w:b/>
          <w:sz w:val="24"/>
          <w:szCs w:val="24"/>
        </w:rPr>
      </w:pPr>
      <w:r>
        <w:rPr>
          <w:rFonts w:hint="eastAsia" w:ascii="宋体" w:hAnsi="宋体" w:eastAsia="宋体" w:cs="宋体"/>
          <w:b/>
          <w:sz w:val="24"/>
          <w:szCs w:val="24"/>
        </w:rPr>
        <w:t>二、甲方及其工作人员的责任和义务。</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（一）甲方应向乙方介绍或提供本单位的有关合规管理与廉洁从业的各项制度和规定。</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二）甲方对本单位项目相关岗位所有人员进行合规与廉洁从业教育；监督甲方人员在本单位项目各环节中严格遵守合规与廉洁从业的有关规定，如发现有违反规定的，除给予当事人批评教育外，视情节轻重，给予相应的经济处罚或纪律处分。</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（三）甲方人员在项目执行过程中发现乙方单位有不合规或违反廉洁从业的行为，应及时采取措施，终止其不合规行为的继续发生，并报告主管领导。</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（四）甲方对任何形式的腐败行为持“零容忍”态度。</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五）甲方工作人员（含家属、子女，下同）不得以任何形式向乙方索要赞助和收受回扣等好处费。甲方工作人员应当保持与乙方的正常业务交往，不得接受乙方的礼金、有价证券和贵重物品，难以拒收的，必须按有关规定登记上交；不得向乙方索要（或接受）通讯工具、交通工具、家电及高档办公用品，不得为乙方报销任何应由单位或个人支付的费用，不得利用企业的商业秘密、业务渠道为自己或他人从事牟利活动。</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（六）甲方工作人员不得参加可能影响公正履行职责的宴请和高消费的娱乐活动。</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（七）甲方工作人员不得要求或者接受乙方为其住房装修、婚丧嫁娶、家属和子女的工作安排，以及出国出境提供方便。</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（八）甲方工作人员不得以考察、参观等名义参加乙方安排的国内外旅游活动。</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（九）甲方工作人员不得向乙方介绍家属或亲友从事与甲方工程建设有关的材料设备供应、工程分包等经济活动。</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（十）甲方工作人员不得有其他违纪违法行为。</w:t>
      </w:r>
    </w:p>
    <w:p>
      <w:pPr>
        <w:adjustRightInd w:val="0"/>
        <w:snapToGrid w:val="0"/>
        <w:spacing w:line="440" w:lineRule="exact"/>
        <w:ind w:firstLine="482" w:firstLineChars="200"/>
        <w:rPr>
          <w:rFonts w:ascii="宋体" w:hAnsi="宋体" w:eastAsia="宋体" w:cs="宋体"/>
          <w:b/>
          <w:sz w:val="24"/>
          <w:szCs w:val="24"/>
        </w:rPr>
      </w:pPr>
      <w:r>
        <w:rPr>
          <w:rFonts w:hint="eastAsia" w:ascii="宋体" w:hAnsi="宋体" w:eastAsia="宋体" w:cs="宋体"/>
          <w:b/>
          <w:sz w:val="24"/>
          <w:szCs w:val="24"/>
        </w:rPr>
        <w:t>三、乙方及其工作人员的责任和义务</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（一）乙方应了解甲方单位有关合规管理及廉洁从业的各项制度和规定，支持甲方执行有关规定和制度。</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（二）乙方有义务对本单位项目相关所有人员进行合规及廉洁从业教育。</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（三）乙方应当通过正常途径开展业务工作，不得为获取某些不正当利益而向甲方工作人员（含家属、子女下同）赠送礼金、有价证券和贵重物品等。</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（四）乙方不得以洽谈业务、签订合同等为借口，邀请甲方工作人员外出旅游或进入营业性高档娱乐场所。</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（五）乙方不得为甲方单位和个人购置或者提供通信工具、交通工具、家电及高档办公用品等物品。</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（六）乙方不得对甲方单位和个人行贿、变相行贿以及报销应由其个人支付的费用。</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（七）乙方不得为甲方单位和个人在贵方入股、参股、兼职等为其个人牟利提供便利。</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（八）乙方不得向甲方单位和个人提供其他涉及违纪违法的活动事项。</w:t>
      </w:r>
    </w:p>
    <w:p>
      <w:pPr>
        <w:adjustRightInd w:val="0"/>
        <w:snapToGrid w:val="0"/>
        <w:spacing w:line="440" w:lineRule="exact"/>
        <w:ind w:firstLine="482" w:firstLineChars="200"/>
        <w:rPr>
          <w:rFonts w:ascii="宋体" w:hAnsi="宋体" w:eastAsia="宋体" w:cs="宋体"/>
          <w:b/>
          <w:sz w:val="24"/>
          <w:szCs w:val="24"/>
        </w:rPr>
      </w:pPr>
      <w:r>
        <w:rPr>
          <w:rFonts w:hint="eastAsia" w:ascii="宋体" w:hAnsi="宋体" w:eastAsia="宋体" w:cs="宋体"/>
          <w:b/>
          <w:sz w:val="24"/>
          <w:szCs w:val="24"/>
        </w:rPr>
        <w:t>四、违约责任</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一）甲方发现乙方及其工作人员有违反本合同约定的行为或者采用其他不正当的手段行贿甲方工作人员的，甲方应向乙方上级领导或有关部门举报，由此给甲方单位造成的损失均由乙方承担。同时，甲方按照相关规定将把乙方列入“黑名单”。情节严重的，移送地方纪委或司法机关处理。</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二）乙方发现甲方及其工作人员有违反本合同约定内容者，应及时采取措施，终止其不合规行为的继续发生，并及时向甲方纪委、纪检部门或者甲方上级单位举报，甲方不得找任何借口对乙方进行报复或刁难、延误工作。情节严重的，移送甲方上级纪委或司法机关处理。</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（三）乙方在项目执行过程中，因贿赂甲方工作人员被司法处理的，甲方有权取消或终止工程项目施工合同／物资采购合同，由此给甲方单位造成的损失均由乙方单位承担，同时承担经济赔偿责任。</w:t>
      </w:r>
    </w:p>
    <w:p>
      <w:pPr>
        <w:adjustRightInd w:val="0"/>
        <w:snapToGrid w:val="0"/>
        <w:spacing w:line="440" w:lineRule="exact"/>
        <w:ind w:firstLine="482" w:firstLineChars="200"/>
        <w:rPr>
          <w:rFonts w:ascii="宋体" w:hAnsi="宋体" w:eastAsia="宋体" w:cs="宋体"/>
          <w:b/>
          <w:sz w:val="24"/>
          <w:szCs w:val="24"/>
        </w:rPr>
      </w:pPr>
      <w:r>
        <w:rPr>
          <w:rFonts w:hint="eastAsia" w:ascii="宋体" w:hAnsi="宋体" w:eastAsia="宋体" w:cs="宋体"/>
          <w:b/>
          <w:sz w:val="24"/>
          <w:szCs w:val="24"/>
        </w:rPr>
        <w:t>五、保密条款</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（一）定义</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保密信息：指任何一方在合作过程中向另一方披露的、由披露方明示或暗示要求保密的任何形式的信息、数据、文件、资料等，包括但不限于公司规定、商业计划、技术资料、客户信息、财务数据、市场分析、产品设计、研发成果、内部报告、商业秘密等。</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接收方：指接收保密信息的甲方或乙方。</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披露方：指向接收方披露保密信息的甲方或乙方。</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（二）保密义务</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双方同意对项目合作过程中获得的对方保密信息承担严格的保密义务，并采取一切必要措施保护保密信息不被泄露、丢失、滥用或未经授权的访问。</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除非事先得到披露方的书面同意，接收方不得将保密信息披露给任何第三方，包括但不限于其关联公司、合作伙伴、员工、顾问、代理人等。</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接收方只能在为实现合作目的所必需的范围内使用保密信息，并确保其使用的保密信息不被用于任何未经披露方授权的目的。</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双方应确保其员工、顾问、代理人等遵守本协议的保密义务，并采取适当措施监督和约束其行为。</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（三）保密期限</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保密义务自双方签署本合同之日起生效，直至保密信息进入公众领域（通过合法途径公开发布）或双方书面同意解除本协议。</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（四）例外情况</w:t>
      </w:r>
    </w:p>
    <w:p>
      <w:pPr>
        <w:numPr>
          <w:ilvl w:val="0"/>
          <w:numId w:val="3"/>
        </w:numPr>
        <w:adjustRightInd w:val="0"/>
        <w:snapToGrid w:val="0"/>
        <w:spacing w:line="440" w:lineRule="exact"/>
        <w:rPr>
          <w:rFonts w:ascii="宋体" w:hAnsi="宋体" w:eastAsia="宋体" w:cs="宋体"/>
          <w:bCs/>
          <w:sz w:val="24"/>
          <w:szCs w:val="24"/>
        </w:rPr>
      </w:pPr>
      <w:r>
        <w:rPr>
          <w:rFonts w:hint="eastAsia" w:ascii="宋体" w:hAnsi="宋体" w:eastAsia="宋体" w:cs="宋体"/>
          <w:bCs/>
          <w:sz w:val="24"/>
          <w:szCs w:val="24"/>
        </w:rPr>
        <w:t>根据法律、法规、法院或政府部门的要求，接收方必须披露保密信息；</w:t>
      </w:r>
    </w:p>
    <w:p>
      <w:pPr>
        <w:numPr>
          <w:ilvl w:val="0"/>
          <w:numId w:val="3"/>
        </w:numPr>
        <w:adjustRightInd w:val="0"/>
        <w:snapToGrid w:val="0"/>
        <w:spacing w:line="440" w:lineRule="exact"/>
        <w:rPr>
          <w:rFonts w:ascii="宋体" w:hAnsi="宋体" w:eastAsia="宋体" w:cs="宋体"/>
          <w:bCs/>
          <w:sz w:val="24"/>
          <w:szCs w:val="24"/>
        </w:rPr>
      </w:pPr>
      <w:r>
        <w:rPr>
          <w:rFonts w:hint="eastAsia" w:ascii="宋体" w:hAnsi="宋体" w:eastAsia="宋体" w:cs="宋体"/>
          <w:bCs/>
          <w:sz w:val="24"/>
          <w:szCs w:val="24"/>
        </w:rPr>
        <w:t>接收方在披露前已确认保密信息已进入公众领域，且非因接收方违反本协议所致；</w:t>
      </w:r>
    </w:p>
    <w:p>
      <w:pPr>
        <w:numPr>
          <w:ilvl w:val="0"/>
          <w:numId w:val="3"/>
        </w:numPr>
        <w:adjustRightInd w:val="0"/>
        <w:snapToGrid w:val="0"/>
        <w:spacing w:line="440" w:lineRule="exact"/>
        <w:rPr>
          <w:rFonts w:ascii="宋体" w:hAnsi="宋体" w:eastAsia="宋体" w:cs="宋体"/>
          <w:bCs/>
          <w:sz w:val="24"/>
          <w:szCs w:val="24"/>
        </w:rPr>
      </w:pPr>
      <w:r>
        <w:rPr>
          <w:rFonts w:hint="eastAsia" w:ascii="宋体" w:hAnsi="宋体" w:eastAsia="宋体" w:cs="宋体"/>
          <w:bCs/>
          <w:sz w:val="24"/>
          <w:szCs w:val="24"/>
        </w:rPr>
        <w:t>接收方从第三方合法获取的保密信息，且该第三方无保密义务。</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在上述情况下，接收方应立即通知披露方，并尽力确保所披露的保密信息受到相应的保护。</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（五）违约责任</w:t>
      </w:r>
    </w:p>
    <w:p>
      <w:pPr>
        <w:adjustRightInd w:val="0"/>
        <w:snapToGrid w:val="0"/>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一方违反保密义务，导致对方遭受损失的，应承担相应的违约责任，包括但不限于赔偿受损害方的实际损失等。</w:t>
      </w:r>
    </w:p>
    <w:p>
      <w:pPr>
        <w:adjustRightInd w:val="0"/>
        <w:snapToGrid w:val="0"/>
        <w:spacing w:line="440" w:lineRule="exact"/>
        <w:ind w:firstLine="482" w:firstLineChars="200"/>
        <w:rPr>
          <w:rFonts w:ascii="宋体" w:hAnsi="宋体" w:eastAsia="宋体" w:cs="宋体"/>
          <w:b/>
          <w:sz w:val="24"/>
          <w:szCs w:val="24"/>
        </w:rPr>
      </w:pPr>
      <w:r>
        <w:rPr>
          <w:rFonts w:hint="eastAsia" w:ascii="宋体" w:hAnsi="宋体" w:eastAsia="宋体" w:cs="宋体"/>
          <w:b/>
          <w:sz w:val="24"/>
          <w:szCs w:val="24"/>
        </w:rPr>
        <w:t>六、其他</w:t>
      </w:r>
    </w:p>
    <w:p>
      <w:pPr>
        <w:spacing w:line="360" w:lineRule="auto"/>
        <w:ind w:firstLine="480" w:firstLineChars="200"/>
        <w:textAlignment w:val="baseline"/>
        <w:rPr>
          <w:rFonts w:ascii="宋体" w:hAnsi="宋体" w:eastAsia="宋体" w:cs="宋体"/>
          <w:bCs/>
          <w:sz w:val="24"/>
          <w:szCs w:val="24"/>
        </w:rPr>
      </w:pPr>
      <w:r>
        <w:rPr>
          <w:rFonts w:hint="eastAsia" w:ascii="宋体" w:hAnsi="宋体" w:eastAsia="宋体" w:cs="宋体"/>
          <w:bCs/>
          <w:sz w:val="24"/>
          <w:szCs w:val="24"/>
        </w:rPr>
        <w:t>本合同作为</w:t>
      </w:r>
      <w:r>
        <w:rPr>
          <w:rFonts w:hint="eastAsia" w:ascii="宋体" w:hAnsi="宋体" w:eastAsia="宋体" w:cs="宋体"/>
          <w:sz w:val="24"/>
          <w:szCs w:val="24"/>
          <w:u w:val="single"/>
        </w:rPr>
        <w:t xml:space="preserve">          </w:t>
      </w:r>
      <w:r>
        <w:rPr>
          <w:rFonts w:hint="eastAsia" w:ascii="宋体" w:hAnsi="宋体" w:eastAsia="宋体" w:cs="宋体"/>
          <w:bCs/>
          <w:sz w:val="24"/>
          <w:szCs w:val="24"/>
        </w:rPr>
        <w:t>项目合同的附件。本合同未尽事宜依照有关法律法规执行，法律法规未作规定的，甲乙双方可以达成书面补充协议。本合同的附件和补充协议均为项目主合同不可分割的组成部分，具有同等的法律效力。</w:t>
      </w:r>
    </w:p>
    <w:p>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bCs/>
          <w:sz w:val="24"/>
          <w:szCs w:val="24"/>
        </w:rPr>
        <w:t>本合同自双方或双方法定代表人或其授权代理人签字并加盖公章或合同专用章之日起生效。自2025年 月 日至2025年 月  日。本合同正本一式六份，甲乙双方各执三份，具有同等法律效力。</w:t>
      </w:r>
    </w:p>
    <w:p>
      <w:pPr>
        <w:adjustRightInd w:val="0"/>
        <w:snapToGrid w:val="0"/>
        <w:spacing w:line="360" w:lineRule="auto"/>
        <w:rPr>
          <w:rFonts w:ascii="宋体" w:hAnsi="宋体" w:eastAsia="宋体" w:cs="宋体"/>
          <w:sz w:val="24"/>
          <w:szCs w:val="24"/>
        </w:rPr>
      </w:pPr>
    </w:p>
    <w:p>
      <w:pPr>
        <w:adjustRightInd w:val="0"/>
        <w:snapToGrid w:val="0"/>
        <w:spacing w:line="360" w:lineRule="auto"/>
        <w:rPr>
          <w:rFonts w:hint="eastAsia" w:ascii="宋体" w:hAnsi="宋体" w:eastAsia="宋体" w:cs="宋体"/>
          <w:sz w:val="24"/>
          <w:szCs w:val="24"/>
        </w:rPr>
      </w:pP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甲方纪检部门举报电话： 0874-3081381</w:t>
      </w:r>
      <w:r>
        <w:rPr>
          <w:rFonts w:hint="eastAsia" w:ascii="宋体" w:hAnsi="宋体" w:eastAsia="宋体" w:cs="宋体"/>
          <w:b/>
          <w:bCs/>
          <w:sz w:val="24"/>
          <w:szCs w:val="24"/>
        </w:rPr>
        <w:t xml:space="preserve"> </w:t>
      </w:r>
      <w:r>
        <w:rPr>
          <w:rFonts w:hint="eastAsia" w:ascii="宋体" w:hAnsi="宋体" w:eastAsia="宋体" w:cs="宋体"/>
          <w:sz w:val="24"/>
          <w:szCs w:val="24"/>
        </w:rPr>
        <w:t xml:space="preserve"> </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甲方纪检部门举报邮箱：qdjj2014@</w:t>
      </w:r>
      <w:r>
        <w:fldChar w:fldCharType="begin"/>
      </w:r>
      <w:r>
        <w:instrText xml:space="preserve"> HYPERLINK "http://163.com/" \t "_blank" </w:instrText>
      </w:r>
      <w:r>
        <w:fldChar w:fldCharType="separate"/>
      </w:r>
      <w:r>
        <w:rPr>
          <w:rFonts w:hint="eastAsia" w:ascii="宋体" w:hAnsi="宋体" w:eastAsia="宋体" w:cs="宋体"/>
          <w:sz w:val="24"/>
          <w:szCs w:val="24"/>
        </w:rPr>
        <w:t>163.com</w:t>
      </w:r>
      <w:r>
        <w:rPr>
          <w:rFonts w:hint="eastAsia" w:ascii="宋体" w:hAnsi="宋体" w:eastAsia="宋体" w:cs="宋体"/>
          <w:sz w:val="24"/>
          <w:szCs w:val="24"/>
        </w:rPr>
        <w:fldChar w:fldCharType="end"/>
      </w:r>
      <w:r>
        <w:rPr>
          <w:rFonts w:hint="eastAsia" w:ascii="宋体" w:hAnsi="宋体" w:eastAsia="宋体" w:cs="宋体"/>
          <w:sz w:val="24"/>
          <w:szCs w:val="24"/>
        </w:rPr>
        <w:t xml:space="preserve">   </w:t>
      </w:r>
    </w:p>
    <w:p>
      <w:pPr>
        <w:adjustRightInd w:val="0"/>
        <w:snapToGrid w:val="0"/>
        <w:spacing w:line="360" w:lineRule="auto"/>
        <w:rPr>
          <w:rFonts w:ascii="宋体" w:hAnsi="宋体" w:eastAsia="宋体" w:cs="宋体"/>
          <w:sz w:val="24"/>
          <w:szCs w:val="24"/>
        </w:rPr>
      </w:pPr>
    </w:p>
    <w:p>
      <w:pPr>
        <w:spacing w:line="360" w:lineRule="auto"/>
        <w:rPr>
          <w:rFonts w:ascii="宋体" w:hAnsi="宋体" w:eastAsia="宋体" w:cs="宋体"/>
          <w:sz w:val="24"/>
          <w:szCs w:val="24"/>
        </w:rPr>
      </w:pPr>
      <w:r>
        <w:rPr>
          <w:rFonts w:hint="eastAsia" w:ascii="宋体" w:hAnsi="宋体" w:eastAsia="宋体" w:cs="宋体"/>
          <w:sz w:val="24"/>
          <w:szCs w:val="24"/>
        </w:rPr>
        <w:t xml:space="preserve">甲方（盖章）：云南能投曲靖发电有限公司     乙方（盖章）：                  </w:t>
      </w:r>
    </w:p>
    <w:p>
      <w:pPr>
        <w:spacing w:line="360" w:lineRule="auto"/>
        <w:ind w:left="6000" w:hanging="6000" w:hangingChars="2500"/>
        <w:rPr>
          <w:rFonts w:ascii="宋体" w:hAnsi="宋体" w:eastAsia="宋体" w:cs="宋体"/>
          <w:sz w:val="24"/>
          <w:szCs w:val="24"/>
        </w:rPr>
      </w:pPr>
      <w:r>
        <w:rPr>
          <w:rFonts w:hint="eastAsia" w:ascii="宋体" w:hAnsi="宋体" w:eastAsia="宋体" w:cs="宋体"/>
          <w:sz w:val="24"/>
          <w:szCs w:val="24"/>
        </w:rPr>
        <w:t xml:space="preserve">法定代表人（签字）：                        法定代表人（签字）：       </w:t>
      </w:r>
    </w:p>
    <w:p>
      <w:pPr>
        <w:spacing w:line="360" w:lineRule="auto"/>
        <w:ind w:left="6000" w:hanging="6000" w:hangingChars="2500"/>
        <w:rPr>
          <w:rFonts w:ascii="宋体" w:hAnsi="宋体" w:eastAsia="宋体" w:cs="宋体"/>
          <w:sz w:val="24"/>
          <w:szCs w:val="24"/>
        </w:rPr>
      </w:pPr>
      <w:r>
        <w:rPr>
          <w:rFonts w:hint="eastAsia" w:ascii="宋体" w:hAnsi="宋体" w:eastAsia="宋体" w:cs="宋体"/>
          <w:sz w:val="24"/>
          <w:szCs w:val="24"/>
        </w:rPr>
        <w:t xml:space="preserve"> </w:t>
      </w:r>
    </w:p>
    <w:p>
      <w:pPr>
        <w:widowControl/>
        <w:jc w:val="left"/>
        <w:rPr>
          <w:rFonts w:ascii="宋体" w:hAnsi="宋体" w:eastAsia="宋体" w:cs="宋体"/>
          <w:sz w:val="24"/>
          <w:szCs w:val="24"/>
        </w:rPr>
      </w:pPr>
      <w:r>
        <w:rPr>
          <w:rFonts w:hint="eastAsia" w:ascii="宋体" w:hAnsi="宋体" w:eastAsia="宋体" w:cs="宋体"/>
          <w:sz w:val="24"/>
          <w:szCs w:val="24"/>
        </w:rPr>
        <w:t>或授权代理人（签字）：                      或授权代理人（签字）：</w:t>
      </w:r>
    </w:p>
    <w:p>
      <w:pPr>
        <w:widowControl/>
        <w:jc w:val="left"/>
        <w:rPr>
          <w:rFonts w:ascii="宋体" w:hAnsi="宋体" w:eastAsia="宋体" w:cs="宋体"/>
          <w:kern w:val="0"/>
          <w:sz w:val="24"/>
          <w:szCs w:val="24"/>
        </w:rPr>
      </w:pPr>
      <w:r>
        <w:rPr>
          <w:rFonts w:hint="eastAsia" w:ascii="宋体" w:hAnsi="宋体" w:eastAsia="宋体" w:cs="宋体"/>
          <w:kern w:val="0"/>
          <w:sz w:val="24"/>
          <w:szCs w:val="24"/>
        </w:rPr>
        <w:t xml:space="preserve"> </w:t>
      </w:r>
    </w:p>
    <w:p>
      <w:pPr>
        <w:widowControl/>
        <w:spacing w:line="360" w:lineRule="auto"/>
        <w:textAlignment w:val="baseline"/>
        <w:rPr>
          <w:rFonts w:ascii="宋体" w:hAnsi="宋体" w:eastAsia="宋体" w:cs="宋体"/>
          <w:sz w:val="24"/>
          <w:szCs w:val="24"/>
        </w:rPr>
      </w:pPr>
      <w:r>
        <w:rPr>
          <w:rFonts w:hint="eastAsia" w:ascii="宋体" w:hAnsi="宋体" w:eastAsia="宋体" w:cs="宋体"/>
          <w:sz w:val="24"/>
          <w:szCs w:val="24"/>
        </w:rPr>
        <w:t>2025年  月  日                             2025年  月   日</w:t>
      </w:r>
    </w:p>
    <w:p>
      <w:pPr>
        <w:pStyle w:val="108"/>
        <w:rPr>
          <w:sz w:val="24"/>
          <w:szCs w:val="24"/>
        </w:rPr>
        <w:sectPr>
          <w:pgSz w:w="11906" w:h="16838"/>
          <w:pgMar w:top="1440" w:right="1080" w:bottom="1440" w:left="1080" w:header="851" w:footer="992" w:gutter="0"/>
          <w:cols w:space="425" w:num="1"/>
          <w:docGrid w:linePitch="312" w:charSpace="0"/>
        </w:sectPr>
      </w:pPr>
    </w:p>
    <w:p>
      <w:pPr>
        <w:pStyle w:val="46"/>
        <w:snapToGrid w:val="0"/>
        <w:rPr>
          <w:rFonts w:hint="eastAsia" w:ascii="宋体" w:hAnsi="宋体" w:eastAsia="宋体"/>
          <w:color w:val="auto"/>
          <w:sz w:val="21"/>
          <w:szCs w:val="21"/>
          <w:highlight w:val="none"/>
        </w:rPr>
      </w:pPr>
      <w:r>
        <w:rPr>
          <w:rFonts w:hint="eastAsia"/>
          <w:lang w:val="en-US" w:eastAsia="zh-CN"/>
        </w:rPr>
        <w:t>附件二：</w:t>
      </w:r>
    </w:p>
    <w:tbl>
      <w:tblPr>
        <w:tblStyle w:val="38"/>
        <w:tblW w:w="5531" w:type="dxa"/>
        <w:tblInd w:w="35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4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5" w:type="dxa"/>
            <w:noWrap w:val="0"/>
            <w:vAlign w:val="top"/>
          </w:tcPr>
          <w:p>
            <w:pPr>
              <w:tabs>
                <w:tab w:val="left" w:pos="9180"/>
              </w:tabs>
              <w:snapToGrid w:val="0"/>
              <w:ind w:right="-1054"/>
              <w:rPr>
                <w:rFonts w:hint="eastAsia" w:ascii="宋体" w:hAnsi="宋体"/>
                <w:bCs/>
                <w:color w:val="auto"/>
                <w:sz w:val="21"/>
                <w:szCs w:val="21"/>
                <w:highlight w:val="none"/>
              </w:rPr>
            </w:pPr>
            <w:r>
              <w:rPr>
                <w:rFonts w:hint="eastAsia" w:ascii="宋体" w:hAnsi="宋体"/>
                <w:bCs/>
                <w:color w:val="auto"/>
                <w:sz w:val="21"/>
                <w:szCs w:val="21"/>
                <w:highlight w:val="none"/>
              </w:rPr>
              <w:t>承包方</w:t>
            </w:r>
          </w:p>
        </w:tc>
        <w:tc>
          <w:tcPr>
            <w:tcW w:w="4466" w:type="dxa"/>
            <w:noWrap w:val="0"/>
            <w:vAlign w:val="top"/>
          </w:tcPr>
          <w:p>
            <w:pPr>
              <w:tabs>
                <w:tab w:val="left" w:pos="9180"/>
              </w:tabs>
              <w:snapToGrid w:val="0"/>
              <w:ind w:right="-1054"/>
              <w:rPr>
                <w:rFonts w:hint="eastAsia" w:ascii="宋体" w:hAnsi="宋体" w:cs="宋体"/>
                <w:color w:val="auto"/>
                <w:kern w:val="0"/>
                <w:sz w:val="21"/>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1065" w:type="dxa"/>
            <w:noWrap w:val="0"/>
            <w:vAlign w:val="top"/>
          </w:tcPr>
          <w:p>
            <w:pPr>
              <w:tabs>
                <w:tab w:val="left" w:pos="9180"/>
              </w:tabs>
              <w:snapToGrid w:val="0"/>
              <w:ind w:right="-1054"/>
              <w:rPr>
                <w:rFonts w:hint="eastAsia" w:ascii="宋体" w:hAnsi="宋体"/>
                <w:bCs/>
                <w:color w:val="auto"/>
                <w:sz w:val="21"/>
                <w:szCs w:val="21"/>
                <w:highlight w:val="none"/>
              </w:rPr>
            </w:pPr>
            <w:r>
              <w:rPr>
                <w:rFonts w:hint="eastAsia" w:ascii="宋体" w:hAnsi="宋体"/>
                <w:bCs/>
                <w:color w:val="auto"/>
                <w:sz w:val="21"/>
                <w:szCs w:val="21"/>
                <w:highlight w:val="none"/>
              </w:rPr>
              <w:t>项  目</w:t>
            </w:r>
          </w:p>
        </w:tc>
        <w:tc>
          <w:tcPr>
            <w:tcW w:w="4466" w:type="dxa"/>
            <w:noWrap w:val="0"/>
            <w:vAlign w:val="top"/>
          </w:tcPr>
          <w:p>
            <w:pPr>
              <w:tabs>
                <w:tab w:val="left" w:pos="9180"/>
              </w:tabs>
              <w:snapToGrid w:val="0"/>
              <w:ind w:right="-1054"/>
              <w:rPr>
                <w:rFonts w:hint="eastAsia" w:ascii="宋体" w:hAnsi="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5" w:type="dxa"/>
            <w:noWrap w:val="0"/>
            <w:vAlign w:val="top"/>
          </w:tcPr>
          <w:p>
            <w:pPr>
              <w:tabs>
                <w:tab w:val="left" w:pos="9180"/>
              </w:tabs>
              <w:snapToGrid w:val="0"/>
              <w:ind w:right="-1054"/>
              <w:rPr>
                <w:rFonts w:hint="eastAsia" w:ascii="宋体" w:hAnsi="宋体"/>
                <w:bCs/>
                <w:color w:val="auto"/>
                <w:sz w:val="21"/>
                <w:szCs w:val="21"/>
                <w:highlight w:val="none"/>
              </w:rPr>
            </w:pPr>
            <w:r>
              <w:rPr>
                <w:rFonts w:hint="eastAsia" w:ascii="宋体" w:hAnsi="宋体"/>
                <w:bCs/>
                <w:color w:val="auto"/>
                <w:sz w:val="21"/>
                <w:szCs w:val="21"/>
                <w:highlight w:val="none"/>
              </w:rPr>
              <w:t>承包期</w:t>
            </w:r>
          </w:p>
        </w:tc>
        <w:tc>
          <w:tcPr>
            <w:tcW w:w="4466" w:type="dxa"/>
            <w:noWrap w:val="0"/>
            <w:vAlign w:val="top"/>
          </w:tcPr>
          <w:p>
            <w:pPr>
              <w:tabs>
                <w:tab w:val="left" w:pos="9180"/>
              </w:tabs>
              <w:snapToGrid w:val="0"/>
              <w:ind w:right="-1054"/>
              <w:rPr>
                <w:rFonts w:hint="eastAsia" w:ascii="宋体" w:hAnsi="宋体"/>
                <w:bCs/>
                <w:color w:val="auto"/>
                <w:sz w:val="21"/>
                <w:szCs w:val="21"/>
                <w:highlight w:val="none"/>
              </w:rPr>
            </w:pPr>
          </w:p>
        </w:tc>
      </w:tr>
    </w:tbl>
    <w:p>
      <w:pPr>
        <w:tabs>
          <w:tab w:val="left" w:pos="9180"/>
        </w:tabs>
        <w:snapToGrid w:val="0"/>
        <w:ind w:right="-1054"/>
        <w:jc w:val="center"/>
        <w:rPr>
          <w:rFonts w:hint="eastAsia" w:ascii="宋体" w:hAnsi="宋体"/>
          <w:b/>
          <w:bCs/>
          <w:color w:val="auto"/>
          <w:sz w:val="21"/>
          <w:szCs w:val="21"/>
          <w:highlight w:val="none"/>
        </w:rPr>
      </w:pPr>
    </w:p>
    <w:p>
      <w:pPr>
        <w:tabs>
          <w:tab w:val="left" w:pos="9180"/>
        </w:tabs>
        <w:snapToGrid w:val="0"/>
        <w:ind w:right="-1054"/>
        <w:jc w:val="center"/>
        <w:rPr>
          <w:rFonts w:hint="eastAsia" w:ascii="宋体" w:hAnsi="宋体"/>
          <w:b/>
          <w:bCs/>
          <w:color w:val="auto"/>
          <w:sz w:val="21"/>
          <w:szCs w:val="21"/>
          <w:highlight w:val="none"/>
        </w:rPr>
      </w:pPr>
    </w:p>
    <w:p>
      <w:pPr>
        <w:tabs>
          <w:tab w:val="left" w:pos="9180"/>
        </w:tabs>
        <w:snapToGrid w:val="0"/>
        <w:ind w:right="-1054"/>
        <w:jc w:val="center"/>
        <w:rPr>
          <w:rFonts w:hint="eastAsia" w:ascii="宋体" w:hAnsi="宋体"/>
          <w:b/>
          <w:bCs/>
          <w:color w:val="auto"/>
          <w:sz w:val="21"/>
          <w:szCs w:val="21"/>
          <w:highlight w:val="none"/>
        </w:rPr>
      </w:pPr>
    </w:p>
    <w:p>
      <w:pPr>
        <w:tabs>
          <w:tab w:val="left" w:pos="9180"/>
        </w:tabs>
        <w:snapToGrid w:val="0"/>
        <w:ind w:right="-1054"/>
        <w:jc w:val="center"/>
        <w:rPr>
          <w:rFonts w:hint="eastAsia" w:ascii="宋体" w:hAnsi="宋体"/>
          <w:b/>
          <w:bCs/>
          <w:color w:val="auto"/>
          <w:sz w:val="32"/>
          <w:szCs w:val="32"/>
          <w:highlight w:val="none"/>
        </w:rPr>
      </w:pPr>
    </w:p>
    <w:p>
      <w:pPr>
        <w:tabs>
          <w:tab w:val="left" w:pos="9180"/>
        </w:tabs>
        <w:snapToGrid w:val="0"/>
        <w:ind w:right="-1054"/>
        <w:jc w:val="center"/>
        <w:rPr>
          <w:rFonts w:hint="eastAsia" w:ascii="宋体" w:hAnsi="宋体"/>
          <w:b/>
          <w:bCs/>
          <w:color w:val="auto"/>
          <w:sz w:val="32"/>
          <w:szCs w:val="32"/>
          <w:highlight w:val="none"/>
        </w:rPr>
      </w:pPr>
      <w:r>
        <w:rPr>
          <w:rFonts w:hint="eastAsia" w:ascii="宋体" w:hAnsi="宋体"/>
          <w:b/>
          <w:bCs/>
          <w:color w:val="auto"/>
          <w:sz w:val="32"/>
          <w:szCs w:val="32"/>
          <w:highlight w:val="none"/>
        </w:rPr>
        <w:t>云南能投曲靖发电有限公司</w:t>
      </w:r>
    </w:p>
    <w:p>
      <w:pPr>
        <w:tabs>
          <w:tab w:val="left" w:pos="9180"/>
        </w:tabs>
        <w:snapToGrid w:val="0"/>
        <w:ind w:right="-1054"/>
        <w:jc w:val="center"/>
        <w:rPr>
          <w:rFonts w:ascii="宋体" w:hAnsi="宋体" w:cs="宋体"/>
          <w:color w:val="auto"/>
          <w:kern w:val="0"/>
          <w:sz w:val="32"/>
          <w:szCs w:val="32"/>
          <w:highlight w:val="none"/>
        </w:rPr>
      </w:pPr>
      <w:r>
        <w:rPr>
          <w:rFonts w:hint="eastAsia" w:ascii="宋体" w:hAnsi="宋体"/>
          <w:b/>
          <w:bCs/>
          <w:color w:val="auto"/>
          <w:sz w:val="32"/>
          <w:szCs w:val="32"/>
          <w:highlight w:val="none"/>
        </w:rPr>
        <w:t>安全生产管理协议</w:t>
      </w:r>
    </w:p>
    <w:p>
      <w:pPr>
        <w:widowControl/>
        <w:snapToGrid w:val="0"/>
        <w:jc w:val="left"/>
        <w:rPr>
          <w:rFonts w:hint="eastAsia" w:ascii="宋体" w:hAnsi="宋体" w:cs="宋体"/>
          <w:color w:val="auto"/>
          <w:kern w:val="0"/>
          <w:sz w:val="32"/>
          <w:szCs w:val="32"/>
          <w:highlight w:val="none"/>
          <w:lang w:bidi="ar"/>
        </w:rPr>
      </w:pPr>
    </w:p>
    <w:p>
      <w:pPr>
        <w:pStyle w:val="4"/>
        <w:rPr>
          <w:rFonts w:hint="default" w:ascii="华文中宋" w:hAnsi="华文中宋" w:cs="Times New Roman"/>
          <w:color w:val="auto"/>
          <w:kern w:val="0"/>
          <w:sz w:val="32"/>
          <w:szCs w:val="32"/>
          <w:highlight w:val="none"/>
          <w:lang w:bidi="ar"/>
        </w:rPr>
      </w:pPr>
    </w:p>
    <w:p>
      <w:pPr>
        <w:widowControl/>
        <w:snapToGrid w:val="0"/>
        <w:jc w:val="left"/>
        <w:rPr>
          <w:rFonts w:hint="eastAsia" w:ascii="宋体" w:hAnsi="宋体" w:cs="宋体"/>
          <w:color w:val="auto"/>
          <w:kern w:val="0"/>
          <w:sz w:val="32"/>
          <w:szCs w:val="32"/>
          <w:highlight w:val="none"/>
          <w:lang w:bidi="ar"/>
        </w:rPr>
      </w:pPr>
    </w:p>
    <w:p>
      <w:pPr>
        <w:widowControl/>
        <w:snapToGrid w:val="0"/>
        <w:jc w:val="left"/>
        <w:rPr>
          <w:rFonts w:hint="eastAsia" w:ascii="宋体" w:hAnsi="宋体" w:cs="宋体"/>
          <w:color w:val="auto"/>
          <w:kern w:val="0"/>
          <w:sz w:val="32"/>
          <w:szCs w:val="32"/>
          <w:highlight w:val="none"/>
          <w:lang w:bidi="ar"/>
        </w:rPr>
      </w:pPr>
    </w:p>
    <w:p>
      <w:pPr>
        <w:widowControl/>
        <w:snapToGrid w:val="0"/>
        <w:jc w:val="left"/>
        <w:rPr>
          <w:rFonts w:hint="eastAsia" w:ascii="宋体" w:hAnsi="宋体" w:cs="宋体"/>
          <w:color w:val="auto"/>
          <w:kern w:val="0"/>
          <w:sz w:val="32"/>
          <w:szCs w:val="32"/>
          <w:highlight w:val="none"/>
          <w:lang w:bidi="ar"/>
        </w:rPr>
      </w:pPr>
    </w:p>
    <w:p>
      <w:pPr>
        <w:widowControl/>
        <w:snapToGrid w:val="0"/>
        <w:jc w:val="left"/>
        <w:rPr>
          <w:rFonts w:hint="eastAsia" w:ascii="宋体" w:hAnsi="宋体" w:cs="宋体"/>
          <w:color w:val="auto"/>
          <w:kern w:val="0"/>
          <w:sz w:val="32"/>
          <w:szCs w:val="32"/>
          <w:highlight w:val="none"/>
          <w:lang w:bidi="ar"/>
        </w:rPr>
      </w:pPr>
    </w:p>
    <w:p>
      <w:pPr>
        <w:widowControl/>
        <w:snapToGrid w:val="0"/>
        <w:jc w:val="left"/>
        <w:rPr>
          <w:rFonts w:hint="eastAsia" w:ascii="宋体" w:hAnsi="宋体" w:cs="宋体"/>
          <w:color w:val="auto"/>
          <w:kern w:val="0"/>
          <w:sz w:val="32"/>
          <w:szCs w:val="32"/>
          <w:highlight w:val="none"/>
          <w:lang w:bidi="ar"/>
        </w:rPr>
      </w:pPr>
    </w:p>
    <w:p>
      <w:pPr>
        <w:widowControl/>
        <w:snapToGrid w:val="0"/>
        <w:jc w:val="left"/>
        <w:rPr>
          <w:rFonts w:hint="eastAsia" w:ascii="宋体" w:hAnsi="宋体" w:cs="宋体"/>
          <w:color w:val="auto"/>
          <w:kern w:val="0"/>
          <w:sz w:val="32"/>
          <w:szCs w:val="32"/>
          <w:highlight w:val="none"/>
          <w:lang w:bidi="ar"/>
        </w:rPr>
      </w:pPr>
    </w:p>
    <w:p>
      <w:pPr>
        <w:widowControl/>
        <w:snapToGrid w:val="0"/>
        <w:jc w:val="left"/>
        <w:rPr>
          <w:rFonts w:hint="eastAsia" w:ascii="宋体" w:hAnsi="宋体" w:cs="宋体"/>
          <w:color w:val="auto"/>
          <w:kern w:val="0"/>
          <w:sz w:val="32"/>
          <w:szCs w:val="32"/>
          <w:highlight w:val="none"/>
          <w:lang w:bidi="ar"/>
        </w:rPr>
      </w:pPr>
    </w:p>
    <w:p>
      <w:pPr>
        <w:widowControl/>
        <w:snapToGrid w:val="0"/>
        <w:jc w:val="left"/>
        <w:rPr>
          <w:rFonts w:hint="eastAsia" w:ascii="宋体" w:hAnsi="宋体" w:cs="宋体"/>
          <w:color w:val="auto"/>
          <w:kern w:val="0"/>
          <w:sz w:val="32"/>
          <w:szCs w:val="32"/>
          <w:highlight w:val="none"/>
          <w:lang w:bidi="ar"/>
        </w:rPr>
      </w:pPr>
    </w:p>
    <w:p>
      <w:pPr>
        <w:widowControl/>
        <w:snapToGrid w:val="0"/>
        <w:jc w:val="left"/>
        <w:rPr>
          <w:rFonts w:hint="eastAsia" w:ascii="宋体" w:hAnsi="宋体" w:cs="宋体"/>
          <w:color w:val="auto"/>
          <w:kern w:val="0"/>
          <w:sz w:val="32"/>
          <w:szCs w:val="32"/>
          <w:highlight w:val="none"/>
          <w:lang w:bidi="ar"/>
        </w:rPr>
      </w:pPr>
    </w:p>
    <w:p>
      <w:pPr>
        <w:widowControl/>
        <w:snapToGrid w:val="0"/>
        <w:jc w:val="left"/>
        <w:rPr>
          <w:rFonts w:hint="eastAsia" w:ascii="宋体" w:hAnsi="宋体" w:cs="宋体"/>
          <w:color w:val="auto"/>
          <w:kern w:val="0"/>
          <w:sz w:val="32"/>
          <w:szCs w:val="32"/>
          <w:highlight w:val="none"/>
          <w:lang w:bidi="ar"/>
        </w:rPr>
      </w:pPr>
    </w:p>
    <w:p>
      <w:pPr>
        <w:widowControl/>
        <w:snapToGrid w:val="0"/>
        <w:jc w:val="left"/>
        <w:rPr>
          <w:rFonts w:hint="eastAsia" w:ascii="宋体" w:hAnsi="宋体" w:cs="宋体"/>
          <w:color w:val="auto"/>
          <w:kern w:val="0"/>
          <w:sz w:val="32"/>
          <w:szCs w:val="32"/>
          <w:highlight w:val="none"/>
          <w:lang w:bidi="ar"/>
        </w:rPr>
      </w:pPr>
    </w:p>
    <w:p>
      <w:pPr>
        <w:widowControl/>
        <w:snapToGrid w:val="0"/>
        <w:jc w:val="left"/>
        <w:rPr>
          <w:rFonts w:hint="eastAsia" w:ascii="宋体" w:hAnsi="宋体" w:cs="宋体"/>
          <w:color w:val="auto"/>
          <w:kern w:val="0"/>
          <w:sz w:val="32"/>
          <w:szCs w:val="32"/>
          <w:highlight w:val="none"/>
          <w:lang w:bidi="ar"/>
        </w:rPr>
      </w:pPr>
    </w:p>
    <w:p>
      <w:pPr>
        <w:widowControl/>
        <w:snapToGrid w:val="0"/>
        <w:jc w:val="left"/>
        <w:rPr>
          <w:rFonts w:hint="eastAsia" w:ascii="宋体" w:hAnsi="宋体" w:cs="宋体"/>
          <w:color w:val="auto"/>
          <w:kern w:val="0"/>
          <w:sz w:val="32"/>
          <w:szCs w:val="32"/>
          <w:highlight w:val="none"/>
          <w:lang w:bidi="ar"/>
        </w:rPr>
      </w:pPr>
    </w:p>
    <w:p>
      <w:pPr>
        <w:widowControl/>
        <w:snapToGrid w:val="0"/>
        <w:jc w:val="left"/>
        <w:rPr>
          <w:rFonts w:hint="eastAsia" w:ascii="宋体" w:hAnsi="宋体" w:cs="宋体"/>
          <w:color w:val="auto"/>
          <w:kern w:val="0"/>
          <w:sz w:val="32"/>
          <w:szCs w:val="32"/>
          <w:highlight w:val="none"/>
          <w:lang w:bidi="ar"/>
        </w:rPr>
      </w:pPr>
    </w:p>
    <w:p>
      <w:pPr>
        <w:widowControl/>
        <w:snapToGrid w:val="0"/>
        <w:jc w:val="left"/>
        <w:rPr>
          <w:rFonts w:hint="eastAsia" w:ascii="宋体" w:hAnsi="宋体" w:cs="宋体"/>
          <w:color w:val="auto"/>
          <w:kern w:val="0"/>
          <w:sz w:val="32"/>
          <w:szCs w:val="32"/>
          <w:highlight w:val="none"/>
          <w:lang w:bidi="ar"/>
        </w:rPr>
      </w:pPr>
    </w:p>
    <w:p>
      <w:pPr>
        <w:widowControl/>
        <w:snapToGrid w:val="0"/>
        <w:jc w:val="left"/>
        <w:rPr>
          <w:rFonts w:hint="eastAsia" w:ascii="宋体" w:hAnsi="宋体" w:cs="宋体"/>
          <w:color w:val="auto"/>
          <w:kern w:val="0"/>
          <w:sz w:val="32"/>
          <w:szCs w:val="32"/>
          <w:highlight w:val="none"/>
          <w:lang w:bidi="ar"/>
        </w:rPr>
      </w:pPr>
    </w:p>
    <w:p>
      <w:pPr>
        <w:widowControl/>
        <w:snapToGrid w:val="0"/>
        <w:jc w:val="left"/>
        <w:rPr>
          <w:rFonts w:hint="eastAsia" w:ascii="宋体" w:hAnsi="宋体" w:cs="宋体"/>
          <w:color w:val="auto"/>
          <w:kern w:val="0"/>
          <w:sz w:val="32"/>
          <w:szCs w:val="32"/>
          <w:highlight w:val="none"/>
          <w:lang w:bidi="ar"/>
        </w:rPr>
      </w:pPr>
    </w:p>
    <w:p>
      <w:pPr>
        <w:widowControl/>
        <w:snapToGrid w:val="0"/>
        <w:jc w:val="left"/>
        <w:rPr>
          <w:rFonts w:hint="eastAsia" w:ascii="宋体" w:hAnsi="宋体" w:cs="宋体"/>
          <w:color w:val="auto"/>
          <w:kern w:val="0"/>
          <w:sz w:val="32"/>
          <w:szCs w:val="32"/>
          <w:highlight w:val="none"/>
          <w:lang w:bidi="ar"/>
        </w:rPr>
      </w:pPr>
    </w:p>
    <w:p>
      <w:pPr>
        <w:widowControl/>
        <w:snapToGrid w:val="0"/>
        <w:ind w:firstLine="1920" w:firstLineChars="600"/>
        <w:jc w:val="left"/>
        <w:rPr>
          <w:rFonts w:hint="eastAsia" w:ascii="宋体" w:hAnsi="宋体" w:cs="宋体"/>
          <w:color w:val="auto"/>
          <w:kern w:val="0"/>
          <w:sz w:val="32"/>
          <w:szCs w:val="32"/>
          <w:highlight w:val="none"/>
          <w:lang w:bidi="ar"/>
        </w:rPr>
      </w:pPr>
      <w:r>
        <w:rPr>
          <w:rFonts w:hint="eastAsia" w:ascii="宋体" w:hAnsi="宋体" w:cs="宋体"/>
          <w:color w:val="auto"/>
          <w:kern w:val="0"/>
          <w:sz w:val="32"/>
          <w:szCs w:val="32"/>
          <w:highlight w:val="none"/>
          <w:lang w:bidi="ar"/>
        </w:rPr>
        <w:t>云南能投曲靖发电有限公司制</w:t>
      </w:r>
    </w:p>
    <w:p>
      <w:pPr>
        <w:snapToGrid w:val="0"/>
        <w:rPr>
          <w:rFonts w:hint="eastAsia" w:ascii="宋体" w:hAnsi="宋体" w:cs="宋体"/>
          <w:color w:val="auto"/>
          <w:sz w:val="21"/>
          <w:szCs w:val="21"/>
          <w:highlight w:val="none"/>
        </w:rPr>
      </w:pPr>
    </w:p>
    <w:p>
      <w:pPr>
        <w:pStyle w:val="4"/>
        <w:rPr>
          <w:rFonts w:hint="eastAsia"/>
          <w:color w:val="auto"/>
          <w:highlight w:val="none"/>
        </w:rPr>
      </w:pPr>
    </w:p>
    <w:p>
      <w:pPr>
        <w:adjustRightInd w:val="0"/>
        <w:snapToGrid w:val="0"/>
        <w:spacing w:line="360" w:lineRule="auto"/>
        <w:ind w:firstLine="420" w:firstLineChars="200"/>
        <w:jc w:val="center"/>
        <w:rPr>
          <w:rFonts w:hint="eastAsia" w:ascii="宋体" w:hAnsi="宋体"/>
          <w:color w:val="auto"/>
          <w:sz w:val="21"/>
          <w:szCs w:val="21"/>
          <w:highlight w:val="none"/>
        </w:rPr>
      </w:pPr>
    </w:p>
    <w:p>
      <w:pPr>
        <w:adjustRightInd w:val="0"/>
        <w:snapToGrid w:val="0"/>
        <w:spacing w:line="360" w:lineRule="auto"/>
        <w:ind w:firstLine="420" w:firstLineChars="200"/>
        <w:jc w:val="center"/>
        <w:rPr>
          <w:rFonts w:hint="eastAsia" w:ascii="宋体" w:hAnsi="宋体"/>
          <w:color w:val="auto"/>
          <w:sz w:val="21"/>
          <w:szCs w:val="21"/>
          <w:highlight w:val="none"/>
        </w:rPr>
      </w:pPr>
      <w:r>
        <w:rPr>
          <w:rFonts w:hint="eastAsia" w:ascii="宋体" w:hAnsi="宋体"/>
          <w:color w:val="auto"/>
          <w:sz w:val="21"/>
          <w:szCs w:val="21"/>
          <w:highlight w:val="none"/>
        </w:rPr>
        <w:t>安全生产管理协议</w:t>
      </w:r>
    </w:p>
    <w:p>
      <w:pPr>
        <w:adjustRightInd w:val="0"/>
        <w:snapToGrid w:val="0"/>
        <w:spacing w:line="360" w:lineRule="auto"/>
        <w:ind w:firstLine="420" w:firstLineChars="200"/>
        <w:rPr>
          <w:rFonts w:hint="eastAsia" w:ascii="宋体" w:hAnsi="宋体"/>
          <w:color w:val="auto"/>
          <w:sz w:val="21"/>
          <w:szCs w:val="21"/>
          <w:highlight w:val="none"/>
        </w:rPr>
      </w:pPr>
    </w:p>
    <w:p>
      <w:pPr>
        <w:adjustRightInd w:val="0"/>
        <w:snapToGrid w:val="0"/>
        <w:spacing w:line="360" w:lineRule="auto"/>
        <w:rPr>
          <w:rFonts w:hint="eastAsia" w:ascii="宋体" w:hAnsi="宋体"/>
          <w:color w:val="auto"/>
          <w:sz w:val="21"/>
          <w:szCs w:val="21"/>
          <w:highlight w:val="none"/>
          <w:u w:val="single"/>
        </w:rPr>
      </w:pPr>
      <w:r>
        <w:rPr>
          <w:rFonts w:hint="eastAsia" w:ascii="宋体" w:hAnsi="宋体"/>
          <w:color w:val="auto"/>
          <w:sz w:val="21"/>
          <w:szCs w:val="21"/>
          <w:highlight w:val="none"/>
        </w:rPr>
        <w:t>发包单位（甲方）：</w:t>
      </w:r>
      <w:r>
        <w:rPr>
          <w:rFonts w:hint="eastAsia" w:ascii="宋体" w:hAnsi="宋体"/>
          <w:color w:val="auto"/>
          <w:sz w:val="21"/>
          <w:szCs w:val="21"/>
          <w:highlight w:val="none"/>
          <w:lang w:val="en-US" w:eastAsia="zh-CN"/>
        </w:rPr>
        <w:t>云南能投曲靖发电有限公司</w:t>
      </w:r>
      <w:r>
        <w:rPr>
          <w:rFonts w:hint="eastAsia" w:ascii="宋体" w:hAnsi="宋体"/>
          <w:color w:val="auto"/>
          <w:sz w:val="21"/>
          <w:szCs w:val="21"/>
          <w:highlight w:val="none"/>
          <w:u w:val="single"/>
        </w:rPr>
        <w:t xml:space="preserve">               </w:t>
      </w:r>
    </w:p>
    <w:p>
      <w:pPr>
        <w:adjustRightInd w:val="0"/>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承包单位（乙方）：</w:t>
      </w:r>
      <w:r>
        <w:rPr>
          <w:rFonts w:hint="eastAsia" w:ascii="宋体" w:hAnsi="宋体"/>
          <w:color w:val="auto"/>
          <w:sz w:val="21"/>
          <w:szCs w:val="21"/>
          <w:highlight w:val="none"/>
          <w:u w:val="single"/>
        </w:rPr>
        <w:t xml:space="preserve">               </w:t>
      </w:r>
    </w:p>
    <w:p>
      <w:pPr>
        <w:adjustRightInd w:val="0"/>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项目名称：</w:t>
      </w:r>
      <w:r>
        <w:rPr>
          <w:rFonts w:hint="eastAsia" w:ascii="宋体" w:hAnsi="宋体" w:eastAsia="宋体" w:cs="宋体"/>
          <w:sz w:val="24"/>
          <w:szCs w:val="24"/>
        </w:rPr>
        <w:t>三期扩建项目可行性研究报告编制服务项目</w:t>
      </w:r>
      <w:r>
        <w:rPr>
          <w:rFonts w:hint="eastAsia" w:ascii="宋体" w:hAnsi="宋体"/>
          <w:color w:val="auto"/>
          <w:sz w:val="21"/>
          <w:szCs w:val="21"/>
          <w:highlight w:val="none"/>
          <w:u w:val="single"/>
        </w:rPr>
        <w:t xml:space="preserve">  </w:t>
      </w:r>
    </w:p>
    <w:p>
      <w:pPr>
        <w:adjustRightInd w:val="0"/>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合同名称：</w:t>
      </w:r>
      <w:r>
        <w:rPr>
          <w:rFonts w:hint="eastAsia" w:ascii="宋体" w:hAnsi="宋体"/>
          <w:color w:val="auto"/>
          <w:sz w:val="21"/>
          <w:szCs w:val="21"/>
          <w:highlight w:val="none"/>
          <w:u w:val="single"/>
        </w:rPr>
        <w:t xml:space="preserve">               </w:t>
      </w:r>
    </w:p>
    <w:p>
      <w:pPr>
        <w:adjustRightInd w:val="0"/>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合同编号：</w:t>
      </w:r>
      <w:r>
        <w:rPr>
          <w:rFonts w:hint="eastAsia" w:ascii="宋体" w:hAnsi="宋体"/>
          <w:color w:val="auto"/>
          <w:sz w:val="21"/>
          <w:szCs w:val="21"/>
          <w:highlight w:val="none"/>
          <w:u w:val="single"/>
        </w:rPr>
        <w:t xml:space="preserve">               </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为贯彻“安全第一、预防为主、综合治理”的方针，加强工程项目的安全生产管理，明确甲、乙方在工程项目实施过程中的安全生产管理职责，规范工程项目的安全管理工作，根据《中华人民共和国安全生产法》等法律、法规的规定，以及甲、乙方签订的工程项目合同，合同双方遵循平等、自愿、公平、公正、客观、诚信的原则，对工程项目的安全生产管理事宜充分协商，签订本协议。</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一、总则</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（一）协议双方都须认真贯彻执行安全生产（包括环境保护和职业健康）相关的法律、法规、方针、政策、标准规范。</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二）项目安全生产工作以人为本，坚持人民至上、生命至上，坚持安全发展、可持续发展理念。项目的安全生产目标是：不发生人身重伤以上人身安全事故，不发生一般以上生产和设备安全事故（含工程质量不合格造成的），不发生负同等以上责任的一般以上交通事故，不发生一般以上环境污染事件，不发生一般以上公共卫生事件，不发生对甲方造成较大社会影响的事件，不发生职业病危害事故，不发生社会安全事件。</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三）甲方对项目安全生产承担协调、监督责任，监督和指导乙方履行项目安全生产职责。根据发包项目工作内容和实际情况，组织乙方参加甲方的安全生产相关会议，协调安全生产工作，对安全和生产工作同部署、同检查、同考核。</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（四）乙方对项目安全生产承担直接管理责任，应当按照国家法律法规、标准规范、甲方的安全生产相关规程和管理制度、本单位的安全规程和制度开展项目工作，对项目安全生产负责。</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二、甲方安全生产管理职责</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（一）依据安全生产相关法律、法规、方针、政策、标准规范，以及本单位外包工程安全管理制度等，规范外包项目安全管理，确保外包项目实施过程符合安全生产、职业健康、环境保护等法律法规要求。</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（二）根据签订的项目合同和本协议，督促、指导乙方履行入厂审查和开工许可手续、建立安全生产管理规程制度、落实相关安全措施、开展安全教育培训等。</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三）审查乙方企业营业执照、资质等级证书、安全生产许可证、相关人员从业资格证书、安全管理体系设置情况，以及作业人员、工器具、施工机具、物资材料等进入厂区和施工区域是否具备条件。评审乙方项目相关施工方案和措施等，以及危险性较大作业编制专项安全技术方案。如乙方提供虚假资质材料，甲方有权中止或解除合同，乙方承担由此造成的一切损失。</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（四）成立项目工作组，由对口管理部门指定项目负责人，并根据项目工期及施工进度，定期召开专题会，协调解决安全、质量、进度等方面存在的问题。项目安全纳入安委会统筹协调。</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（五）甲方业务主管部门应向乙方项目负责人及安全、技术管理人员进行安全、技术交底，并保存完整的交底记录。</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（六）对乙方所有人员开展入厂安全教育培训，建立外包人员培训档案，所有人员经考试合格后方可进入现场。同时，监督指导乙方进行自主安全教育培训，并对乙方安全教育培训和考试情况进行备案。</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（七）为乙方工作人员制作统一的出入证件，证件至少应标注乙方单位名称、承包项目、人员姓名、有效期、准入现场区域等信息，并附人员近期免冠照片，为乙方工作人员顺利出入生产区域提供保障。</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（八）督促乙方（高危行业）为参加本工程项目的所有人员购买安全生产责任保险，保额不低于</w:t>
      </w:r>
      <w:r>
        <w:rPr>
          <w:rFonts w:hint="eastAsia" w:ascii="宋体" w:hAnsi="宋体"/>
          <w:color w:val="auto"/>
          <w:sz w:val="21"/>
          <w:szCs w:val="21"/>
          <w:highlight w:val="none"/>
          <w:lang w:val="en-US" w:eastAsia="zh-CN"/>
        </w:rPr>
        <w:t>100</w:t>
      </w:r>
      <w:r>
        <w:rPr>
          <w:rFonts w:hint="eastAsia" w:ascii="宋体" w:hAnsi="宋体"/>
          <w:color w:val="auto"/>
          <w:sz w:val="21"/>
          <w:szCs w:val="21"/>
          <w:highlight w:val="none"/>
        </w:rPr>
        <w:t>万元人民币每人；督促乙方为参加本工程项目的所有人员购买工伤保险或意外伤害保险。</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（九）根据合同约定，如需为乙方施工作业提供必要的电、汽、气、水源，以及相关设备设施的，告知乙方接入点允许的最大负荷和有关使用要求，并办理相关使用手续。</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（十）乙方工程项目凡涉及使用工作票的，乙方的工作票负责人、签发人、许可人，需培训并经甲方考试合格，授权批准后，才能按相关规定履行职责。</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（十一）施工过程中，甲方主管部门负责协调解决乙方提出的有关安全和作业方面存在的问题，对乙方安全措施落实不到位的情况，按照甲方相关管理制度进行考核。</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（十二）甲方的业务主管部门对乙方项目范围的受限空间作业、动火作业、高处作业等高风险作业的“三措两案”认真审查，并督促落实。</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（十三）在一个区域有二个以上承包单位进行作业时，组织各承包单位签订安全生产管理协议，明确各自的职责和应采取的安全措施，并安排专职安全生产管理人员进行检查和协调。</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十四）甲方定期或不定期检查乙方的安全生产违章违规行为，甲方的管理部门和安监部门有权提出警告、整改、或停工要求，并按相关规定通报和考核。乙方不服从安全管理、违规作业、冒险作业、管理混乱、险情频发的，甲方除制止、纠正、考核之外，还可约谈乙方主要负责人，直至终止合同，限期退出，全部后果由乙方承担。</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三、乙方安全生产管理职责</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（一）依据安全生产相关法律、法规、方针、政策、标准规范，以及甲方安全管理制度，规范项目安全管理，确保项目实施过程符合安全生产、职业健康、环境保护等工作要求。</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二）必须具有法人资格，符合相应资质等级、业务能力和安全生产要求，乙方应根据合同和本协议规定建立项目管理组织机构和安全管理机构，依法配置专兼职安全管理人员，配备承包项目所需要的项目负责人、管理人员和专业技术人员。</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三）严禁将工程项目转包和违法分包。根据实际情况需要将工程项目分包的，必须符合相关法律法规规定，并经甲方许可；工程项目的分包情况，需向甲方做详细的书面说明，分包单位有关资质材料，应报甲方备案。项目实行总承包的，乙方应与各分包单位签订安全生产管理协议，明确安全生产管理职责，乙方负责对分包单位的安全生产统一协调、管理。</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四）乙方应提供相关材料供甲方审查备案，同时确保所提交材料真实、完整、有效。材料包括但不限于：企业营业执照、安全生产许可证（法律法规要求应持安全生产许可证的）、承包项目资质等级证书；法人代表资格证书，非法人代表应持有授权委托书；组织机构设置情况，以及项目负责人、安全及专业管理人员资格证书；特种作业人员、特种设备作业人员资格证书；入厂人员名单及身份证号码、近期职业健康体检和劳务关系证明、工伤保险证明；工作业绩和近三年安全施工记录；符合定检和使用要求的安全防护用品、工器具、施工机具及特种设备清单；施工组织设计、施工“三措两案”以及危险性较大作业专项安全技术方案等；分包单位相关资料等。</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五）乙方必须针对承包项目进行危险源辨识、风险评估，并制定相应的风险管控措施。应对参与项目人员进行自上而下的安全、技术交底，使全体人员均掌握了解工程特点及安全施工措施，落实安全风险控制措施。乙方应根据项目要求编制施工项目“三措两案”，在进行可能发生火灾、爆炸、和触电、高空险落、中毒、室息、机械伤害、灼烫伤等容易引起人身伤害和设备事故的危险性较大作业时，乙方还应编制专项安全技术方案，提交甲方审批。对于复杂和较危险的工程项目或甲方的要求，应编写工程施工专项安全施工方案，并经甲方生产技术部门审查合格后执行，并报甲方对口管理部门备案。</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六）乙方或项目部需建立健全工程项目安全生产责任制；组织制定工程项目安全生产规章制度和操作规程；组织制定并实施本项目相关的安全生产教育和培训计划；保证工程项目安全生产投入的有效实施：督促检查工程项目的安全生产工作，及时消除生产安全事故隐患；组织制定并实施工程项目相关的生产安全事故应急救援预案；及时、如实报告生产安全事故。</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（七）对项目的作业现场安全工作负责，进入甲方所属区域内作业时，严格遵守甲方安全管理相关制度，自觉接受甲方的检查和监督，对甲方提出的问题和隐患立即整改。</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八）在入厂前，接受甲方的入厂安全教育培训，经考试合格后方可入厂。同时，乙方还应进行自身安全教育培训，建立安全培训档案，培训内容包括：操作及作业规范、防护用品使用方法、安全风险及防控措施、应急处置措施等，培训相关情况应报甲方备案。乙方特种作业人员和特种设备作业人员必须按国家有关规定经过专门的教育培训，持有相应有效的资格证书，并提交甲方备案。</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九）乙方对甲方执行的安全措施存在异议、不明白时，应就承包的具体作业任务要求甲方进行现场安全、技术交底和风险告知，了解现场作业环境、设备运行情况和风险因素。在生产区域作业时，对甲方执行的安全措施不到位的情况，应要求甲方采取必要的系统隔离措施，以保证作业安全。</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（十）在甲方安排乙方与其他单位进行配合作业或交叉作业时，乙方应要求甲方进行统一组织和协调，合理安排施工工序，做好安全互保工作。</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（十一）作业现场发现重大安全隐患或发生危及人身或设备安全的情况时，乙方有权暂停施工作业，并立即开展应急处置，报告甲方项目负责人以及安全监督部门相关人员。</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（十二）项目负责人按要求参加甲方安委会、安全分析会，落实会议对于项目的安全工作要求；参加甲方的安全生产相关会议，负责落实甲方会议对项目的具体安全工作安排。</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十三）应组织本项目的所有人员在县级及以上医院进行身体健康体检。对可能接触职业危害的人员，按规定开展职业健康体检，作业过程进行相应的预防和控制。有职业禁忌证的人员不得安排从事职业禁忌范围内的作业，项目的用工情况应符合国家相关法规要求。</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十四）项目使用的特种设备、工器具、施工机具、安全防护用品等，必须满足安全施工要求，由具备资质的机构或部门出具检验检测合格报告，按规定履行审查验收、登记备案手续后方可入厂使用，合格证或检验记录应粘贴于明显位置，相关清册应提交甲方。</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（十五）定期对施工区域、作业环境、施工工艺、作业过程等进行全面检查，发现问题和隐患应及时进行整改，确保施工作业安全。及时清扫、整理，保持工作现场整洁；工作结束，必须做到工完料尽场地清。</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（十六）根据工作性质和相关法规要求，配齐项目现场工作人员所必须的个人安全防护用品和劳动保护用品，督促项目部工作人员正确使用。</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十七）乙方车辆、施工机具进入厂区必须办理临时通行证，车辆进出生产区域必须出示有效证件，乙方车辆、施工机具在厂区需按甲方指定路线限速行驶，指定位置停放。乙方应教育、督促作业人员在甲方指定的区域开展工作，不进入项目施工不相关区域，如确需要进入不相关区域，需甲方项目相关管理人员许可。</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十八）严格执行厂区的防火防爆规定，动用消防水和消防器材时必须向甲方消防管理部门申报，经批准后方可实施。动土作业过程中应保证地下管线、消防设备设施、电缆、接地网、通讯设施及工作范围内设备设施的安全，开挖前应采取保护措施并由甲方许可和现场交底。施工作业接电源、水源、汽源、气源等，需破坏道路、绿化、下水管道等，必须得到甲方管理部门同意，确保安全的条件下才能实施，工作结束后，必须立即恢复。按照环境保护相关规定，落实有毒有害物、危险废弃物的管理，施工作业现场应做好防止扬尘、废气和噪声的措施，建筑垃圾、生活垃圾规范处置。</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十九）乙方应保证人员队伍稳定，乙方项目施工人员的数量、安全素质及其他要求，应严格按照甲方要求执行。施工人员无特殊原因不得擅自更换。确因特殊原因更换施工人员需提交书面申请，经甲方安全监督部门和对口管理部门同意后方可更换。</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（二十）为参加本工程项目的所有人员购买安全生产责任保险，保额不低于</w:t>
      </w:r>
      <w:r>
        <w:rPr>
          <w:rFonts w:hint="eastAsia" w:ascii="宋体" w:hAnsi="宋体"/>
          <w:color w:val="auto"/>
          <w:sz w:val="21"/>
          <w:szCs w:val="21"/>
          <w:highlight w:val="none"/>
          <w:lang w:val="en-US" w:eastAsia="zh-CN"/>
        </w:rPr>
        <w:t>100</w:t>
      </w:r>
      <w:r>
        <w:rPr>
          <w:rFonts w:hint="eastAsia" w:ascii="宋体" w:hAnsi="宋体"/>
          <w:color w:val="auto"/>
          <w:sz w:val="21"/>
          <w:szCs w:val="21"/>
          <w:highlight w:val="none"/>
        </w:rPr>
        <w:t>万元人民币，每人按规定为所有人员购买工伤保险或意外伤害保险。</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四、事故、不安全事件和违约责任</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一）承包项目实施过程中发生安全或事故（人身伤亡、设备损坏、火灾、交通、环境污染、坍塌事故等）的，乙方应在事发第一时间报告甲方，同时，按有关规定和甲方要求上报地方政府相关部门。甲方和乙方共同保护事故现场，开展应急救援，并配合政府组成的事故调查组进行事故调查和处理工作。</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二）承包项目实施过程中发生设备设施损坏不安全事件，且在公共区域造成的，由甲方和乙方开展现场应急处置，组成联合调查组开展不安全事件调查和处理，相关部门和人员的考核标准按照甲方的管理规定执行。</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三）乙方在施工过程中，包括但不限于：因劳动防护用品、安全工器具、施工工具和材料等不符合安全要求的，以及擅自移动安全设施、擅自变更安全措施、误碰运行设备、超越工作区域、违章指挥、违章作业、违反纪律、人员身体健康状况等因素所发生的人身伤害、设备事故，乙方应负全部责任，并承担后果。甲方不承担任何经济赔偿责任，由此造成的一切经济损失和工期延误责任由乙方负责。</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（四）项目完成后，由甲方或委托有关单位进行验收，乙方在结清有关违章等安全考核款项，并落实遗留问题处理责任后，方可结算合同款。</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（五）因施工质量等原因，项目在交付甲方使用中出现安全问题，在合同规定的追溯期内，乙方应承担相应的经济或法律责任。</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六）甲方建立外包项目“黑名单”制度，对不履行安全生产责任、存在严重违章违规、重大安全隐患整改不力或拒不整改的，以及发生生产安全事故的外包单位，列入外包项目“黑名单”，并报甲方上级单位备案。列</w:t>
      </w:r>
      <w:r>
        <w:rPr>
          <w:rFonts w:hint="eastAsia" w:ascii="宋体" w:hAnsi="宋体"/>
          <w:color w:val="auto"/>
          <w:sz w:val="21"/>
          <w:szCs w:val="21"/>
          <w:highlight w:val="none"/>
          <w:lang w:val="en-US" w:eastAsia="zh-CN"/>
        </w:rPr>
        <w:t>入</w:t>
      </w:r>
      <w:r>
        <w:rPr>
          <w:rFonts w:hint="eastAsia" w:ascii="宋体" w:hAnsi="宋体"/>
          <w:color w:val="auto"/>
          <w:sz w:val="21"/>
          <w:szCs w:val="21"/>
          <w:highlight w:val="none"/>
        </w:rPr>
        <w:t>“黑名单”的单位，在集团范围内承揽项目方面将受到严格限制。</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五、不可抗力</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（一）不可抗力事件是指合同双方在签署本合同时不能预见、不能避免并不能克服的客观情况。包括：地震、台风、水灾、火灾，以及政府行为、战争、瘟疫等。</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（二）若任何一方因不可抗力事件不能履行本协议，应及时通知对方，并在不可抗力发生后10天内向对方提供有关不可抗力发生的有效证明。</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（三）受不可抗力事件影响的一方应迅速采取合理的措施，尽量减少因不可抗力事件给各方带来的损失。如果未能采取积极的措施减少不可抗力事件的影响，则该方应承担由此而扩大的损失。</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（四）如果发生影响履行本协议的不可抗力事件，则双方应及时协商制定并实施补救计划和合理的替代措施，减少或消除不可抗力事件的影响。</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六、争议解决方式</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本合同在履行过程中发生争议，应首先通过协商的方式解决；协商不成，向主合同签订地所在地人民法院起诉；在诉讼期间，本合同不涉及争议部分的条款仍须履行（与主合同一致）。</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七、附则</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（一）本协议约定的各项条款，经双方法定代表人（或授权代理人）签字</w:t>
      </w:r>
      <w:r>
        <w:rPr>
          <w:rFonts w:hint="eastAsia" w:hAnsi="宋体"/>
          <w:color w:val="auto"/>
          <w:sz w:val="21"/>
          <w:szCs w:val="21"/>
          <w:highlight w:val="none"/>
          <w:lang w:val="en-US" w:eastAsia="zh-CN"/>
        </w:rPr>
        <w:t>或盖章并</w:t>
      </w:r>
      <w:r>
        <w:rPr>
          <w:rFonts w:hint="eastAsia" w:ascii="宋体" w:hAnsi="宋体"/>
          <w:color w:val="auto"/>
          <w:sz w:val="21"/>
          <w:szCs w:val="21"/>
          <w:highlight w:val="none"/>
        </w:rPr>
        <w:t>盖</w:t>
      </w:r>
      <w:r>
        <w:rPr>
          <w:rFonts w:hint="eastAsia" w:hAnsi="宋体"/>
          <w:color w:val="auto"/>
          <w:sz w:val="21"/>
          <w:szCs w:val="21"/>
          <w:highlight w:val="none"/>
          <w:lang w:val="en-US" w:eastAsia="zh-CN"/>
        </w:rPr>
        <w:t>公章或合同</w:t>
      </w:r>
      <w:r>
        <w:rPr>
          <w:rFonts w:hint="eastAsia" w:ascii="宋体" w:hAnsi="宋体"/>
          <w:color w:val="auto"/>
          <w:sz w:val="21"/>
          <w:szCs w:val="21"/>
          <w:highlight w:val="none"/>
        </w:rPr>
        <w:t>章后生效，甲乙双方各持一份。本协议作为项目合同附件，是对项目合同内容的补充，与项目合同具有同等法律效力。</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（二）双方如有未尽事宜或需变更、调整的事项，可另行签订补充协议。</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（三）本协议有效期至</w:t>
      </w:r>
      <w:r>
        <w:rPr>
          <w:rFonts w:hint="eastAsia" w:hAnsi="宋体"/>
          <w:color w:val="auto"/>
          <w:sz w:val="21"/>
          <w:szCs w:val="21"/>
          <w:highlight w:val="none"/>
          <w:lang w:val="en-US" w:eastAsia="zh-CN"/>
        </w:rPr>
        <w:t>项目</w:t>
      </w:r>
      <w:r>
        <w:rPr>
          <w:rFonts w:hint="eastAsia" w:ascii="宋体" w:hAnsi="宋体"/>
          <w:color w:val="auto"/>
          <w:sz w:val="21"/>
          <w:szCs w:val="21"/>
          <w:highlight w:val="none"/>
        </w:rPr>
        <w:t>合同履行结束为止。</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（四）其他未尽事宜以国家和行业规定为准，国家和行业没有规定的，以甲方最新制度标准为准。</w:t>
      </w:r>
    </w:p>
    <w:p>
      <w:pPr>
        <w:adjustRightInd w:val="0"/>
        <w:snapToGrid w:val="0"/>
        <w:spacing w:line="360" w:lineRule="auto"/>
        <w:ind w:firstLine="420" w:firstLineChars="200"/>
        <w:rPr>
          <w:rFonts w:hint="eastAsia" w:ascii="宋体" w:hAnsi="宋体"/>
          <w:color w:val="auto"/>
          <w:sz w:val="21"/>
          <w:szCs w:val="21"/>
          <w:highlight w:val="none"/>
        </w:rPr>
      </w:pPr>
    </w:p>
    <w:p>
      <w:pPr>
        <w:adjustRightInd w:val="0"/>
        <w:snapToGrid w:val="0"/>
        <w:spacing w:line="360" w:lineRule="auto"/>
        <w:ind w:firstLine="420" w:firstLineChars="200"/>
        <w:rPr>
          <w:rFonts w:hint="eastAsia" w:ascii="宋体" w:hAnsi="宋体"/>
          <w:color w:val="auto"/>
          <w:sz w:val="21"/>
          <w:szCs w:val="21"/>
          <w:highlight w:val="none"/>
        </w:rPr>
      </w:pP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甲方：                           乙方：</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单位名称（盖章）：               单位名称（盖章）：</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法定代表人（或授权代理人）：     法定代表人（或授权代理人）：</w:t>
      </w:r>
    </w:p>
    <w:p>
      <w:pPr>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签订日期：                        签订日期：</w:t>
      </w:r>
    </w:p>
    <w:p>
      <w:pPr>
        <w:pStyle w:val="34"/>
        <w:snapToGrid w:val="0"/>
        <w:spacing w:before="0" w:after="0"/>
        <w:jc w:val="both"/>
        <w:rPr>
          <w:rFonts w:hint="eastAsia" w:ascii="宋体" w:hAnsi="宋体"/>
          <w:b/>
          <w:color w:val="auto"/>
          <w:sz w:val="21"/>
          <w:szCs w:val="21"/>
          <w:highlight w:val="none"/>
        </w:rPr>
        <w:sectPr>
          <w:pgSz w:w="11906" w:h="16838"/>
          <w:pgMar w:top="1418" w:right="1361" w:bottom="1134" w:left="1361" w:header="851" w:footer="851" w:gutter="0"/>
          <w:pgNumType w:fmt="decimal"/>
          <w:cols w:space="720" w:num="1"/>
          <w:docGrid w:linePitch="326" w:charSpace="0"/>
        </w:sectPr>
      </w:pPr>
    </w:p>
    <w:p>
      <w:pPr>
        <w:pStyle w:val="3"/>
        <w:jc w:val="both"/>
        <w:rPr>
          <w:rFonts w:ascii="宋体" w:hAnsi="宋体" w:eastAsia="宋体" w:cs="宋体"/>
          <w:color w:val="000000" w:themeColor="text1"/>
          <w:sz w:val="32"/>
          <w:szCs w:val="32"/>
          <w14:textFill>
            <w14:solidFill>
              <w14:schemeClr w14:val="tx1"/>
            </w14:solidFill>
          </w14:textFill>
        </w:rPr>
      </w:pPr>
      <w:r>
        <w:rPr>
          <w:rFonts w:hint="eastAsia"/>
          <w:lang w:val="en-US" w:eastAsia="zh-CN"/>
        </w:rPr>
        <w:t xml:space="preserve">              </w:t>
      </w:r>
      <w:bookmarkStart w:id="142" w:name="_Toc4310"/>
      <w:bookmarkStart w:id="143" w:name="_Toc78019926"/>
      <w:r>
        <w:rPr>
          <w:rFonts w:hint="eastAsia" w:ascii="宋体" w:hAnsi="宋体" w:eastAsia="宋体" w:cs="宋体"/>
          <w:color w:val="000000" w:themeColor="text1"/>
          <w:sz w:val="32"/>
          <w:szCs w:val="32"/>
          <w14:textFill>
            <w14:solidFill>
              <w14:schemeClr w14:val="tx1"/>
            </w14:solidFill>
          </w14:textFill>
        </w:rPr>
        <w:t>第五章 响应文件格式</w:t>
      </w:r>
      <w:bookmarkEnd w:id="142"/>
      <w:bookmarkEnd w:id="143"/>
    </w:p>
    <w:p>
      <w:pPr>
        <w:spacing w:line="360" w:lineRule="auto"/>
        <w:jc w:val="center"/>
        <w:rPr>
          <w:rFonts w:ascii="宋体" w:hAnsi="宋体" w:eastAsia="宋体" w:cs="宋体"/>
          <w:color w:val="000000" w:themeColor="text1"/>
          <w:sz w:val="56"/>
          <w:szCs w:val="36"/>
          <w14:textFill>
            <w14:solidFill>
              <w14:schemeClr w14:val="tx1"/>
            </w14:solidFill>
          </w14:textFill>
        </w:rPr>
      </w:pPr>
    </w:p>
    <w:p>
      <w:pPr>
        <w:spacing w:line="360" w:lineRule="auto"/>
        <w:jc w:val="center"/>
        <w:rPr>
          <w:rFonts w:ascii="宋体" w:hAnsi="宋体" w:eastAsia="宋体" w:cs="宋体"/>
          <w:color w:val="000000" w:themeColor="text1"/>
          <w:sz w:val="52"/>
          <w14:textFill>
            <w14:solidFill>
              <w14:schemeClr w14:val="tx1"/>
            </w14:solidFill>
          </w14:textFill>
        </w:rPr>
      </w:pPr>
      <w:r>
        <w:rPr>
          <w:rFonts w:hint="eastAsia" w:ascii="宋体" w:hAnsi="宋体" w:eastAsia="宋体" w:cs="宋体"/>
          <w:color w:val="000000" w:themeColor="text1"/>
          <w:sz w:val="52"/>
          <w14:textFill>
            <w14:solidFill>
              <w14:schemeClr w14:val="tx1"/>
            </w14:solidFill>
          </w14:textFill>
        </w:rPr>
        <w:t>（项目名称）</w:t>
      </w:r>
    </w:p>
    <w:p>
      <w:pPr>
        <w:spacing w:line="360" w:lineRule="auto"/>
        <w:jc w:val="center"/>
        <w:rPr>
          <w:rFonts w:ascii="宋体" w:hAnsi="宋体" w:eastAsia="宋体" w:cs="宋体"/>
          <w:color w:val="000000" w:themeColor="text1"/>
          <w:sz w:val="52"/>
          <w14:textFill>
            <w14:solidFill>
              <w14:schemeClr w14:val="tx1"/>
            </w14:solidFill>
          </w14:textFill>
        </w:rPr>
      </w:pPr>
      <w:r>
        <w:rPr>
          <w:rFonts w:hint="eastAsia" w:ascii="宋体" w:hAnsi="宋体" w:eastAsia="宋体" w:cs="宋体"/>
          <w:color w:val="000000" w:themeColor="text1"/>
          <w:sz w:val="52"/>
          <w14:textFill>
            <w14:solidFill>
              <w14:schemeClr w14:val="tx1"/>
            </w14:solidFill>
          </w14:textFill>
        </w:rPr>
        <w:t>响应文件</w:t>
      </w:r>
    </w:p>
    <w:p>
      <w:pPr>
        <w:spacing w:line="360" w:lineRule="auto"/>
        <w:rPr>
          <w:rFonts w:ascii="宋体" w:hAnsi="宋体" w:eastAsia="宋体" w:cs="宋体"/>
          <w:color w:val="000000" w:themeColor="text1"/>
          <w:sz w:val="32"/>
          <w:szCs w:val="32"/>
          <w14:textFill>
            <w14:solidFill>
              <w14:schemeClr w14:val="tx1"/>
            </w14:solidFill>
          </w14:textFill>
        </w:rPr>
      </w:pPr>
    </w:p>
    <w:p>
      <w:pPr>
        <w:spacing w:line="360" w:lineRule="auto"/>
        <w:jc w:val="center"/>
        <w:rPr>
          <w:rFonts w:ascii="宋体" w:hAnsi="宋体" w:eastAsia="宋体" w:cs="宋体"/>
          <w:color w:val="000000" w:themeColor="text1"/>
          <w:sz w:val="36"/>
          <w14:textFill>
            <w14:solidFill>
              <w14:schemeClr w14:val="tx1"/>
            </w14:solidFill>
          </w14:textFill>
        </w:rPr>
      </w:pPr>
    </w:p>
    <w:p>
      <w:pPr>
        <w:spacing w:line="360" w:lineRule="auto"/>
        <w:jc w:val="center"/>
        <w:rPr>
          <w:rFonts w:ascii="宋体" w:hAnsi="宋体" w:eastAsia="宋体" w:cs="宋体"/>
          <w:color w:val="000000" w:themeColor="text1"/>
          <w:sz w:val="36"/>
          <w14:textFill>
            <w14:solidFill>
              <w14:schemeClr w14:val="tx1"/>
            </w14:solidFill>
          </w14:textFill>
        </w:rPr>
      </w:pPr>
      <w:r>
        <w:rPr>
          <w:rFonts w:hint="eastAsia" w:ascii="宋体" w:hAnsi="宋体" w:eastAsia="宋体" w:cs="宋体"/>
          <w:color w:val="000000" w:themeColor="text1"/>
          <w:sz w:val="36"/>
          <w14:textFill>
            <w14:solidFill>
              <w14:schemeClr w14:val="tx1"/>
            </w14:solidFill>
          </w14:textFill>
        </w:rPr>
        <w:t>项目编号：</w:t>
      </w:r>
    </w:p>
    <w:p>
      <w:pPr>
        <w:pStyle w:val="74"/>
        <w:spacing w:line="360" w:lineRule="auto"/>
        <w:ind w:firstLine="560"/>
        <w:rPr>
          <w:rFonts w:ascii="宋体" w:hAnsi="宋体" w:cs="宋体"/>
        </w:rPr>
      </w:pPr>
    </w:p>
    <w:p>
      <w:pPr>
        <w:spacing w:line="360" w:lineRule="auto"/>
        <w:rPr>
          <w:rFonts w:ascii="宋体" w:hAnsi="宋体" w:eastAsia="宋体" w:cs="宋体"/>
        </w:rPr>
      </w:pPr>
      <w:r>
        <w:rPr>
          <w:rFonts w:hint="eastAsia" w:ascii="宋体" w:hAnsi="宋体" w:eastAsia="宋体" w:cs="宋体"/>
        </w:rPr>
        <w:t xml:space="preserve"> </w:t>
      </w:r>
    </w:p>
    <w:p>
      <w:pPr>
        <w:spacing w:line="360" w:lineRule="auto"/>
        <w:rPr>
          <w:rFonts w:ascii="宋体" w:hAnsi="宋体" w:eastAsia="宋体" w:cs="宋体"/>
        </w:rPr>
      </w:pPr>
    </w:p>
    <w:p>
      <w:pPr>
        <w:spacing w:line="360" w:lineRule="auto"/>
        <w:rPr>
          <w:rFonts w:ascii="宋体" w:hAnsi="宋体" w:eastAsia="宋体" w:cs="宋体"/>
        </w:rPr>
      </w:pPr>
    </w:p>
    <w:p>
      <w:pPr>
        <w:spacing w:line="360" w:lineRule="auto"/>
        <w:jc w:val="left"/>
        <w:rPr>
          <w:rFonts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服务商（签章）：</w:t>
      </w:r>
    </w:p>
    <w:p>
      <w:pPr>
        <w:spacing w:line="360" w:lineRule="auto"/>
        <w:jc w:val="left"/>
        <w:rPr>
          <w:rFonts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法定代表人（负责人）或其委托代理人（签章或签字）：</w:t>
      </w:r>
    </w:p>
    <w:p>
      <w:pPr>
        <w:spacing w:line="360" w:lineRule="auto"/>
        <w:jc w:val="left"/>
        <w:rPr>
          <w:rFonts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年  月  日</w:t>
      </w:r>
    </w:p>
    <w:p>
      <w:pPr>
        <w:widowControl/>
        <w:spacing w:line="360" w:lineRule="auto"/>
        <w:jc w:val="left"/>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p>
    <w:p>
      <w:pPr>
        <w:pStyle w:val="5"/>
        <w:jc w:val="center"/>
      </w:pPr>
      <w:bookmarkStart w:id="144" w:name="_Toc39581740"/>
      <w:bookmarkStart w:id="145" w:name="_Toc78019928"/>
      <w:r>
        <w:rPr>
          <w:rFonts w:hint="eastAsia"/>
        </w:rPr>
        <w:t>响应报价一览表</w:t>
      </w:r>
      <w:bookmarkEnd w:id="144"/>
      <w:r>
        <w:rPr>
          <w:rFonts w:hint="eastAsia"/>
        </w:rPr>
        <w:t>【第一次】</w:t>
      </w:r>
      <w:bookmarkEnd w:id="145"/>
    </w:p>
    <w:p>
      <w:pPr>
        <w:adjustRightInd w:val="0"/>
        <w:snapToGrid w:val="0"/>
        <w:spacing w:beforeLines="50" w:afterLines="50" w:line="360" w:lineRule="auto"/>
        <w:jc w:val="left"/>
        <w:rPr>
          <w:rFonts w:ascii="宋体" w:hAnsi="宋体" w:eastAsia="宋体" w:cs="Times New Roman"/>
          <w:sz w:val="24"/>
          <w:szCs w:val="24"/>
        </w:rPr>
      </w:pPr>
      <w:r>
        <w:rPr>
          <w:rFonts w:hint="eastAsia" w:ascii="宋体" w:hAnsi="宋体" w:eastAsia="宋体" w:cs="Times New Roman"/>
          <w:sz w:val="24"/>
          <w:szCs w:val="24"/>
        </w:rPr>
        <w:t>项目</w:t>
      </w:r>
      <w:r>
        <w:rPr>
          <w:rFonts w:ascii="宋体" w:hAnsi="宋体" w:eastAsia="宋体" w:cs="Times New Roman"/>
          <w:sz w:val="24"/>
          <w:szCs w:val="24"/>
        </w:rPr>
        <w:t>名称：</w:t>
      </w:r>
      <w:r>
        <w:rPr>
          <w:rFonts w:hint="eastAsia" w:ascii="宋体" w:hAnsi="宋体" w:eastAsia="宋体" w:cs="Times New Roman"/>
          <w:sz w:val="24"/>
          <w:szCs w:val="24"/>
        </w:rPr>
        <w:t>云南能投曲靖发电有限公司</w:t>
      </w:r>
      <w:r>
        <w:rPr>
          <w:rFonts w:hint="eastAsia" w:ascii="宋体" w:hAnsi="宋体" w:eastAsia="宋体" w:cs="宋体"/>
          <w:sz w:val="24"/>
          <w:szCs w:val="24"/>
        </w:rPr>
        <w:t>三期扩建项目可行性研究报告编制服务项目</w:t>
      </w:r>
    </w:p>
    <w:p>
      <w:pPr>
        <w:adjustRightInd w:val="0"/>
        <w:snapToGrid w:val="0"/>
        <w:spacing w:beforeLines="50" w:afterLines="50" w:line="360" w:lineRule="auto"/>
        <w:rPr>
          <w:rFonts w:ascii="宋体" w:hAnsi="宋体" w:eastAsia="宋体" w:cs="Times New Roman"/>
          <w:sz w:val="24"/>
          <w:szCs w:val="24"/>
        </w:rPr>
      </w:pPr>
      <w:r>
        <w:rPr>
          <w:rFonts w:hint="eastAsia" w:ascii="宋体" w:hAnsi="宋体" w:eastAsia="宋体" w:cs="Times New Roman"/>
          <w:sz w:val="24"/>
          <w:szCs w:val="24"/>
        </w:rPr>
        <w:t>采购</w:t>
      </w:r>
      <w:r>
        <w:rPr>
          <w:rFonts w:ascii="宋体" w:hAnsi="宋体" w:eastAsia="宋体" w:cs="Times New Roman"/>
          <w:sz w:val="24"/>
          <w:szCs w:val="24"/>
        </w:rPr>
        <w:t>编号：</w:t>
      </w:r>
    </w:p>
    <w:tbl>
      <w:tblPr>
        <w:tblStyle w:val="38"/>
        <w:tblW w:w="92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65"/>
        <w:gridCol w:w="4056"/>
        <w:gridCol w:w="16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565" w:type="dxa"/>
          </w:tcPr>
          <w:p>
            <w:pPr>
              <w:spacing w:line="360" w:lineRule="auto"/>
              <w:jc w:val="center"/>
              <w:rPr>
                <w:rFonts w:hint="eastAsia" w:ascii="宋体" w:hAnsi="宋体" w:cs="宋体" w:eastAsiaTheme="minorEastAsia"/>
                <w:b/>
                <w:sz w:val="24"/>
                <w:lang w:eastAsia="zh-CN"/>
              </w:rPr>
            </w:pPr>
            <w:r>
              <w:rPr>
                <w:rFonts w:hint="eastAsia" w:ascii="宋体" w:hAnsi="宋体" w:cs="宋体"/>
                <w:b/>
                <w:sz w:val="24"/>
                <w:lang w:val="en-US" w:eastAsia="zh-CN"/>
              </w:rPr>
              <w:t>项目</w:t>
            </w:r>
          </w:p>
        </w:tc>
        <w:tc>
          <w:tcPr>
            <w:tcW w:w="4056" w:type="dxa"/>
          </w:tcPr>
          <w:p>
            <w:pPr>
              <w:spacing w:line="360" w:lineRule="auto"/>
              <w:jc w:val="center"/>
              <w:rPr>
                <w:rFonts w:hint="eastAsia" w:ascii="宋体" w:hAnsi="宋体" w:eastAsia="宋体" w:cs="宋体"/>
                <w:b/>
                <w:sz w:val="24"/>
                <w:lang w:val="en-US" w:eastAsia="zh-CN"/>
              </w:rPr>
            </w:pPr>
            <w:r>
              <w:rPr>
                <w:rFonts w:hint="eastAsia" w:ascii="宋体" w:hAnsi="宋体" w:eastAsia="宋体" w:cs="宋体"/>
                <w:b/>
                <w:sz w:val="24"/>
                <w:lang w:val="en-US" w:eastAsia="zh-CN"/>
              </w:rPr>
              <w:t>内容</w:t>
            </w:r>
          </w:p>
        </w:tc>
        <w:tc>
          <w:tcPr>
            <w:tcW w:w="1621" w:type="dxa"/>
          </w:tcPr>
          <w:p>
            <w:pPr>
              <w:spacing w:line="360" w:lineRule="auto"/>
              <w:jc w:val="center"/>
              <w:rPr>
                <w:rFonts w:ascii="宋体" w:hAnsi="宋体" w:cs="宋体"/>
                <w:b/>
                <w:sz w:val="24"/>
              </w:rPr>
            </w:pPr>
            <w:r>
              <w:rPr>
                <w:rFonts w:hint="eastAsia" w:ascii="宋体" w:hAnsi="宋体" w:cs="宋体"/>
                <w:b/>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565" w:type="dxa"/>
            <w:vAlign w:val="center"/>
          </w:tcPr>
          <w:p>
            <w:pPr>
              <w:jc w:val="center"/>
              <w:rPr>
                <w:rFonts w:ascii="宋体" w:hAnsi="宋体" w:cs="宋体"/>
                <w:b/>
                <w:sz w:val="24"/>
              </w:rPr>
            </w:pPr>
            <w:r>
              <w:rPr>
                <w:rFonts w:hint="eastAsia" w:ascii="宋体" w:hAnsi="宋体" w:cs="宋体"/>
                <w:b/>
                <w:sz w:val="24"/>
              </w:rPr>
              <w:t>含税总报价（元）</w:t>
            </w:r>
          </w:p>
        </w:tc>
        <w:tc>
          <w:tcPr>
            <w:tcW w:w="4056" w:type="dxa"/>
          </w:tcPr>
          <w:p>
            <w:pPr>
              <w:spacing w:line="360" w:lineRule="auto"/>
              <w:jc w:val="left"/>
              <w:rPr>
                <w:rFonts w:ascii="宋体" w:hAnsi="宋体" w:cs="宋体"/>
                <w:b/>
                <w:sz w:val="24"/>
              </w:rPr>
            </w:pPr>
            <w:r>
              <w:rPr>
                <w:rFonts w:hint="eastAsia" w:ascii="宋体" w:hAnsi="宋体" w:cs="宋体"/>
                <w:b/>
                <w:sz w:val="24"/>
              </w:rPr>
              <w:t>小写：</w:t>
            </w:r>
          </w:p>
          <w:p>
            <w:pPr>
              <w:spacing w:line="360" w:lineRule="auto"/>
              <w:jc w:val="left"/>
              <w:rPr>
                <w:rFonts w:ascii="宋体" w:hAnsi="宋体" w:cs="宋体"/>
                <w:b/>
                <w:sz w:val="24"/>
              </w:rPr>
            </w:pPr>
            <w:r>
              <w:rPr>
                <w:rFonts w:hint="eastAsia" w:ascii="宋体" w:hAnsi="宋体" w:cs="宋体"/>
                <w:b/>
                <w:sz w:val="24"/>
              </w:rPr>
              <w:t>大写：</w:t>
            </w:r>
          </w:p>
        </w:tc>
        <w:tc>
          <w:tcPr>
            <w:tcW w:w="1621" w:type="dxa"/>
            <w:vAlign w:val="center"/>
          </w:tcPr>
          <w:p>
            <w:pPr>
              <w:spacing w:line="360" w:lineRule="auto"/>
              <w:jc w:val="center"/>
              <w:rPr>
                <w:rFonts w:ascii="宋体" w:hAnsi="宋体" w:eastAsia="宋体" w:cs="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565" w:type="dxa"/>
          </w:tcPr>
          <w:p>
            <w:pPr>
              <w:spacing w:line="360" w:lineRule="auto"/>
              <w:jc w:val="center"/>
              <w:rPr>
                <w:rFonts w:ascii="宋体" w:hAnsi="宋体" w:eastAsia="宋体" w:cs="宋体"/>
                <w:b/>
                <w:sz w:val="24"/>
              </w:rPr>
            </w:pPr>
            <w:r>
              <w:rPr>
                <w:rFonts w:hint="eastAsia" w:ascii="宋体" w:hAnsi="宋体" w:cs="宋体"/>
                <w:b/>
                <w:sz w:val="24"/>
              </w:rPr>
              <w:t>增值税税率</w:t>
            </w:r>
          </w:p>
        </w:tc>
        <w:tc>
          <w:tcPr>
            <w:tcW w:w="4056" w:type="dxa"/>
          </w:tcPr>
          <w:p>
            <w:pPr>
              <w:spacing w:line="360" w:lineRule="auto"/>
              <w:jc w:val="left"/>
              <w:rPr>
                <w:rFonts w:ascii="宋体" w:hAnsi="宋体" w:cs="宋体"/>
                <w:b/>
                <w:sz w:val="24"/>
              </w:rPr>
            </w:pPr>
          </w:p>
        </w:tc>
        <w:tc>
          <w:tcPr>
            <w:tcW w:w="1621" w:type="dxa"/>
          </w:tcPr>
          <w:p>
            <w:pPr>
              <w:spacing w:line="360" w:lineRule="auto"/>
              <w:jc w:val="left"/>
              <w:rPr>
                <w:rFonts w:ascii="宋体" w:hAnsi="宋体" w:cs="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565" w:type="dxa"/>
          </w:tcPr>
          <w:p>
            <w:pPr>
              <w:spacing w:line="360" w:lineRule="auto"/>
              <w:jc w:val="center"/>
              <w:rPr>
                <w:rFonts w:ascii="宋体" w:hAnsi="宋体" w:eastAsia="宋体" w:cs="宋体"/>
                <w:b/>
                <w:sz w:val="24"/>
              </w:rPr>
            </w:pPr>
            <w:r>
              <w:rPr>
                <w:rFonts w:hint="eastAsia" w:ascii="宋体" w:hAnsi="宋体" w:cs="宋体"/>
                <w:b/>
                <w:sz w:val="24"/>
              </w:rPr>
              <w:t>不含税报价（元）</w:t>
            </w:r>
          </w:p>
        </w:tc>
        <w:tc>
          <w:tcPr>
            <w:tcW w:w="4056" w:type="dxa"/>
          </w:tcPr>
          <w:p>
            <w:pPr>
              <w:spacing w:line="360" w:lineRule="auto"/>
              <w:jc w:val="left"/>
              <w:rPr>
                <w:rFonts w:ascii="宋体" w:hAnsi="宋体" w:cs="宋体"/>
                <w:b/>
                <w:sz w:val="24"/>
              </w:rPr>
            </w:pPr>
          </w:p>
        </w:tc>
        <w:tc>
          <w:tcPr>
            <w:tcW w:w="1621" w:type="dxa"/>
          </w:tcPr>
          <w:p>
            <w:pPr>
              <w:spacing w:line="360" w:lineRule="auto"/>
              <w:jc w:val="left"/>
              <w:rPr>
                <w:rFonts w:ascii="宋体" w:hAnsi="宋体" w:cs="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565" w:type="dxa"/>
          </w:tcPr>
          <w:p>
            <w:pPr>
              <w:spacing w:line="360" w:lineRule="auto"/>
              <w:jc w:val="center"/>
              <w:rPr>
                <w:rFonts w:ascii="宋体" w:hAnsi="宋体" w:cs="宋体"/>
                <w:b/>
                <w:sz w:val="24"/>
              </w:rPr>
            </w:pPr>
            <w:r>
              <w:rPr>
                <w:rFonts w:hint="eastAsia" w:ascii="宋体" w:hAnsi="宋体" w:cs="宋体"/>
                <w:b/>
                <w:sz w:val="24"/>
              </w:rPr>
              <w:t>项目经理（或设计总工程师）</w:t>
            </w:r>
          </w:p>
          <w:p>
            <w:pPr>
              <w:spacing w:line="360" w:lineRule="auto"/>
              <w:jc w:val="center"/>
              <w:rPr>
                <w:rFonts w:ascii="宋体" w:hAnsi="宋体" w:cs="宋体"/>
                <w:b/>
                <w:sz w:val="24"/>
              </w:rPr>
            </w:pPr>
            <w:r>
              <w:rPr>
                <w:rFonts w:hint="eastAsia" w:ascii="宋体" w:hAnsi="宋体" w:cs="宋体"/>
                <w:b/>
                <w:sz w:val="24"/>
              </w:rPr>
              <w:t>姓名</w:t>
            </w:r>
          </w:p>
        </w:tc>
        <w:tc>
          <w:tcPr>
            <w:tcW w:w="4056" w:type="dxa"/>
          </w:tcPr>
          <w:p>
            <w:pPr>
              <w:spacing w:line="360" w:lineRule="auto"/>
              <w:jc w:val="left"/>
              <w:rPr>
                <w:rFonts w:ascii="宋体" w:hAnsi="宋体" w:cs="宋体"/>
                <w:b/>
                <w:sz w:val="24"/>
              </w:rPr>
            </w:pPr>
          </w:p>
        </w:tc>
        <w:tc>
          <w:tcPr>
            <w:tcW w:w="1621" w:type="dxa"/>
          </w:tcPr>
          <w:p>
            <w:pPr>
              <w:spacing w:line="360" w:lineRule="auto"/>
              <w:jc w:val="left"/>
              <w:rPr>
                <w:rFonts w:ascii="宋体" w:hAnsi="宋体" w:cs="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565" w:type="dxa"/>
          </w:tcPr>
          <w:p>
            <w:pPr>
              <w:spacing w:line="360" w:lineRule="auto"/>
              <w:jc w:val="center"/>
              <w:rPr>
                <w:rFonts w:ascii="宋体" w:hAnsi="宋体" w:cs="宋体"/>
                <w:b/>
                <w:sz w:val="24"/>
              </w:rPr>
            </w:pPr>
            <w:r>
              <w:rPr>
                <w:rFonts w:hint="eastAsia" w:ascii="宋体" w:hAnsi="宋体" w:cs="宋体"/>
                <w:b/>
                <w:sz w:val="24"/>
              </w:rPr>
              <w:t>服务期承诺</w:t>
            </w:r>
          </w:p>
        </w:tc>
        <w:tc>
          <w:tcPr>
            <w:tcW w:w="4056" w:type="dxa"/>
          </w:tcPr>
          <w:p>
            <w:pPr>
              <w:spacing w:line="360" w:lineRule="auto"/>
              <w:jc w:val="left"/>
              <w:rPr>
                <w:rFonts w:ascii="宋体" w:hAnsi="宋体" w:cs="宋体"/>
                <w:b/>
                <w:sz w:val="24"/>
              </w:rPr>
            </w:pPr>
          </w:p>
        </w:tc>
        <w:tc>
          <w:tcPr>
            <w:tcW w:w="1621" w:type="dxa"/>
          </w:tcPr>
          <w:p>
            <w:pPr>
              <w:spacing w:line="360" w:lineRule="auto"/>
              <w:jc w:val="left"/>
              <w:rPr>
                <w:rFonts w:ascii="宋体" w:hAnsi="宋体" w:cs="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565" w:type="dxa"/>
          </w:tcPr>
          <w:p>
            <w:pPr>
              <w:spacing w:line="360" w:lineRule="auto"/>
              <w:jc w:val="center"/>
              <w:rPr>
                <w:rFonts w:ascii="宋体" w:hAnsi="宋体" w:cs="宋体"/>
                <w:b/>
                <w:sz w:val="24"/>
              </w:rPr>
            </w:pPr>
            <w:r>
              <w:rPr>
                <w:rFonts w:hint="eastAsia" w:ascii="宋体" w:hAnsi="宋体" w:cs="宋体"/>
                <w:b/>
                <w:sz w:val="24"/>
              </w:rPr>
              <w:t>服务质量承诺</w:t>
            </w:r>
          </w:p>
        </w:tc>
        <w:tc>
          <w:tcPr>
            <w:tcW w:w="4056" w:type="dxa"/>
          </w:tcPr>
          <w:p>
            <w:pPr>
              <w:spacing w:line="360" w:lineRule="auto"/>
              <w:jc w:val="left"/>
              <w:rPr>
                <w:rFonts w:ascii="宋体" w:hAnsi="宋体" w:cs="宋体"/>
                <w:b/>
                <w:sz w:val="24"/>
              </w:rPr>
            </w:pPr>
          </w:p>
        </w:tc>
        <w:tc>
          <w:tcPr>
            <w:tcW w:w="1621" w:type="dxa"/>
          </w:tcPr>
          <w:p>
            <w:pPr>
              <w:spacing w:line="360" w:lineRule="auto"/>
              <w:jc w:val="left"/>
              <w:rPr>
                <w:rFonts w:ascii="宋体" w:hAnsi="宋体" w:cs="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565" w:type="dxa"/>
            <w:vAlign w:val="center"/>
          </w:tcPr>
          <w:p>
            <w:pPr>
              <w:spacing w:line="360" w:lineRule="auto"/>
              <w:jc w:val="center"/>
              <w:rPr>
                <w:rFonts w:ascii="宋体" w:hAnsi="宋体" w:eastAsia="宋体" w:cs="宋体"/>
                <w:b/>
                <w:sz w:val="24"/>
              </w:rPr>
            </w:pPr>
            <w:r>
              <w:rPr>
                <w:rFonts w:hint="eastAsia" w:ascii="宋体" w:hAnsi="宋体" w:cs="宋体"/>
                <w:b/>
                <w:sz w:val="24"/>
              </w:rPr>
              <w:t>备注</w:t>
            </w:r>
          </w:p>
        </w:tc>
        <w:tc>
          <w:tcPr>
            <w:tcW w:w="4056" w:type="dxa"/>
          </w:tcPr>
          <w:p>
            <w:pPr>
              <w:spacing w:line="360" w:lineRule="auto"/>
              <w:jc w:val="left"/>
              <w:rPr>
                <w:rFonts w:ascii="宋体" w:hAnsi="宋体" w:cs="宋体"/>
                <w:b/>
                <w:sz w:val="24"/>
              </w:rPr>
            </w:pPr>
          </w:p>
        </w:tc>
        <w:tc>
          <w:tcPr>
            <w:tcW w:w="1621" w:type="dxa"/>
            <w:vAlign w:val="center"/>
          </w:tcPr>
          <w:p>
            <w:pPr>
              <w:spacing w:line="360" w:lineRule="auto"/>
              <w:jc w:val="center"/>
              <w:rPr>
                <w:rFonts w:ascii="宋体" w:hAnsi="宋体" w:eastAsia="宋体" w:cs="宋体"/>
                <w:b/>
                <w:sz w:val="24"/>
              </w:rPr>
            </w:pPr>
          </w:p>
        </w:tc>
      </w:tr>
    </w:tbl>
    <w:p>
      <w:pPr>
        <w:adjustRightInd w:val="0"/>
        <w:snapToGrid w:val="0"/>
        <w:spacing w:line="360" w:lineRule="auto"/>
        <w:rPr>
          <w:rFonts w:ascii="宋体" w:hAnsi="宋体" w:eastAsia="宋体" w:cs="Times New Roman"/>
          <w:b/>
          <w:sz w:val="28"/>
          <w:szCs w:val="24"/>
          <w:u w:val="single"/>
        </w:rPr>
      </w:pPr>
    </w:p>
    <w:p>
      <w:pPr>
        <w:tabs>
          <w:tab w:val="right" w:leader="middleDot" w:pos="8190"/>
        </w:tabs>
        <w:adjustRightInd w:val="0"/>
        <w:snapToGrid w:val="0"/>
        <w:spacing w:line="360" w:lineRule="auto"/>
        <w:rPr>
          <w:rFonts w:ascii="宋体" w:hAnsi="宋体" w:eastAsia="宋体" w:cs="Times New Roman"/>
          <w:b/>
          <w:szCs w:val="28"/>
        </w:rPr>
      </w:pPr>
      <w:r>
        <w:rPr>
          <w:rFonts w:hint="eastAsia" w:ascii="宋体" w:hAnsi="宋体" w:eastAsia="宋体" w:cs="Times New Roman"/>
          <w:b/>
          <w:szCs w:val="28"/>
        </w:rPr>
        <w:t>服务商</w:t>
      </w:r>
      <w:r>
        <w:rPr>
          <w:rFonts w:ascii="宋体" w:hAnsi="宋体" w:eastAsia="宋体" w:cs="Times New Roman"/>
          <w:b/>
          <w:szCs w:val="28"/>
        </w:rPr>
        <w:t>： （盖章）</w:t>
      </w:r>
    </w:p>
    <w:p>
      <w:pPr>
        <w:tabs>
          <w:tab w:val="right" w:leader="middleDot" w:pos="8190"/>
        </w:tabs>
        <w:adjustRightInd w:val="0"/>
        <w:snapToGrid w:val="0"/>
        <w:spacing w:line="360" w:lineRule="auto"/>
        <w:rPr>
          <w:rFonts w:ascii="宋体" w:hAnsi="宋体" w:eastAsia="宋体" w:cs="Times New Roman"/>
          <w:b/>
          <w:szCs w:val="28"/>
        </w:rPr>
      </w:pPr>
      <w:r>
        <w:rPr>
          <w:rFonts w:hint="eastAsia" w:ascii="宋体" w:hAnsi="宋体" w:eastAsia="宋体" w:cs="Times New Roman"/>
          <w:b/>
          <w:szCs w:val="28"/>
        </w:rPr>
        <w:t>服务商</w:t>
      </w:r>
      <w:r>
        <w:rPr>
          <w:rFonts w:ascii="宋体" w:hAnsi="宋体" w:eastAsia="宋体" w:cs="Times New Roman"/>
          <w:b/>
          <w:szCs w:val="28"/>
        </w:rPr>
        <w:t xml:space="preserve">法定代表人或法定代表人授权代理人（签字或盖章）： </w:t>
      </w:r>
    </w:p>
    <w:p>
      <w:pPr>
        <w:tabs>
          <w:tab w:val="right" w:leader="middleDot" w:pos="8190"/>
        </w:tabs>
        <w:adjustRightInd w:val="0"/>
        <w:snapToGrid w:val="0"/>
        <w:spacing w:line="360" w:lineRule="auto"/>
        <w:rPr>
          <w:rFonts w:ascii="宋体" w:hAnsi="宋体" w:eastAsia="宋体" w:cs="Times New Roman"/>
          <w:b/>
          <w:szCs w:val="28"/>
        </w:rPr>
      </w:pPr>
      <w:r>
        <w:rPr>
          <w:rFonts w:ascii="宋体" w:hAnsi="宋体" w:eastAsia="宋体" w:cs="Times New Roman"/>
          <w:b/>
          <w:szCs w:val="28"/>
        </w:rPr>
        <w:t>时间：    年   月   日</w:t>
      </w:r>
    </w:p>
    <w:p>
      <w:pPr>
        <w:tabs>
          <w:tab w:val="right" w:leader="middleDot" w:pos="8190"/>
        </w:tabs>
        <w:adjustRightInd w:val="0"/>
        <w:snapToGrid w:val="0"/>
        <w:spacing w:line="360" w:lineRule="auto"/>
        <w:rPr>
          <w:rFonts w:ascii="宋体" w:hAnsi="宋体" w:eastAsia="宋体" w:cs="Times New Roman"/>
          <w:szCs w:val="28"/>
        </w:rPr>
      </w:pPr>
      <w:bookmarkStart w:id="146" w:name="_Toc78019927"/>
      <w:r>
        <w:rPr>
          <w:rFonts w:hint="eastAsia" w:ascii="宋体" w:hAnsi="宋体" w:eastAsia="宋体" w:cs="Times New Roman"/>
          <w:szCs w:val="28"/>
        </w:rPr>
        <w:t>注意事项：</w:t>
      </w:r>
    </w:p>
    <w:p>
      <w:pPr>
        <w:tabs>
          <w:tab w:val="right" w:leader="middleDot" w:pos="8190"/>
        </w:tabs>
        <w:adjustRightInd w:val="0"/>
        <w:snapToGrid w:val="0"/>
        <w:spacing w:line="360" w:lineRule="auto"/>
        <w:rPr>
          <w:rFonts w:ascii="宋体" w:hAnsi="宋体" w:eastAsia="宋体" w:cs="Times New Roman"/>
          <w:szCs w:val="28"/>
        </w:rPr>
      </w:pPr>
      <w:r>
        <w:rPr>
          <w:rFonts w:hint="eastAsia" w:ascii="宋体" w:hAnsi="宋体" w:eastAsia="宋体" w:cs="Times New Roman"/>
          <w:szCs w:val="28"/>
        </w:rPr>
        <w:t>1.此表应装订于响应文件封面后第1页；</w:t>
      </w:r>
    </w:p>
    <w:p>
      <w:pPr>
        <w:tabs>
          <w:tab w:val="right" w:leader="middleDot" w:pos="8190"/>
        </w:tabs>
        <w:adjustRightInd w:val="0"/>
        <w:snapToGrid w:val="0"/>
        <w:spacing w:line="360" w:lineRule="auto"/>
        <w:rPr>
          <w:rFonts w:ascii="宋体" w:hAnsi="宋体" w:eastAsia="宋体" w:cs="Times New Roman"/>
          <w:szCs w:val="28"/>
        </w:rPr>
      </w:pPr>
      <w:r>
        <w:rPr>
          <w:rFonts w:hint="eastAsia" w:ascii="宋体" w:hAnsi="宋体" w:eastAsia="宋体" w:cs="Times New Roman"/>
          <w:szCs w:val="28"/>
        </w:rPr>
        <w:t>2.此表中的响应报价应可行性研究报告编制费、办公费、差旅费、资料费、人工费、税金、利润等发生的一切费用，在合同有效期内合同价格固定不变。</w:t>
      </w:r>
    </w:p>
    <w:p>
      <w:pPr>
        <w:tabs>
          <w:tab w:val="right" w:leader="middleDot" w:pos="8190"/>
        </w:tabs>
        <w:adjustRightInd w:val="0"/>
        <w:snapToGrid w:val="0"/>
        <w:spacing w:line="360" w:lineRule="auto"/>
        <w:rPr>
          <w:rFonts w:ascii="宋体" w:hAnsi="宋体" w:eastAsia="宋体" w:cs="Times New Roman"/>
          <w:szCs w:val="28"/>
        </w:rPr>
      </w:pPr>
    </w:p>
    <w:p>
      <w:pPr>
        <w:pStyle w:val="2"/>
        <w:rPr>
          <w:rFonts w:ascii="宋体" w:hAnsi="宋体" w:eastAsia="宋体" w:cs="Times New Roman"/>
          <w:szCs w:val="28"/>
        </w:rPr>
        <w:sectPr>
          <w:pgSz w:w="11906" w:h="16838"/>
          <w:pgMar w:top="1440" w:right="1080" w:bottom="1440" w:left="1080" w:header="851" w:footer="851" w:gutter="0"/>
          <w:cols w:space="720" w:num="1"/>
          <w:docGrid w:linePitch="312" w:charSpace="0"/>
        </w:sectPr>
      </w:pPr>
    </w:p>
    <w:p/>
    <w:p>
      <w:pPr>
        <w:tabs>
          <w:tab w:val="right" w:leader="middleDot" w:pos="8190"/>
        </w:tabs>
        <w:adjustRightInd w:val="0"/>
        <w:snapToGrid w:val="0"/>
        <w:spacing w:line="360" w:lineRule="auto"/>
        <w:rPr>
          <w:rFonts w:ascii="宋体" w:hAnsi="宋体" w:eastAsia="宋体" w:cs="Times New Roman"/>
          <w:szCs w:val="28"/>
        </w:rPr>
      </w:pPr>
    </w:p>
    <w:p>
      <w:pPr>
        <w:tabs>
          <w:tab w:val="right" w:leader="middleDot" w:pos="8190"/>
        </w:tabs>
        <w:adjustRightInd w:val="0"/>
        <w:snapToGrid w:val="0"/>
        <w:spacing w:line="360" w:lineRule="auto"/>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36"/>
          <w:szCs w:val="36"/>
          <w:lang w:bidi="en-US"/>
          <w14:textFill>
            <w14:solidFill>
              <w14:schemeClr w14:val="tx1"/>
            </w14:solidFill>
          </w14:textFill>
        </w:rPr>
        <w:t>目 录</w:t>
      </w:r>
      <w:bookmarkEnd w:id="146"/>
    </w:p>
    <w:p>
      <w:pPr>
        <w:widowControl/>
        <w:spacing w:line="360" w:lineRule="auto"/>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（服务商自行拟定）</w:t>
      </w:r>
    </w:p>
    <w:p>
      <w:pPr>
        <w:keepNext/>
        <w:keepLines/>
        <w:spacing w:line="360" w:lineRule="auto"/>
        <w:jc w:val="center"/>
        <w:outlineLvl w:val="2"/>
        <w:rPr>
          <w:rFonts w:ascii="宋体" w:hAnsi="宋体" w:eastAsia="宋体" w:cs="Times New Roman"/>
          <w:b/>
          <w:bCs/>
          <w:kern w:val="0"/>
          <w:sz w:val="18"/>
          <w:szCs w:val="20"/>
        </w:rPr>
      </w:pPr>
      <w:r>
        <w:rPr>
          <w:rFonts w:ascii="宋体" w:hAnsi="宋体" w:eastAsia="宋体" w:cs="Times New Roman"/>
          <w:b/>
          <w:bCs/>
          <w:kern w:val="0"/>
          <w:sz w:val="18"/>
          <w:szCs w:val="20"/>
        </w:rPr>
        <w:br w:type="page"/>
      </w:r>
      <w:r>
        <w:rPr>
          <w:rFonts w:hint="eastAsia" w:ascii="宋体" w:hAnsi="宋体" w:eastAsia="宋体" w:cs="Times New Roman"/>
          <w:b/>
          <w:bCs/>
          <w:kern w:val="0"/>
          <w:sz w:val="24"/>
          <w:szCs w:val="28"/>
        </w:rPr>
        <w:t>一、响应函</w:t>
      </w:r>
    </w:p>
    <w:p>
      <w:pPr>
        <w:spacing w:line="360" w:lineRule="auto"/>
        <w:rPr>
          <w:rFonts w:ascii="宋体" w:hAnsi="宋体" w:eastAsia="宋体" w:cs="Times New Roman"/>
          <w:szCs w:val="21"/>
        </w:rPr>
      </w:pPr>
      <w:r>
        <w:rPr>
          <w:rFonts w:ascii="宋体" w:hAnsi="宋体" w:eastAsia="宋体" w:cs="Times New Roman"/>
          <w:szCs w:val="21"/>
        </w:rPr>
        <w:t>致：（</w:t>
      </w:r>
      <w:r>
        <w:rPr>
          <w:rFonts w:hint="eastAsia" w:ascii="宋体" w:hAnsi="宋体" w:eastAsia="宋体" w:cs="Times New Roman"/>
          <w:szCs w:val="21"/>
        </w:rPr>
        <w:t>采购人</w:t>
      </w:r>
      <w:r>
        <w:rPr>
          <w:rFonts w:ascii="宋体" w:hAnsi="宋体" w:eastAsia="宋体" w:cs="Times New Roman"/>
          <w:szCs w:val="21"/>
        </w:rPr>
        <w:t>）</w:t>
      </w:r>
    </w:p>
    <w:p>
      <w:pPr>
        <w:spacing w:line="360" w:lineRule="auto"/>
        <w:ind w:firstLine="482"/>
        <w:rPr>
          <w:rFonts w:ascii="宋体" w:hAnsi="宋体" w:eastAsia="宋体" w:cs="Times New Roman"/>
          <w:szCs w:val="21"/>
        </w:rPr>
      </w:pPr>
      <w:r>
        <w:rPr>
          <w:rFonts w:ascii="宋体" w:hAnsi="宋体" w:eastAsia="宋体" w:cs="Times New Roman"/>
          <w:szCs w:val="21"/>
        </w:rPr>
        <w:t>根据贵方</w:t>
      </w:r>
      <w:r>
        <w:rPr>
          <w:rFonts w:ascii="宋体" w:hAnsi="宋体" w:eastAsia="宋体" w:cs="Times New Roman"/>
          <w:szCs w:val="21"/>
          <w:u w:val="single"/>
        </w:rPr>
        <w:t xml:space="preserve">（项目名称）               </w:t>
      </w:r>
      <w:r>
        <w:rPr>
          <w:rFonts w:ascii="宋体" w:hAnsi="宋体" w:eastAsia="宋体" w:cs="Times New Roman"/>
          <w:szCs w:val="21"/>
        </w:rPr>
        <w:t>（</w:t>
      </w:r>
      <w:r>
        <w:rPr>
          <w:rFonts w:hint="eastAsia" w:ascii="宋体" w:hAnsi="宋体" w:eastAsia="宋体" w:cs="Times New Roman"/>
          <w:szCs w:val="21"/>
        </w:rPr>
        <w:t>采购</w:t>
      </w:r>
      <w:r>
        <w:rPr>
          <w:rFonts w:ascii="宋体" w:hAnsi="宋体" w:eastAsia="宋体" w:cs="Times New Roman"/>
          <w:szCs w:val="21"/>
        </w:rPr>
        <w:t>编号：</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r>
        <w:rPr>
          <w:rFonts w:ascii="宋体" w:hAnsi="宋体" w:eastAsia="宋体" w:cs="Times New Roman"/>
          <w:szCs w:val="21"/>
        </w:rPr>
        <w:t>），</w:t>
      </w:r>
      <w:r>
        <w:rPr>
          <w:rFonts w:hint="eastAsia" w:ascii="宋体" w:hAnsi="宋体" w:eastAsia="宋体" w:cs="Times New Roman"/>
          <w:szCs w:val="21"/>
        </w:rPr>
        <w:t>现</w:t>
      </w:r>
      <w:r>
        <w:rPr>
          <w:rFonts w:ascii="宋体" w:hAnsi="宋体" w:eastAsia="宋体" w:cs="Times New Roman"/>
          <w:szCs w:val="21"/>
        </w:rPr>
        <w:t>正式授权下述签字人</w:t>
      </w:r>
      <w:r>
        <w:rPr>
          <w:rFonts w:ascii="宋体" w:hAnsi="宋体" w:eastAsia="宋体" w:cs="Times New Roman"/>
          <w:szCs w:val="21"/>
          <w:u w:val="single"/>
        </w:rPr>
        <w:t xml:space="preserve">   （姓名和职务）     </w:t>
      </w:r>
      <w:r>
        <w:rPr>
          <w:rFonts w:ascii="宋体" w:hAnsi="宋体" w:eastAsia="宋体" w:cs="Times New Roman"/>
          <w:szCs w:val="21"/>
        </w:rPr>
        <w:t>全权代表</w:t>
      </w:r>
      <w:r>
        <w:rPr>
          <w:rFonts w:hint="eastAsia" w:ascii="宋体" w:hAnsi="宋体" w:eastAsia="宋体" w:cs="Times New Roman"/>
          <w:szCs w:val="21"/>
        </w:rPr>
        <w:t>服务商</w:t>
      </w:r>
      <w:r>
        <w:rPr>
          <w:rFonts w:ascii="宋体" w:hAnsi="宋体" w:eastAsia="宋体" w:cs="Times New Roman"/>
          <w:szCs w:val="21"/>
          <w:u w:val="single"/>
        </w:rPr>
        <w:t xml:space="preserve">  （</w:t>
      </w:r>
      <w:r>
        <w:rPr>
          <w:rFonts w:hint="eastAsia" w:ascii="宋体" w:hAnsi="宋体" w:eastAsia="宋体" w:cs="Times New Roman"/>
          <w:szCs w:val="21"/>
          <w:u w:val="single"/>
        </w:rPr>
        <w:t>服务商</w:t>
      </w:r>
      <w:r>
        <w:rPr>
          <w:rFonts w:ascii="宋体" w:hAnsi="宋体" w:eastAsia="宋体" w:cs="Times New Roman"/>
          <w:szCs w:val="21"/>
          <w:u w:val="single"/>
        </w:rPr>
        <w:t xml:space="preserve">全称）   </w:t>
      </w:r>
      <w:r>
        <w:rPr>
          <w:rFonts w:ascii="宋体" w:hAnsi="宋体" w:eastAsia="宋体" w:cs="Times New Roman"/>
          <w:szCs w:val="21"/>
        </w:rPr>
        <w:t>参加贵方组织的有关采购活动，并提交</w:t>
      </w:r>
      <w:r>
        <w:rPr>
          <w:rFonts w:hint="eastAsia" w:ascii="宋体" w:hAnsi="宋体" w:eastAsia="宋体" w:cs="Times New Roman"/>
          <w:szCs w:val="21"/>
        </w:rPr>
        <w:t>响应文件</w:t>
      </w:r>
      <w:r>
        <w:rPr>
          <w:rFonts w:ascii="宋体" w:hAnsi="宋体" w:eastAsia="宋体" w:cs="Times New Roman"/>
          <w:szCs w:val="21"/>
        </w:rPr>
        <w:t>正本</w:t>
      </w:r>
      <w:r>
        <w:rPr>
          <w:rFonts w:hint="eastAsia" w:ascii="宋体" w:hAnsi="宋体" w:eastAsia="宋体" w:cs="Times New Roman"/>
          <w:szCs w:val="21"/>
        </w:rPr>
        <w:t>一</w:t>
      </w:r>
      <w:r>
        <w:rPr>
          <w:rFonts w:ascii="宋体" w:hAnsi="宋体" w:eastAsia="宋体" w:cs="Times New Roman"/>
          <w:szCs w:val="21"/>
        </w:rPr>
        <w:t>份，副本</w:t>
      </w:r>
      <w:r>
        <w:rPr>
          <w:rFonts w:hint="eastAsia" w:ascii="宋体" w:hAnsi="宋体" w:eastAsia="宋体" w:cs="Times New Roman"/>
          <w:szCs w:val="21"/>
        </w:rPr>
        <w:t>一</w:t>
      </w:r>
      <w:r>
        <w:rPr>
          <w:rFonts w:ascii="宋体" w:hAnsi="宋体" w:eastAsia="宋体" w:cs="Times New Roman"/>
          <w:szCs w:val="21"/>
        </w:rPr>
        <w:t>份。</w:t>
      </w:r>
    </w:p>
    <w:p>
      <w:pPr>
        <w:spacing w:line="360" w:lineRule="auto"/>
        <w:ind w:firstLine="420"/>
        <w:rPr>
          <w:rFonts w:ascii="宋体" w:hAnsi="宋体" w:eastAsia="宋体" w:cs="Times New Roman"/>
          <w:szCs w:val="21"/>
        </w:rPr>
      </w:pPr>
      <w:r>
        <w:rPr>
          <w:rFonts w:ascii="宋体" w:hAnsi="宋体" w:eastAsia="宋体" w:cs="Times New Roman"/>
          <w:szCs w:val="21"/>
        </w:rPr>
        <w:t>据此函，签字人兹宣布同意如下：</w:t>
      </w:r>
    </w:p>
    <w:p>
      <w:pPr>
        <w:widowControl/>
        <w:spacing w:line="360" w:lineRule="auto"/>
        <w:ind w:left="426"/>
        <w:rPr>
          <w:rFonts w:ascii="宋体" w:hAnsi="宋体" w:eastAsia="宋体" w:cs="Times New Roman"/>
          <w:szCs w:val="21"/>
        </w:rPr>
      </w:pPr>
      <w:r>
        <w:rPr>
          <w:rFonts w:hint="eastAsia" w:ascii="宋体" w:hAnsi="宋体" w:eastAsia="宋体" w:cs="Times New Roman"/>
          <w:szCs w:val="21"/>
        </w:rPr>
        <w:t>1、我公司愿意参加___________________</w:t>
      </w:r>
      <w:r>
        <w:rPr>
          <w:rFonts w:hint="eastAsia" w:ascii="宋体" w:hAnsi="宋体" w:eastAsia="宋体" w:cs="Times New Roman"/>
          <w:szCs w:val="21"/>
          <w:u w:val="single"/>
        </w:rPr>
        <w:t>（项目名称_）</w:t>
      </w:r>
      <w:r>
        <w:rPr>
          <w:rFonts w:hint="eastAsia" w:ascii="宋体" w:hAnsi="宋体" w:eastAsia="宋体" w:cs="Times New Roman"/>
          <w:szCs w:val="21"/>
        </w:rPr>
        <w:t>________________的响应。</w:t>
      </w:r>
    </w:p>
    <w:p>
      <w:pPr>
        <w:widowControl/>
        <w:spacing w:line="360" w:lineRule="auto"/>
        <w:ind w:left="426"/>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响应报价</w:t>
      </w:r>
      <w:r>
        <w:rPr>
          <w:rFonts w:ascii="宋体" w:hAnsi="宋体" w:eastAsia="宋体" w:cs="Times New Roman"/>
          <w:szCs w:val="21"/>
        </w:rPr>
        <w:t>为</w:t>
      </w:r>
      <w:r>
        <w:rPr>
          <w:rFonts w:hint="eastAsia" w:ascii="宋体" w:hAnsi="宋体" w:eastAsia="宋体" w:cs="Times New Roman"/>
          <w:szCs w:val="21"/>
        </w:rPr>
        <w:t>（含税价）：</w:t>
      </w:r>
      <w:r>
        <w:rPr>
          <w:rFonts w:ascii="宋体" w:hAnsi="宋体" w:eastAsia="宋体" w:cs="Times New Roman"/>
          <w:szCs w:val="21"/>
          <w:u w:val="single"/>
        </w:rPr>
        <w:t xml:space="preserve">       </w:t>
      </w:r>
      <w:r>
        <w:rPr>
          <w:rFonts w:hint="eastAsia" w:ascii="宋体" w:hAnsi="宋体" w:eastAsia="宋体" w:cs="Times New Roman"/>
          <w:szCs w:val="21"/>
        </w:rPr>
        <w:t>元；（不含税价）：</w:t>
      </w:r>
      <w:r>
        <w:rPr>
          <w:rFonts w:ascii="宋体" w:hAnsi="宋体" w:eastAsia="宋体" w:cs="Times New Roman"/>
          <w:szCs w:val="21"/>
          <w:u w:val="single"/>
        </w:rPr>
        <w:t xml:space="preserve">       </w:t>
      </w:r>
      <w:r>
        <w:rPr>
          <w:rFonts w:hint="eastAsia" w:ascii="宋体" w:hAnsi="宋体" w:eastAsia="宋体" w:cs="Times New Roman"/>
          <w:szCs w:val="21"/>
        </w:rPr>
        <w:t>元，税额：</w:t>
      </w:r>
      <w:r>
        <w:rPr>
          <w:rFonts w:ascii="宋体" w:hAnsi="宋体" w:eastAsia="宋体" w:cs="Times New Roman"/>
          <w:szCs w:val="21"/>
          <w:u w:val="single"/>
        </w:rPr>
        <w:t xml:space="preserve">       </w:t>
      </w:r>
      <w:r>
        <w:rPr>
          <w:rFonts w:hint="eastAsia" w:ascii="宋体" w:hAnsi="宋体" w:eastAsia="宋体" w:cs="Times New Roman"/>
          <w:szCs w:val="21"/>
        </w:rPr>
        <w:t>元。</w:t>
      </w:r>
    </w:p>
    <w:p>
      <w:pPr>
        <w:spacing w:line="360" w:lineRule="auto"/>
        <w:ind w:firstLine="420"/>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、我方同意在</w:t>
      </w:r>
      <w:r>
        <w:rPr>
          <w:rFonts w:hint="eastAsia" w:ascii="宋体" w:hAnsi="宋体" w:eastAsia="宋体" w:cs="Times New Roman"/>
          <w:szCs w:val="21"/>
        </w:rPr>
        <w:t>竞争性服务商</w:t>
      </w:r>
      <w:r>
        <w:rPr>
          <w:rFonts w:ascii="宋体" w:hAnsi="宋体" w:eastAsia="宋体" w:cs="Times New Roman"/>
          <w:szCs w:val="21"/>
        </w:rPr>
        <w:t>须知规定的开标日期起遵循本</w:t>
      </w:r>
      <w:r>
        <w:rPr>
          <w:rFonts w:hint="eastAsia" w:ascii="宋体" w:hAnsi="宋体" w:eastAsia="宋体" w:cs="Times New Roman"/>
          <w:szCs w:val="21"/>
        </w:rPr>
        <w:t>响应文件</w:t>
      </w:r>
      <w:r>
        <w:rPr>
          <w:rFonts w:ascii="宋体" w:hAnsi="宋体" w:eastAsia="宋体" w:cs="Times New Roman"/>
          <w:szCs w:val="21"/>
        </w:rPr>
        <w:t>，并在</w:t>
      </w:r>
      <w:r>
        <w:rPr>
          <w:rFonts w:hint="eastAsia" w:ascii="宋体" w:hAnsi="宋体" w:eastAsia="宋体" w:cs="Times New Roman"/>
          <w:szCs w:val="21"/>
        </w:rPr>
        <w:t>竞争性服务商</w:t>
      </w:r>
      <w:r>
        <w:rPr>
          <w:rFonts w:ascii="宋体" w:hAnsi="宋体" w:eastAsia="宋体" w:cs="Times New Roman"/>
          <w:szCs w:val="21"/>
        </w:rPr>
        <w:t>须知规定的</w:t>
      </w:r>
      <w:r>
        <w:rPr>
          <w:rFonts w:hint="eastAsia" w:ascii="宋体" w:hAnsi="宋体" w:eastAsia="宋体" w:cs="Times New Roman"/>
          <w:szCs w:val="21"/>
        </w:rPr>
        <w:t>响应文件</w:t>
      </w:r>
      <w:r>
        <w:rPr>
          <w:rFonts w:ascii="宋体" w:hAnsi="宋体" w:eastAsia="宋体" w:cs="Times New Roman"/>
          <w:szCs w:val="21"/>
        </w:rPr>
        <w:t>有效期满之前均具有约束力。如果我方</w:t>
      </w:r>
      <w:r>
        <w:rPr>
          <w:rFonts w:hint="eastAsia" w:ascii="宋体" w:hAnsi="宋体" w:eastAsia="宋体" w:cs="Times New Roman"/>
          <w:szCs w:val="21"/>
        </w:rPr>
        <w:t>响应</w:t>
      </w:r>
      <w:r>
        <w:rPr>
          <w:rFonts w:ascii="宋体" w:hAnsi="宋体" w:eastAsia="宋体" w:cs="Times New Roman"/>
          <w:szCs w:val="21"/>
        </w:rPr>
        <w:t>被接受，则至合同履行</w:t>
      </w:r>
      <w:r>
        <w:rPr>
          <w:rFonts w:hint="eastAsia" w:ascii="宋体" w:hAnsi="宋体" w:eastAsia="宋体" w:cs="Times New Roman"/>
          <w:szCs w:val="21"/>
        </w:rPr>
        <w:t>完成</w:t>
      </w:r>
      <w:r>
        <w:rPr>
          <w:rFonts w:ascii="宋体" w:hAnsi="宋体" w:eastAsia="宋体" w:cs="Times New Roman"/>
          <w:szCs w:val="21"/>
        </w:rPr>
        <w:t>、质保期满为止，本</w:t>
      </w:r>
      <w:r>
        <w:rPr>
          <w:rFonts w:hint="eastAsia" w:ascii="宋体" w:hAnsi="宋体" w:eastAsia="宋体" w:cs="Times New Roman"/>
          <w:szCs w:val="21"/>
        </w:rPr>
        <w:t>响应</w:t>
      </w:r>
      <w:r>
        <w:rPr>
          <w:rFonts w:ascii="宋体" w:hAnsi="宋体" w:eastAsia="宋体" w:cs="Times New Roman"/>
          <w:szCs w:val="21"/>
        </w:rPr>
        <w:t>函保持有效。</w:t>
      </w:r>
    </w:p>
    <w:p>
      <w:pPr>
        <w:spacing w:line="360" w:lineRule="auto"/>
        <w:ind w:firstLine="367" w:firstLineChars="175"/>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、我方承诺已经具备</w:t>
      </w:r>
      <w:r>
        <w:rPr>
          <w:rFonts w:hint="eastAsia" w:ascii="宋体" w:hAnsi="宋体" w:eastAsia="宋体" w:cs="Times New Roman"/>
          <w:szCs w:val="21"/>
        </w:rPr>
        <w:t>竞争性谈判采购</w:t>
      </w:r>
      <w:r>
        <w:rPr>
          <w:rFonts w:ascii="宋体" w:hAnsi="宋体" w:eastAsia="宋体" w:cs="Times New Roman"/>
          <w:szCs w:val="21"/>
        </w:rPr>
        <w:t>中规定的参加</w:t>
      </w:r>
      <w:r>
        <w:rPr>
          <w:rFonts w:hint="eastAsia" w:ascii="宋体" w:hAnsi="宋体" w:eastAsia="宋体" w:cs="Times New Roman"/>
          <w:szCs w:val="21"/>
        </w:rPr>
        <w:t>采购</w:t>
      </w:r>
      <w:r>
        <w:rPr>
          <w:rFonts w:ascii="宋体" w:hAnsi="宋体" w:eastAsia="宋体" w:cs="Times New Roman"/>
          <w:szCs w:val="21"/>
        </w:rPr>
        <w:t>活动的</w:t>
      </w:r>
      <w:r>
        <w:rPr>
          <w:rFonts w:hint="eastAsia" w:ascii="宋体" w:hAnsi="宋体" w:eastAsia="宋体" w:cs="Times New Roman"/>
          <w:szCs w:val="21"/>
        </w:rPr>
        <w:t>服务商</w:t>
      </w:r>
      <w:r>
        <w:rPr>
          <w:rFonts w:ascii="宋体" w:hAnsi="宋体" w:eastAsia="宋体" w:cs="Times New Roman"/>
          <w:szCs w:val="21"/>
        </w:rPr>
        <w:t>应当具备的条件</w:t>
      </w:r>
      <w:r>
        <w:rPr>
          <w:rFonts w:hint="eastAsia" w:ascii="宋体" w:hAnsi="宋体" w:eastAsia="宋体" w:cs="Times New Roman"/>
          <w:szCs w:val="21"/>
        </w:rPr>
        <w:t>，且我公司理解并完全接受采购文件合同条款及格式中的所有内容，接受采购文件全部内容及关于响应文件响应有效期的要求。</w:t>
      </w:r>
    </w:p>
    <w:p>
      <w:pPr>
        <w:spacing w:line="360" w:lineRule="auto"/>
        <w:ind w:firstLine="420"/>
        <w:rPr>
          <w:rFonts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、如我方</w:t>
      </w:r>
      <w:r>
        <w:rPr>
          <w:rFonts w:hint="eastAsia" w:ascii="宋体" w:hAnsi="宋体" w:eastAsia="宋体" w:cs="Times New Roman"/>
          <w:szCs w:val="21"/>
        </w:rPr>
        <w:t>响应</w:t>
      </w:r>
      <w:r>
        <w:rPr>
          <w:rFonts w:ascii="宋体" w:hAnsi="宋体" w:eastAsia="宋体" w:cs="Times New Roman"/>
          <w:szCs w:val="21"/>
        </w:rPr>
        <w:t>被接受，将保证忠实地执行合同，并承担合同规定的责任义务。</w:t>
      </w:r>
    </w:p>
    <w:p>
      <w:pPr>
        <w:spacing w:line="360" w:lineRule="auto"/>
        <w:ind w:firstLine="420"/>
        <w:rPr>
          <w:rFonts w:ascii="宋体" w:hAnsi="宋体" w:eastAsia="宋体" w:cs="Times New Roman"/>
          <w:szCs w:val="21"/>
        </w:rPr>
      </w:pPr>
      <w:r>
        <w:rPr>
          <w:rFonts w:hint="eastAsia" w:ascii="宋体" w:hAnsi="宋体" w:eastAsia="宋体" w:cs="Times New Roman"/>
          <w:szCs w:val="21"/>
        </w:rPr>
        <w:t>6</w:t>
      </w:r>
      <w:r>
        <w:rPr>
          <w:rFonts w:ascii="宋体" w:hAnsi="宋体" w:eastAsia="宋体" w:cs="Times New Roman"/>
          <w:szCs w:val="21"/>
        </w:rPr>
        <w:t>、我方已详细审核</w:t>
      </w:r>
      <w:r>
        <w:rPr>
          <w:rFonts w:hint="eastAsia" w:ascii="宋体" w:hAnsi="宋体" w:eastAsia="宋体" w:cs="Times New Roman"/>
          <w:szCs w:val="21"/>
        </w:rPr>
        <w:t>采购</w:t>
      </w:r>
      <w:r>
        <w:rPr>
          <w:rFonts w:ascii="宋体" w:hAnsi="宋体" w:eastAsia="宋体" w:cs="Times New Roman"/>
          <w:szCs w:val="21"/>
        </w:rPr>
        <w:t>文件，我方知道必须放弃提出含糊不清或误解问题的权利。</w:t>
      </w:r>
    </w:p>
    <w:p>
      <w:pPr>
        <w:spacing w:line="360" w:lineRule="auto"/>
        <w:ind w:firstLine="420"/>
        <w:rPr>
          <w:rFonts w:ascii="宋体" w:hAnsi="宋体" w:eastAsia="宋体" w:cs="Times New Roman"/>
          <w:szCs w:val="21"/>
        </w:rPr>
      </w:pPr>
      <w:r>
        <w:rPr>
          <w:rFonts w:hint="eastAsia" w:ascii="宋体" w:hAnsi="宋体" w:eastAsia="宋体" w:cs="Times New Roman"/>
          <w:szCs w:val="21"/>
        </w:rPr>
        <w:t>7</w:t>
      </w:r>
      <w:r>
        <w:rPr>
          <w:rFonts w:ascii="宋体" w:hAnsi="宋体" w:eastAsia="宋体" w:cs="Times New Roman"/>
          <w:szCs w:val="21"/>
        </w:rPr>
        <w:t>、同意应贵方要求提供与本</w:t>
      </w:r>
      <w:r>
        <w:rPr>
          <w:rFonts w:hint="eastAsia" w:ascii="宋体" w:hAnsi="宋体" w:eastAsia="宋体" w:cs="Times New Roman"/>
          <w:szCs w:val="21"/>
        </w:rPr>
        <w:t>响应</w:t>
      </w:r>
      <w:r>
        <w:rPr>
          <w:rFonts w:ascii="宋体" w:hAnsi="宋体" w:eastAsia="宋体" w:cs="Times New Roman"/>
          <w:szCs w:val="21"/>
        </w:rPr>
        <w:t>有关的任何数据或资料。</w:t>
      </w:r>
    </w:p>
    <w:p>
      <w:pPr>
        <w:spacing w:line="360" w:lineRule="auto"/>
        <w:ind w:firstLine="420"/>
        <w:rPr>
          <w:rFonts w:ascii="宋体" w:hAnsi="宋体" w:eastAsia="宋体" w:cs="Times New Roman"/>
          <w:szCs w:val="21"/>
        </w:rPr>
      </w:pPr>
      <w:r>
        <w:rPr>
          <w:rFonts w:hint="eastAsia" w:ascii="宋体" w:hAnsi="宋体" w:eastAsia="宋体" w:cs="Times New Roman"/>
          <w:szCs w:val="21"/>
        </w:rPr>
        <w:t>8</w:t>
      </w:r>
      <w:r>
        <w:rPr>
          <w:rFonts w:ascii="宋体" w:hAnsi="宋体" w:eastAsia="宋体" w:cs="Times New Roman"/>
          <w:szCs w:val="21"/>
        </w:rPr>
        <w:t>、我方完全理解贵方不一定要接受最低报价的</w:t>
      </w:r>
      <w:r>
        <w:rPr>
          <w:rFonts w:hint="eastAsia" w:ascii="宋体" w:hAnsi="宋体" w:eastAsia="宋体" w:cs="Times New Roman"/>
          <w:szCs w:val="21"/>
        </w:rPr>
        <w:t>服务商</w:t>
      </w:r>
      <w:r>
        <w:rPr>
          <w:rFonts w:ascii="宋体" w:hAnsi="宋体" w:eastAsia="宋体" w:cs="Times New Roman"/>
          <w:szCs w:val="21"/>
        </w:rPr>
        <w:t>为</w:t>
      </w:r>
      <w:r>
        <w:rPr>
          <w:rFonts w:hint="eastAsia" w:ascii="宋体" w:hAnsi="宋体" w:eastAsia="宋体" w:cs="Times New Roman"/>
          <w:szCs w:val="21"/>
        </w:rPr>
        <w:t>成交服务商</w:t>
      </w:r>
      <w:r>
        <w:rPr>
          <w:rFonts w:ascii="宋体" w:hAnsi="宋体" w:eastAsia="宋体" w:cs="Times New Roman"/>
          <w:szCs w:val="21"/>
        </w:rPr>
        <w:t>的行为。</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9</w:t>
      </w:r>
      <w:r>
        <w:rPr>
          <w:rFonts w:ascii="宋体" w:hAnsi="宋体" w:eastAsia="宋体" w:cs="Times New Roman"/>
          <w:szCs w:val="21"/>
        </w:rPr>
        <w:t>、</w:t>
      </w:r>
      <w:r>
        <w:rPr>
          <w:rFonts w:hint="eastAsia" w:ascii="宋体" w:hAnsi="宋体" w:eastAsia="宋体" w:cs="Times New Roman"/>
          <w:szCs w:val="21"/>
        </w:rPr>
        <w:t>我方对所提供的响应文件资料的真实性、有效性负有全部责任，并承担因提供不实资料所导致的废标、违约等一切不良法律后果。</w:t>
      </w:r>
      <w:r>
        <w:rPr>
          <w:rFonts w:ascii="宋体" w:hAnsi="宋体" w:eastAsia="宋体" w:cs="Times New Roman"/>
          <w:szCs w:val="21"/>
        </w:rPr>
        <w:t>若贵方需要，我方愿意提供我方作出的一切承诺的证明材料。</w:t>
      </w:r>
    </w:p>
    <w:p>
      <w:pPr>
        <w:spacing w:line="360" w:lineRule="auto"/>
        <w:ind w:firstLine="420"/>
        <w:rPr>
          <w:rFonts w:ascii="宋体" w:hAnsi="宋体" w:eastAsia="宋体" w:cs="Times New Roman"/>
          <w:szCs w:val="21"/>
        </w:rPr>
      </w:pPr>
    </w:p>
    <w:p>
      <w:pPr>
        <w:spacing w:line="360" w:lineRule="auto"/>
        <w:ind w:firstLine="420"/>
        <w:rPr>
          <w:rFonts w:ascii="宋体" w:hAnsi="宋体" w:eastAsia="宋体" w:cs="Times New Roman"/>
          <w:szCs w:val="21"/>
        </w:rPr>
      </w:pPr>
    </w:p>
    <w:p>
      <w:pPr>
        <w:spacing w:line="360" w:lineRule="auto"/>
        <w:ind w:firstLine="420"/>
        <w:rPr>
          <w:rFonts w:ascii="宋体" w:hAnsi="宋体" w:eastAsia="宋体" w:cs="Times New Roman"/>
          <w:szCs w:val="21"/>
        </w:rPr>
      </w:pPr>
      <w:r>
        <w:rPr>
          <w:rFonts w:ascii="宋体" w:hAnsi="宋体" w:eastAsia="宋体" w:cs="Times New Roman"/>
          <w:szCs w:val="21"/>
        </w:rPr>
        <w:t>法定代表人或其委托代理人签字：</w:t>
      </w:r>
    </w:p>
    <w:p>
      <w:pPr>
        <w:spacing w:line="360" w:lineRule="auto"/>
        <w:ind w:firstLine="420"/>
        <w:rPr>
          <w:rFonts w:ascii="宋体" w:hAnsi="宋体" w:eastAsia="宋体" w:cs="Times New Roman"/>
          <w:szCs w:val="21"/>
        </w:rPr>
      </w:pPr>
      <w:r>
        <w:rPr>
          <w:rFonts w:hint="eastAsia" w:ascii="宋体" w:hAnsi="宋体" w:eastAsia="宋体" w:cs="Times New Roman"/>
          <w:szCs w:val="21"/>
        </w:rPr>
        <w:t>服务商</w:t>
      </w:r>
      <w:r>
        <w:rPr>
          <w:rFonts w:ascii="宋体" w:hAnsi="宋体" w:eastAsia="宋体" w:cs="Times New Roman"/>
          <w:szCs w:val="21"/>
        </w:rPr>
        <w:t>（盖单位公章）：</w:t>
      </w:r>
    </w:p>
    <w:p>
      <w:pPr>
        <w:spacing w:line="360" w:lineRule="auto"/>
        <w:ind w:firstLine="420"/>
        <w:rPr>
          <w:rFonts w:ascii="宋体" w:hAnsi="宋体" w:eastAsia="宋体" w:cs="Times New Roman"/>
          <w:szCs w:val="21"/>
          <w:u w:val="single"/>
        </w:rPr>
      </w:pPr>
      <w:r>
        <w:rPr>
          <w:rFonts w:ascii="宋体" w:hAnsi="宋体" w:eastAsia="宋体" w:cs="Times New Roman"/>
          <w:szCs w:val="21"/>
        </w:rPr>
        <w:t>日期：</w:t>
      </w:r>
    </w:p>
    <w:p>
      <w:pPr>
        <w:sectPr>
          <w:pgSz w:w="11906" w:h="16838"/>
          <w:pgMar w:top="1440" w:right="1080" w:bottom="1440" w:left="1080" w:header="851" w:footer="851" w:gutter="0"/>
          <w:cols w:space="720" w:num="1"/>
          <w:docGrid w:linePitch="312" w:charSpace="0"/>
        </w:sectPr>
      </w:pPr>
    </w:p>
    <w:p>
      <w:pPr>
        <w:keepNext/>
        <w:keepLines/>
        <w:spacing w:line="360" w:lineRule="auto"/>
        <w:jc w:val="center"/>
        <w:outlineLvl w:val="2"/>
        <w:rPr>
          <w:rFonts w:ascii="宋体" w:hAnsi="宋体" w:eastAsia="宋体" w:cs="Times New Roman"/>
          <w:b/>
          <w:bCs/>
          <w:sz w:val="28"/>
        </w:rPr>
      </w:pPr>
      <w:r>
        <w:rPr>
          <w:rFonts w:hint="eastAsia" w:ascii="Times New Roman" w:hAnsi="Times New Roman" w:eastAsia="宋体" w:cs="Times New Roman"/>
          <w:b/>
          <w:bCs/>
          <w:sz w:val="36"/>
          <w:szCs w:val="36"/>
        </w:rPr>
        <w:t>二、法定代表人资格证明书</w:t>
      </w:r>
    </w:p>
    <w:p>
      <w:pPr>
        <w:widowControl/>
        <w:spacing w:line="360" w:lineRule="auto"/>
        <w:rPr>
          <w:rFonts w:ascii="宋体" w:hAnsi="宋体" w:eastAsia="宋体" w:cs="Times New Roman"/>
          <w:sz w:val="24"/>
          <w:u w:val="single"/>
        </w:rPr>
      </w:pPr>
      <w:r>
        <w:rPr>
          <w:rFonts w:hint="eastAsia" w:ascii="宋体" w:hAnsi="宋体" w:eastAsia="宋体" w:cs="Times New Roman"/>
          <w:sz w:val="24"/>
        </w:rPr>
        <w:t>单位名称：</w:t>
      </w:r>
      <w:r>
        <w:rPr>
          <w:rFonts w:hint="eastAsia" w:ascii="宋体" w:hAnsi="宋体" w:eastAsia="宋体" w:cs="Times New Roman"/>
          <w:sz w:val="24"/>
          <w:u w:val="single"/>
        </w:rPr>
        <w:t xml:space="preserve">                                                        </w:t>
      </w:r>
    </w:p>
    <w:p>
      <w:pPr>
        <w:widowControl/>
        <w:spacing w:line="360" w:lineRule="auto"/>
        <w:rPr>
          <w:rFonts w:ascii="宋体" w:hAnsi="宋体" w:eastAsia="宋体" w:cs="Times New Roman"/>
          <w:sz w:val="24"/>
        </w:rPr>
      </w:pPr>
      <w:r>
        <w:rPr>
          <w:rFonts w:hint="eastAsia" w:ascii="宋体" w:hAnsi="宋体" w:eastAsia="宋体" w:cs="Times New Roman"/>
          <w:sz w:val="24"/>
        </w:rPr>
        <w:t>单位性质：</w:t>
      </w:r>
      <w:r>
        <w:rPr>
          <w:rFonts w:hint="eastAsia" w:ascii="宋体" w:hAnsi="宋体" w:eastAsia="宋体" w:cs="Times New Roman"/>
          <w:sz w:val="24"/>
          <w:u w:val="single"/>
        </w:rPr>
        <w:t xml:space="preserve">                                                        </w:t>
      </w:r>
    </w:p>
    <w:p>
      <w:pPr>
        <w:widowControl/>
        <w:spacing w:line="360" w:lineRule="auto"/>
        <w:rPr>
          <w:rFonts w:ascii="宋体" w:hAnsi="宋体" w:eastAsia="宋体" w:cs="Times New Roman"/>
          <w:sz w:val="24"/>
        </w:rPr>
      </w:pPr>
      <w:r>
        <w:rPr>
          <w:rFonts w:hint="eastAsia" w:ascii="宋体" w:hAnsi="宋体" w:eastAsia="宋体" w:cs="Times New Roman"/>
          <w:sz w:val="24"/>
        </w:rPr>
        <w:t>地址：</w:t>
      </w:r>
      <w:r>
        <w:rPr>
          <w:rFonts w:hint="eastAsia" w:ascii="宋体" w:hAnsi="宋体" w:eastAsia="宋体" w:cs="Times New Roman"/>
          <w:sz w:val="24"/>
          <w:u w:val="single"/>
        </w:rPr>
        <w:t xml:space="preserve">                                                            </w:t>
      </w:r>
    </w:p>
    <w:p>
      <w:pPr>
        <w:widowControl/>
        <w:spacing w:line="360" w:lineRule="auto"/>
        <w:rPr>
          <w:rFonts w:ascii="宋体" w:hAnsi="宋体" w:eastAsia="宋体" w:cs="Times New Roman"/>
          <w:sz w:val="24"/>
          <w:u w:val="single"/>
        </w:rPr>
      </w:pPr>
      <w:r>
        <w:rPr>
          <w:rFonts w:hint="eastAsia" w:ascii="宋体" w:hAnsi="宋体" w:eastAsia="宋体" w:cs="Times New Roman"/>
          <w:sz w:val="24"/>
        </w:rPr>
        <w:t>成立时间：</w:t>
      </w:r>
      <w:r>
        <w:rPr>
          <w:rFonts w:hint="eastAsia" w:ascii="宋体" w:hAnsi="宋体" w:eastAsia="宋体" w:cs="Times New Roman"/>
          <w:sz w:val="24"/>
          <w:u w:val="single"/>
        </w:rPr>
        <w:t xml:space="preserve">         </w:t>
      </w:r>
      <w:r>
        <w:rPr>
          <w:rFonts w:hint="eastAsia" w:ascii="宋体" w:hAnsi="宋体" w:eastAsia="宋体" w:cs="Times New Roman"/>
          <w:sz w:val="24"/>
        </w:rPr>
        <w:t>年</w:t>
      </w:r>
      <w:r>
        <w:rPr>
          <w:rFonts w:hint="eastAsia" w:ascii="宋体" w:hAnsi="宋体" w:eastAsia="宋体" w:cs="Times New Roman"/>
          <w:sz w:val="24"/>
          <w:u w:val="single"/>
        </w:rPr>
        <w:t xml:space="preserve">         </w:t>
      </w:r>
      <w:r>
        <w:rPr>
          <w:rFonts w:hint="eastAsia" w:ascii="宋体" w:hAnsi="宋体" w:eastAsia="宋体" w:cs="Times New Roman"/>
          <w:sz w:val="24"/>
        </w:rPr>
        <w:t>月</w:t>
      </w:r>
      <w:r>
        <w:rPr>
          <w:rFonts w:hint="eastAsia" w:ascii="宋体" w:hAnsi="宋体" w:eastAsia="宋体" w:cs="Times New Roman"/>
          <w:sz w:val="24"/>
          <w:u w:val="single"/>
        </w:rPr>
        <w:t xml:space="preserve">          </w:t>
      </w:r>
      <w:r>
        <w:rPr>
          <w:rFonts w:hint="eastAsia" w:ascii="宋体" w:hAnsi="宋体" w:eastAsia="宋体" w:cs="Times New Roman"/>
          <w:sz w:val="24"/>
        </w:rPr>
        <w:t>日</w:t>
      </w:r>
    </w:p>
    <w:p>
      <w:pPr>
        <w:widowControl/>
        <w:spacing w:line="360" w:lineRule="auto"/>
        <w:rPr>
          <w:rFonts w:ascii="宋体" w:hAnsi="宋体" w:eastAsia="宋体" w:cs="Times New Roman"/>
          <w:sz w:val="24"/>
        </w:rPr>
      </w:pPr>
      <w:r>
        <w:rPr>
          <w:rFonts w:hint="eastAsia" w:ascii="宋体" w:hAnsi="宋体" w:eastAsia="宋体" w:cs="Times New Roman"/>
          <w:sz w:val="24"/>
        </w:rPr>
        <w:t>经营期限：</w:t>
      </w:r>
      <w:r>
        <w:rPr>
          <w:rFonts w:hint="eastAsia" w:ascii="宋体" w:hAnsi="宋体" w:eastAsia="宋体" w:cs="Times New Roman"/>
          <w:sz w:val="24"/>
          <w:u w:val="single"/>
        </w:rPr>
        <w:t xml:space="preserve">                                                        </w:t>
      </w:r>
    </w:p>
    <w:p>
      <w:pPr>
        <w:widowControl/>
        <w:spacing w:line="360" w:lineRule="auto"/>
        <w:rPr>
          <w:rFonts w:ascii="宋体" w:hAnsi="宋体" w:eastAsia="宋体" w:cs="Times New Roman"/>
          <w:sz w:val="24"/>
          <w:u w:val="single"/>
        </w:rPr>
      </w:pPr>
      <w:r>
        <w:rPr>
          <w:rFonts w:hint="eastAsia" w:ascii="宋体" w:hAnsi="宋体" w:eastAsia="宋体" w:cs="Times New Roman"/>
          <w:sz w:val="24"/>
        </w:rPr>
        <w:t>姓名：</w:t>
      </w:r>
      <w:r>
        <w:rPr>
          <w:rFonts w:hint="eastAsia" w:ascii="宋体" w:hAnsi="宋体" w:eastAsia="宋体" w:cs="Times New Roman"/>
          <w:sz w:val="24"/>
          <w:u w:val="single"/>
        </w:rPr>
        <w:t xml:space="preserve">            </w:t>
      </w:r>
      <w:r>
        <w:rPr>
          <w:rFonts w:hint="eastAsia" w:ascii="宋体" w:hAnsi="宋体" w:eastAsia="宋体" w:cs="Times New Roman"/>
          <w:sz w:val="24"/>
        </w:rPr>
        <w:t>性别：</w:t>
      </w:r>
      <w:r>
        <w:rPr>
          <w:rFonts w:hint="eastAsia" w:ascii="宋体" w:hAnsi="宋体" w:eastAsia="宋体" w:cs="Times New Roman"/>
          <w:sz w:val="24"/>
          <w:u w:val="single"/>
        </w:rPr>
        <w:t xml:space="preserve">          </w:t>
      </w:r>
      <w:r>
        <w:rPr>
          <w:rFonts w:hint="eastAsia" w:ascii="宋体" w:hAnsi="宋体" w:eastAsia="宋体" w:cs="Times New Roman"/>
          <w:sz w:val="24"/>
        </w:rPr>
        <w:t>年龄：</w:t>
      </w:r>
      <w:r>
        <w:rPr>
          <w:rFonts w:hint="eastAsia" w:ascii="宋体" w:hAnsi="宋体" w:eastAsia="宋体" w:cs="Times New Roman"/>
          <w:sz w:val="24"/>
          <w:u w:val="single"/>
        </w:rPr>
        <w:t xml:space="preserve">           </w:t>
      </w:r>
      <w:r>
        <w:rPr>
          <w:rFonts w:hint="eastAsia" w:ascii="宋体" w:hAnsi="宋体" w:eastAsia="宋体" w:cs="Times New Roman"/>
          <w:sz w:val="24"/>
        </w:rPr>
        <w:t>职务：</w:t>
      </w:r>
      <w:r>
        <w:rPr>
          <w:rFonts w:hint="eastAsia" w:ascii="宋体" w:hAnsi="宋体" w:eastAsia="宋体" w:cs="Times New Roman"/>
          <w:sz w:val="24"/>
          <w:u w:val="single"/>
        </w:rPr>
        <w:t xml:space="preserve">         </w:t>
      </w:r>
    </w:p>
    <w:p>
      <w:pPr>
        <w:widowControl/>
        <w:spacing w:line="360" w:lineRule="auto"/>
        <w:rPr>
          <w:rFonts w:ascii="宋体" w:hAnsi="宋体" w:eastAsia="宋体" w:cs="Times New Roman"/>
          <w:sz w:val="24"/>
          <w:u w:val="single"/>
        </w:rPr>
      </w:pPr>
      <w:r>
        <w:rPr>
          <w:rFonts w:hint="eastAsia" w:ascii="宋体" w:hAnsi="宋体" w:eastAsia="宋体" w:cs="Times New Roman"/>
          <w:sz w:val="24"/>
        </w:rPr>
        <w:t>系</w:t>
      </w:r>
      <w:r>
        <w:rPr>
          <w:rFonts w:hint="eastAsia" w:ascii="宋体" w:hAnsi="宋体" w:eastAsia="宋体" w:cs="Times New Roman"/>
          <w:sz w:val="24"/>
          <w:u w:val="single"/>
        </w:rPr>
        <w:t xml:space="preserve">                         </w:t>
      </w:r>
      <w:r>
        <w:rPr>
          <w:rFonts w:hint="eastAsia" w:ascii="宋体" w:hAnsi="宋体" w:eastAsia="宋体" w:cs="Times New Roman"/>
          <w:sz w:val="24"/>
        </w:rPr>
        <w:t>的法定代表人</w:t>
      </w:r>
    </w:p>
    <w:p>
      <w:pPr>
        <w:widowControl/>
        <w:spacing w:line="360" w:lineRule="auto"/>
        <w:ind w:firstLine="482"/>
        <w:rPr>
          <w:rFonts w:ascii="宋体" w:hAnsi="宋体" w:eastAsia="宋体" w:cs="Times New Roman"/>
          <w:sz w:val="24"/>
          <w:u w:val="single"/>
        </w:rPr>
      </w:pPr>
    </w:p>
    <w:p>
      <w:pPr>
        <w:widowControl/>
        <w:spacing w:line="360" w:lineRule="auto"/>
        <w:ind w:firstLine="482"/>
        <w:rPr>
          <w:rFonts w:ascii="宋体" w:hAnsi="宋体" w:eastAsia="宋体" w:cs="Times New Roman"/>
          <w:sz w:val="24"/>
          <w:szCs w:val="20"/>
        </w:rPr>
      </w:pPr>
      <w:r>
        <w:rPr>
          <w:rFonts w:hint="eastAsia" w:ascii="宋体" w:hAnsi="宋体" w:eastAsia="宋体" w:cs="Times New Roman"/>
          <w:sz w:val="24"/>
          <w:szCs w:val="20"/>
        </w:rPr>
        <w:t>特此证明。</w:t>
      </w:r>
    </w:p>
    <w:p>
      <w:pPr>
        <w:widowControl/>
        <w:spacing w:line="360" w:lineRule="auto"/>
        <w:ind w:firstLine="480"/>
        <w:rPr>
          <w:rFonts w:ascii="宋体" w:hAnsi="宋体" w:eastAsia="宋体" w:cs="Times New Roman"/>
          <w:sz w:val="24"/>
          <w:u w:val="single"/>
        </w:rPr>
      </w:pPr>
    </w:p>
    <w:p>
      <w:pPr>
        <w:widowControl/>
        <w:spacing w:line="360" w:lineRule="auto"/>
        <w:ind w:firstLine="480"/>
        <w:rPr>
          <w:rFonts w:ascii="宋体" w:hAnsi="宋体" w:eastAsia="宋体" w:cs="Times New Roman"/>
          <w:sz w:val="24"/>
          <w:u w:val="single"/>
        </w:rPr>
      </w:pPr>
    </w:p>
    <w:p>
      <w:pPr>
        <w:widowControl/>
        <w:spacing w:line="360" w:lineRule="auto"/>
        <w:ind w:firstLine="480"/>
        <w:rPr>
          <w:rFonts w:ascii="宋体" w:hAnsi="宋体" w:eastAsia="宋体" w:cs="Times New Roman"/>
          <w:sz w:val="24"/>
          <w:u w:val="single"/>
        </w:rPr>
      </w:pPr>
      <w:r>
        <w:rPr>
          <w:rFonts w:hint="eastAsia" w:ascii="宋体" w:hAnsi="宋体" w:eastAsia="宋体" w:cs="Times New Roman"/>
          <w:sz w:val="24"/>
        </w:rPr>
        <w:t xml:space="preserve">                                       服务商全称：</w:t>
      </w:r>
      <w:r>
        <w:rPr>
          <w:rFonts w:hint="eastAsia" w:ascii="宋体" w:hAnsi="宋体" w:eastAsia="宋体" w:cs="Times New Roman"/>
          <w:sz w:val="24"/>
          <w:u w:val="single"/>
        </w:rPr>
        <w:t xml:space="preserve">       </w:t>
      </w:r>
      <w:r>
        <w:rPr>
          <w:rFonts w:hint="eastAsia" w:ascii="宋体" w:hAnsi="宋体" w:eastAsia="宋体" w:cs="Times New Roman"/>
          <w:sz w:val="24"/>
        </w:rPr>
        <w:t>（加盖公章）</w:t>
      </w:r>
    </w:p>
    <w:p>
      <w:pPr>
        <w:widowControl/>
        <w:spacing w:line="360" w:lineRule="auto"/>
        <w:ind w:firstLine="2580"/>
        <w:jc w:val="center"/>
        <w:rPr>
          <w:rFonts w:ascii="宋体" w:hAnsi="宋体" w:eastAsia="宋体" w:cs="Times New Roman"/>
          <w:sz w:val="24"/>
        </w:rPr>
      </w:pPr>
      <w:r>
        <w:rPr>
          <w:rFonts w:hint="eastAsia" w:ascii="宋体" w:hAnsi="宋体" w:eastAsia="宋体" w:cs="Times New Roman"/>
          <w:sz w:val="24"/>
        </w:rPr>
        <w:t xml:space="preserve">             日期：</w:t>
      </w:r>
      <w:r>
        <w:rPr>
          <w:rFonts w:hint="eastAsia" w:ascii="宋体" w:hAnsi="宋体" w:eastAsia="宋体" w:cs="Times New Roman"/>
          <w:sz w:val="24"/>
          <w:u w:val="single"/>
        </w:rPr>
        <w:t xml:space="preserve">      </w:t>
      </w:r>
      <w:r>
        <w:rPr>
          <w:rFonts w:hint="eastAsia" w:ascii="宋体" w:hAnsi="宋体" w:eastAsia="宋体" w:cs="Times New Roman"/>
          <w:sz w:val="24"/>
        </w:rPr>
        <w:t>年</w:t>
      </w:r>
      <w:r>
        <w:rPr>
          <w:rFonts w:hint="eastAsia" w:ascii="宋体" w:hAnsi="宋体" w:eastAsia="宋体" w:cs="Times New Roman"/>
          <w:sz w:val="24"/>
          <w:u w:val="single"/>
        </w:rPr>
        <w:t xml:space="preserve">   </w:t>
      </w:r>
      <w:r>
        <w:rPr>
          <w:rFonts w:hint="eastAsia" w:ascii="宋体" w:hAnsi="宋体" w:eastAsia="宋体" w:cs="Times New Roman"/>
          <w:sz w:val="24"/>
        </w:rPr>
        <w:t>月</w:t>
      </w:r>
      <w:r>
        <w:rPr>
          <w:rFonts w:hint="eastAsia" w:ascii="宋体" w:hAnsi="宋体" w:eastAsia="宋体" w:cs="Times New Roman"/>
          <w:sz w:val="24"/>
          <w:u w:val="single"/>
        </w:rPr>
        <w:t xml:space="preserve">   </w:t>
      </w:r>
      <w:r>
        <w:rPr>
          <w:rFonts w:hint="eastAsia" w:ascii="宋体" w:hAnsi="宋体" w:eastAsia="宋体" w:cs="Times New Roman"/>
          <w:sz w:val="24"/>
        </w:rPr>
        <w:t>日</w:t>
      </w:r>
    </w:p>
    <w:p>
      <w:pPr>
        <w:widowControl/>
        <w:spacing w:line="360" w:lineRule="auto"/>
        <w:rPr>
          <w:rFonts w:ascii="宋体" w:hAnsi="宋体" w:eastAsia="宋体" w:cs="Times New Roman"/>
          <w:sz w:val="24"/>
        </w:rPr>
      </w:pPr>
      <w:r>
        <w:rPr>
          <w:rFonts w:hint="eastAsia" w:ascii="宋体" w:hAnsi="宋体" w:eastAsia="宋体" w:cs="Times New Roman"/>
          <w:sz w:val="24"/>
        </w:rPr>
        <w:t>后附法定代表人身份证扫描件或复印件</w:t>
      </w:r>
    </w:p>
    <w:p>
      <w:pPr>
        <w:spacing w:line="440" w:lineRule="exact"/>
        <w:jc w:val="center"/>
        <w:rPr>
          <w:rFonts w:ascii="宋体" w:hAnsi="宋体" w:eastAsia="宋体" w:cs="Times New Roman"/>
          <w:b/>
          <w:spacing w:val="40"/>
          <w:sz w:val="32"/>
          <w:szCs w:val="32"/>
        </w:rPr>
      </w:pPr>
    </w:p>
    <w:p>
      <w:pPr>
        <w:widowControl/>
        <w:spacing w:line="360" w:lineRule="auto"/>
        <w:jc w:val="center"/>
        <w:rPr>
          <w:rFonts w:ascii="宋体" w:hAnsi="宋体" w:eastAsia="宋体" w:cs="Times New Roman"/>
          <w:b/>
          <w:sz w:val="28"/>
          <w:szCs w:val="28"/>
        </w:rPr>
      </w:pPr>
      <w:r>
        <w:rPr>
          <w:rFonts w:ascii="宋体" w:hAnsi="宋体" w:eastAsia="宋体" w:cs="Times New Roman"/>
          <w:b/>
          <w:sz w:val="28"/>
          <w:szCs w:val="28"/>
        </w:rPr>
        <w:br w:type="page"/>
      </w:r>
    </w:p>
    <w:p>
      <w:pPr>
        <w:keepNext/>
        <w:keepLines/>
        <w:spacing w:line="360" w:lineRule="auto"/>
        <w:jc w:val="center"/>
        <w:outlineLvl w:val="2"/>
        <w:rPr>
          <w:rFonts w:ascii="宋体" w:hAnsi="宋体" w:eastAsia="宋体" w:cs="Times New Roman"/>
          <w:b/>
          <w:bCs/>
          <w:sz w:val="28"/>
        </w:rPr>
      </w:pPr>
      <w:r>
        <w:rPr>
          <w:rFonts w:hint="eastAsia" w:ascii="宋体" w:hAnsi="宋体" w:eastAsia="宋体" w:cs="Times New Roman"/>
          <w:b/>
          <w:bCs/>
          <w:sz w:val="28"/>
          <w:szCs w:val="28"/>
        </w:rPr>
        <w:t>三、</w:t>
      </w:r>
      <w:r>
        <w:rPr>
          <w:rFonts w:hint="eastAsia" w:ascii="宋体" w:hAnsi="宋体" w:eastAsia="宋体" w:cs="Times New Roman"/>
          <w:b/>
          <w:bCs/>
          <w:sz w:val="32"/>
        </w:rPr>
        <w:t>法定代表人授权委托书</w:t>
      </w:r>
    </w:p>
    <w:p>
      <w:pPr>
        <w:spacing w:line="360" w:lineRule="auto"/>
        <w:rPr>
          <w:rFonts w:ascii="宋体" w:hAnsi="宋体" w:eastAsia="宋体" w:cs="Times New Roman"/>
          <w:sz w:val="24"/>
        </w:rPr>
      </w:pPr>
    </w:p>
    <w:p>
      <w:pPr>
        <w:spacing w:line="360" w:lineRule="auto"/>
        <w:rPr>
          <w:rFonts w:ascii="宋体" w:hAnsi="宋体" w:eastAsia="宋体" w:cs="Times New Roman"/>
          <w:sz w:val="24"/>
        </w:rPr>
      </w:pPr>
      <w:r>
        <w:rPr>
          <w:rFonts w:hint="eastAsia" w:ascii="宋体" w:hAnsi="宋体" w:eastAsia="宋体" w:cs="Times New Roman"/>
          <w:sz w:val="24"/>
        </w:rPr>
        <w:t>致</w:t>
      </w:r>
      <w:r>
        <w:rPr>
          <w:rFonts w:ascii="宋体" w:hAnsi="宋体" w:eastAsia="宋体" w:cs="Times New Roman"/>
          <w:sz w:val="24"/>
        </w:rPr>
        <w:t>：_____________________</w:t>
      </w:r>
      <w:r>
        <w:rPr>
          <w:rFonts w:hint="eastAsia" w:ascii="宋体" w:hAnsi="宋体" w:eastAsia="宋体" w:cs="Times New Roman"/>
          <w:sz w:val="24"/>
        </w:rPr>
        <w:t>（采购人名称）</w:t>
      </w:r>
    </w:p>
    <w:p>
      <w:pPr>
        <w:spacing w:line="360" w:lineRule="auto"/>
        <w:ind w:firstLine="480" w:firstLineChars="200"/>
        <w:rPr>
          <w:rFonts w:ascii="宋体" w:hAnsi="宋体" w:eastAsia="宋体" w:cs="Times New Roman"/>
          <w:sz w:val="24"/>
        </w:rPr>
      </w:pPr>
      <w:r>
        <w:rPr>
          <w:rFonts w:ascii="宋体" w:hAnsi="宋体" w:eastAsia="宋体" w:cs="Times New Roman"/>
          <w:sz w:val="24"/>
        </w:rPr>
        <w:t>现委派_________________参加贵方组织的______________________</w:t>
      </w:r>
      <w:r>
        <w:rPr>
          <w:rFonts w:hint="eastAsia" w:ascii="宋体" w:hAnsi="宋体" w:eastAsia="宋体" w:cs="Times New Roman"/>
          <w:sz w:val="24"/>
        </w:rPr>
        <w:t>采购</w:t>
      </w:r>
      <w:r>
        <w:rPr>
          <w:rFonts w:ascii="宋体" w:hAnsi="宋体" w:eastAsia="宋体" w:cs="Times New Roman"/>
          <w:sz w:val="24"/>
        </w:rPr>
        <w:t>活动，全权代表我单位处理</w:t>
      </w:r>
      <w:r>
        <w:rPr>
          <w:rFonts w:hint="eastAsia" w:ascii="宋体" w:hAnsi="宋体" w:eastAsia="宋体" w:cs="Times New Roman"/>
          <w:sz w:val="24"/>
        </w:rPr>
        <w:t>采购</w:t>
      </w:r>
      <w:r>
        <w:rPr>
          <w:rFonts w:ascii="宋体" w:hAnsi="宋体" w:eastAsia="宋体" w:cs="Times New Roman"/>
          <w:sz w:val="24"/>
        </w:rPr>
        <w:t>的有关事宜。</w:t>
      </w:r>
    </w:p>
    <w:p>
      <w:pPr>
        <w:spacing w:line="360" w:lineRule="auto"/>
        <w:rPr>
          <w:rFonts w:ascii="宋体" w:hAnsi="宋体" w:eastAsia="宋体" w:cs="Times New Roman"/>
          <w:sz w:val="24"/>
          <w:szCs w:val="20"/>
        </w:rPr>
      </w:pPr>
      <w:r>
        <w:rPr>
          <w:rFonts w:ascii="宋体" w:hAnsi="宋体" w:eastAsia="宋体" w:cs="Times New Roman"/>
          <w:sz w:val="24"/>
          <w:szCs w:val="20"/>
        </w:rPr>
        <w:t>附委托代理人情况：</w:t>
      </w:r>
    </w:p>
    <w:p>
      <w:pPr>
        <w:spacing w:line="360" w:lineRule="auto"/>
        <w:ind w:firstLine="480"/>
        <w:rPr>
          <w:rFonts w:ascii="宋体" w:hAnsi="宋体" w:eastAsia="宋体" w:cs="Times New Roman"/>
          <w:sz w:val="24"/>
        </w:rPr>
      </w:pPr>
      <w:r>
        <w:rPr>
          <w:rFonts w:ascii="宋体" w:hAnsi="宋体" w:eastAsia="宋体" w:cs="Times New Roman"/>
          <w:sz w:val="24"/>
        </w:rPr>
        <w:t>姓　　名：_______________年　龄：_______________性　别：_____________</w:t>
      </w:r>
    </w:p>
    <w:p>
      <w:pPr>
        <w:spacing w:line="360" w:lineRule="auto"/>
        <w:ind w:firstLine="480"/>
        <w:rPr>
          <w:rFonts w:ascii="宋体" w:hAnsi="宋体" w:eastAsia="宋体" w:cs="Times New Roman"/>
          <w:sz w:val="24"/>
        </w:rPr>
      </w:pPr>
      <w:r>
        <w:rPr>
          <w:rFonts w:ascii="宋体" w:hAnsi="宋体" w:eastAsia="宋体" w:cs="Times New Roman"/>
          <w:sz w:val="24"/>
        </w:rPr>
        <w:t>身份证号：________________________________</w:t>
      </w:r>
    </w:p>
    <w:p>
      <w:pPr>
        <w:spacing w:line="360" w:lineRule="auto"/>
        <w:ind w:firstLine="480"/>
        <w:rPr>
          <w:rFonts w:ascii="宋体" w:hAnsi="宋体" w:eastAsia="宋体" w:cs="Times New Roman"/>
          <w:sz w:val="24"/>
        </w:rPr>
      </w:pPr>
      <w:r>
        <w:rPr>
          <w:rFonts w:ascii="宋体" w:hAnsi="宋体" w:eastAsia="宋体" w:cs="Times New Roman"/>
          <w:sz w:val="24"/>
        </w:rPr>
        <w:t>职　　务：_______________邮　编：__________________________________</w:t>
      </w:r>
    </w:p>
    <w:p>
      <w:pPr>
        <w:spacing w:line="360" w:lineRule="auto"/>
        <w:ind w:firstLine="480"/>
        <w:rPr>
          <w:rFonts w:ascii="宋体" w:hAnsi="宋体" w:eastAsia="宋体" w:cs="Times New Roman"/>
          <w:sz w:val="24"/>
        </w:rPr>
      </w:pPr>
      <w:r>
        <w:rPr>
          <w:rFonts w:ascii="宋体" w:hAnsi="宋体" w:eastAsia="宋体" w:cs="Times New Roman"/>
          <w:sz w:val="24"/>
        </w:rPr>
        <w:t>通讯地址：___________________________________________________</w:t>
      </w:r>
    </w:p>
    <w:p>
      <w:pPr>
        <w:spacing w:line="360" w:lineRule="auto"/>
        <w:ind w:firstLine="480"/>
        <w:rPr>
          <w:rFonts w:ascii="宋体" w:hAnsi="宋体" w:eastAsia="宋体" w:cs="Times New Roman"/>
          <w:sz w:val="24"/>
        </w:rPr>
      </w:pPr>
      <w:r>
        <w:rPr>
          <w:rFonts w:ascii="宋体" w:hAnsi="宋体" w:eastAsia="宋体" w:cs="Times New Roman"/>
          <w:sz w:val="24"/>
        </w:rPr>
        <w:t>电　　话：_______________________</w:t>
      </w:r>
      <w:r>
        <w:rPr>
          <w:rFonts w:hint="eastAsia" w:ascii="宋体" w:hAnsi="宋体" w:eastAsia="宋体" w:cs="Times New Roman"/>
          <w:sz w:val="24"/>
        </w:rPr>
        <w:t>传   真</w:t>
      </w:r>
      <w:r>
        <w:rPr>
          <w:rFonts w:ascii="宋体" w:hAnsi="宋体" w:eastAsia="宋体" w:cs="Times New Roman"/>
          <w:sz w:val="24"/>
        </w:rPr>
        <w:t>：__________________________</w:t>
      </w:r>
    </w:p>
    <w:p>
      <w:pPr>
        <w:spacing w:line="360" w:lineRule="auto"/>
        <w:rPr>
          <w:rFonts w:ascii="宋体" w:hAnsi="宋体" w:eastAsia="宋体" w:cs="Times New Roman"/>
          <w:sz w:val="24"/>
        </w:rPr>
      </w:pPr>
    </w:p>
    <w:p>
      <w:pPr>
        <w:spacing w:line="360" w:lineRule="auto"/>
        <w:rPr>
          <w:rFonts w:ascii="宋体" w:hAnsi="宋体" w:eastAsia="宋体" w:cs="Times New Roman"/>
          <w:sz w:val="24"/>
        </w:rPr>
      </w:pPr>
      <w:r>
        <w:rPr>
          <w:rFonts w:hint="eastAsia" w:ascii="宋体" w:hAnsi="宋体" w:eastAsia="宋体" w:cs="Times New Roman"/>
          <w:sz w:val="24"/>
        </w:rPr>
        <w:t>服务商全称：</w:t>
      </w:r>
      <w:r>
        <w:rPr>
          <w:rFonts w:hint="eastAsia" w:ascii="宋体" w:hAnsi="宋体" w:eastAsia="宋体" w:cs="Times New Roman"/>
          <w:sz w:val="24"/>
          <w:u w:val="single"/>
        </w:rPr>
        <w:t xml:space="preserve">        </w:t>
      </w:r>
      <w:r>
        <w:rPr>
          <w:rFonts w:hint="eastAsia" w:ascii="宋体" w:hAnsi="宋体" w:eastAsia="宋体" w:cs="Times New Roman"/>
          <w:sz w:val="24"/>
        </w:rPr>
        <w:t>（加盖公章）</w:t>
      </w:r>
      <w:r>
        <w:rPr>
          <w:rFonts w:ascii="宋体" w:hAnsi="宋体" w:eastAsia="宋体" w:cs="Times New Roman"/>
          <w:sz w:val="24"/>
        </w:rPr>
        <w:t>　　　　　　　　法定代表人：</w:t>
      </w:r>
      <w:r>
        <w:rPr>
          <w:rFonts w:hint="eastAsia" w:ascii="宋体" w:hAnsi="宋体" w:eastAsia="宋体" w:cs="Times New Roman"/>
          <w:sz w:val="24"/>
          <w:u w:val="single"/>
        </w:rPr>
        <w:t xml:space="preserve">         </w:t>
      </w:r>
      <w:r>
        <w:rPr>
          <w:rFonts w:ascii="宋体" w:hAnsi="宋体" w:eastAsia="宋体" w:cs="Times New Roman"/>
          <w:sz w:val="24"/>
        </w:rPr>
        <w:t>（签</w:t>
      </w:r>
      <w:r>
        <w:rPr>
          <w:rFonts w:hint="eastAsia" w:ascii="宋体" w:hAnsi="宋体" w:eastAsia="宋体" w:cs="Times New Roman"/>
          <w:sz w:val="24"/>
        </w:rPr>
        <w:t>字</w:t>
      </w:r>
      <w:r>
        <w:rPr>
          <w:rFonts w:ascii="宋体" w:hAnsi="宋体" w:eastAsia="宋体" w:cs="Times New Roman"/>
          <w:sz w:val="24"/>
        </w:rPr>
        <w:t>）</w:t>
      </w:r>
    </w:p>
    <w:p>
      <w:pPr>
        <w:spacing w:line="360" w:lineRule="auto"/>
        <w:rPr>
          <w:rFonts w:ascii="宋体" w:hAnsi="宋体" w:eastAsia="宋体" w:cs="Times New Roman"/>
          <w:sz w:val="24"/>
        </w:rPr>
      </w:pPr>
    </w:p>
    <w:p>
      <w:pPr>
        <w:spacing w:line="360" w:lineRule="auto"/>
        <w:rPr>
          <w:rFonts w:ascii="宋体" w:hAnsi="宋体" w:eastAsia="宋体" w:cs="Times New Roman"/>
          <w:sz w:val="24"/>
        </w:rPr>
      </w:pPr>
      <w:r>
        <w:rPr>
          <w:rFonts w:ascii="宋体" w:hAnsi="宋体" w:eastAsia="宋体" w:cs="Times New Roman"/>
          <w:sz w:val="24"/>
        </w:rPr>
        <w:t>本授权书有效期：_______年_____月___日至_____年_____月____日</w:t>
      </w:r>
    </w:p>
    <w:p>
      <w:pPr>
        <w:spacing w:line="360" w:lineRule="auto"/>
        <w:rPr>
          <w:rFonts w:ascii="宋体" w:hAnsi="宋体" w:eastAsia="宋体" w:cs="Times New Roman"/>
          <w:sz w:val="24"/>
        </w:rPr>
      </w:pPr>
    </w:p>
    <w:p>
      <w:pPr>
        <w:rPr>
          <w:rFonts w:ascii="宋体" w:hAnsi="宋体" w:eastAsia="宋体" w:cs="Times New Roman"/>
          <w:sz w:val="24"/>
        </w:rPr>
      </w:pPr>
      <w:r>
        <w:rPr>
          <w:rFonts w:hint="eastAsia" w:ascii="宋体" w:hAnsi="宋体" w:eastAsia="宋体" w:cs="Times New Roman"/>
          <w:sz w:val="24"/>
        </w:rPr>
        <w:t>后附委托代理人身份证扫描件或复印件</w:t>
      </w:r>
    </w:p>
    <w:p>
      <w:pPr>
        <w:rPr>
          <w:rFonts w:ascii="Times New Roman" w:hAnsi="Times New Roman" w:eastAsia="宋体" w:cs="Times New Roman"/>
          <w:szCs w:val="24"/>
        </w:rPr>
      </w:pPr>
    </w:p>
    <w:p>
      <w:pPr>
        <w:rPr>
          <w:rFonts w:ascii="宋体" w:hAnsi="宋体" w:eastAsia="宋体" w:cs="Times New Roman"/>
          <w:sz w:val="24"/>
        </w:rPr>
        <w:sectPr>
          <w:pgSz w:w="11906" w:h="16838"/>
          <w:pgMar w:top="1440" w:right="1080" w:bottom="1440" w:left="1080" w:header="851" w:footer="851" w:gutter="0"/>
          <w:cols w:space="720" w:num="1"/>
          <w:docGrid w:linePitch="312" w:charSpace="0"/>
        </w:sectPr>
      </w:pPr>
    </w:p>
    <w:p>
      <w:pPr>
        <w:keepNext/>
        <w:keepLines/>
        <w:spacing w:line="360" w:lineRule="auto"/>
        <w:jc w:val="center"/>
        <w:outlineLvl w:val="2"/>
        <w:rPr>
          <w:rFonts w:ascii="宋体" w:hAnsi="宋体" w:eastAsia="宋体" w:cs="Times New Roman"/>
          <w:b/>
          <w:bCs/>
          <w:sz w:val="36"/>
          <w:szCs w:val="36"/>
        </w:rPr>
      </w:pPr>
      <w:r>
        <w:rPr>
          <w:rFonts w:hint="eastAsia" w:ascii="宋体" w:hAnsi="宋体" w:eastAsia="宋体" w:cs="Times New Roman"/>
          <w:b/>
          <w:bCs/>
          <w:sz w:val="36"/>
          <w:szCs w:val="36"/>
        </w:rPr>
        <w:t>四、服务商基本情况表</w:t>
      </w:r>
    </w:p>
    <w:tbl>
      <w:tblPr>
        <w:tblStyle w:val="38"/>
        <w:tblW w:w="8784"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36"/>
        <w:gridCol w:w="732"/>
        <w:gridCol w:w="288"/>
        <w:gridCol w:w="975"/>
        <w:gridCol w:w="1175"/>
        <w:gridCol w:w="1323"/>
        <w:gridCol w:w="8"/>
        <w:gridCol w:w="803"/>
        <w:gridCol w:w="16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20" w:hRule="atLeast"/>
          <w:jc w:val="center"/>
        </w:trPr>
        <w:tc>
          <w:tcPr>
            <w:tcW w:w="1836" w:type="dxa"/>
            <w:vAlign w:val="center"/>
          </w:tcPr>
          <w:p>
            <w:pPr>
              <w:spacing w:line="360" w:lineRule="auto"/>
              <w:jc w:val="center"/>
              <w:rPr>
                <w:rFonts w:ascii="宋体" w:hAnsi="宋体" w:cs="宋体"/>
                <w:kern w:val="0"/>
                <w:sz w:val="24"/>
              </w:rPr>
            </w:pPr>
            <w:r>
              <w:rPr>
                <w:rFonts w:hint="eastAsia" w:ascii="宋体" w:hAnsi="宋体" w:cs="宋体"/>
                <w:kern w:val="0"/>
                <w:sz w:val="24"/>
              </w:rPr>
              <w:t>服务商名称</w:t>
            </w:r>
          </w:p>
        </w:tc>
        <w:tc>
          <w:tcPr>
            <w:tcW w:w="6948" w:type="dxa"/>
            <w:gridSpan w:val="8"/>
            <w:vAlign w:val="center"/>
          </w:tcPr>
          <w:p>
            <w:pPr>
              <w:spacing w:line="360" w:lineRule="auto"/>
              <w:ind w:firstLine="44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820" w:hRule="atLeast"/>
          <w:jc w:val="center"/>
        </w:trPr>
        <w:tc>
          <w:tcPr>
            <w:tcW w:w="1836" w:type="dxa"/>
            <w:vAlign w:val="center"/>
          </w:tcPr>
          <w:p>
            <w:pPr>
              <w:spacing w:line="360" w:lineRule="auto"/>
              <w:jc w:val="center"/>
              <w:rPr>
                <w:rFonts w:ascii="宋体" w:hAnsi="宋体" w:cs="宋体"/>
                <w:kern w:val="0"/>
                <w:sz w:val="24"/>
              </w:rPr>
            </w:pPr>
            <w:r>
              <w:rPr>
                <w:rFonts w:hint="eastAsia" w:ascii="宋体" w:hAnsi="宋体" w:cs="宋体"/>
                <w:kern w:val="0"/>
                <w:sz w:val="24"/>
              </w:rPr>
              <w:t>注册地址</w:t>
            </w:r>
          </w:p>
        </w:tc>
        <w:tc>
          <w:tcPr>
            <w:tcW w:w="3170" w:type="dxa"/>
            <w:gridSpan w:val="4"/>
            <w:vAlign w:val="center"/>
          </w:tcPr>
          <w:p>
            <w:pPr>
              <w:spacing w:line="360" w:lineRule="auto"/>
              <w:ind w:firstLine="440"/>
              <w:jc w:val="center"/>
              <w:rPr>
                <w:rFonts w:ascii="宋体" w:hAnsi="宋体" w:cs="宋体"/>
                <w:kern w:val="0"/>
                <w:sz w:val="24"/>
              </w:rPr>
            </w:pPr>
          </w:p>
        </w:tc>
        <w:tc>
          <w:tcPr>
            <w:tcW w:w="1323" w:type="dxa"/>
            <w:vAlign w:val="center"/>
          </w:tcPr>
          <w:p>
            <w:pPr>
              <w:spacing w:line="360" w:lineRule="auto"/>
              <w:jc w:val="center"/>
              <w:rPr>
                <w:rFonts w:ascii="宋体" w:hAnsi="宋体" w:cs="宋体"/>
                <w:kern w:val="0"/>
                <w:sz w:val="24"/>
              </w:rPr>
            </w:pPr>
            <w:r>
              <w:rPr>
                <w:rFonts w:hint="eastAsia" w:ascii="宋体" w:hAnsi="宋体" w:cs="宋体"/>
                <w:kern w:val="0"/>
                <w:sz w:val="24"/>
              </w:rPr>
              <w:t>邮政编码</w:t>
            </w:r>
          </w:p>
        </w:tc>
        <w:tc>
          <w:tcPr>
            <w:tcW w:w="2455" w:type="dxa"/>
            <w:gridSpan w:val="3"/>
            <w:vAlign w:val="center"/>
          </w:tcPr>
          <w:p>
            <w:pPr>
              <w:spacing w:line="360" w:lineRule="auto"/>
              <w:ind w:firstLine="440"/>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990" w:hRule="atLeast"/>
          <w:jc w:val="center"/>
        </w:trPr>
        <w:tc>
          <w:tcPr>
            <w:tcW w:w="1836" w:type="dxa"/>
            <w:vMerge w:val="restart"/>
            <w:vAlign w:val="center"/>
          </w:tcPr>
          <w:p>
            <w:pPr>
              <w:spacing w:line="360" w:lineRule="auto"/>
              <w:jc w:val="center"/>
              <w:rPr>
                <w:rFonts w:ascii="宋体" w:hAnsi="宋体" w:cs="宋体"/>
                <w:kern w:val="0"/>
                <w:sz w:val="24"/>
              </w:rPr>
            </w:pPr>
            <w:r>
              <w:rPr>
                <w:rFonts w:hint="eastAsia" w:ascii="宋体" w:hAnsi="宋体" w:cs="宋体"/>
                <w:kern w:val="0"/>
                <w:sz w:val="24"/>
              </w:rPr>
              <w:t>联系方式</w:t>
            </w:r>
          </w:p>
        </w:tc>
        <w:tc>
          <w:tcPr>
            <w:tcW w:w="1020" w:type="dxa"/>
            <w:gridSpan w:val="2"/>
            <w:vAlign w:val="center"/>
          </w:tcPr>
          <w:p>
            <w:pPr>
              <w:spacing w:line="360" w:lineRule="auto"/>
              <w:jc w:val="center"/>
              <w:rPr>
                <w:rFonts w:ascii="宋体" w:hAnsi="宋体" w:cs="宋体"/>
                <w:kern w:val="0"/>
                <w:sz w:val="24"/>
              </w:rPr>
            </w:pPr>
            <w:r>
              <w:rPr>
                <w:rFonts w:hint="eastAsia" w:ascii="宋体" w:hAnsi="宋体" w:cs="宋体"/>
                <w:kern w:val="0"/>
                <w:sz w:val="24"/>
              </w:rPr>
              <w:t>联系人</w:t>
            </w:r>
          </w:p>
        </w:tc>
        <w:tc>
          <w:tcPr>
            <w:tcW w:w="2150" w:type="dxa"/>
            <w:gridSpan w:val="2"/>
            <w:vAlign w:val="center"/>
          </w:tcPr>
          <w:p>
            <w:pPr>
              <w:spacing w:line="360" w:lineRule="auto"/>
              <w:ind w:firstLine="440"/>
              <w:rPr>
                <w:rFonts w:ascii="宋体" w:hAnsi="宋体" w:cs="宋体"/>
                <w:kern w:val="0"/>
                <w:sz w:val="24"/>
              </w:rPr>
            </w:pPr>
          </w:p>
        </w:tc>
        <w:tc>
          <w:tcPr>
            <w:tcW w:w="1331" w:type="dxa"/>
            <w:gridSpan w:val="2"/>
            <w:vAlign w:val="center"/>
          </w:tcPr>
          <w:p>
            <w:pPr>
              <w:spacing w:line="360" w:lineRule="auto"/>
              <w:ind w:firstLine="440"/>
              <w:rPr>
                <w:rFonts w:ascii="宋体" w:hAnsi="宋体" w:cs="宋体"/>
                <w:kern w:val="0"/>
                <w:sz w:val="24"/>
              </w:rPr>
            </w:pPr>
            <w:r>
              <w:rPr>
                <w:rFonts w:hint="eastAsia" w:ascii="宋体" w:hAnsi="宋体" w:cs="宋体"/>
                <w:kern w:val="0"/>
                <w:sz w:val="24"/>
              </w:rPr>
              <w:t>电话</w:t>
            </w:r>
          </w:p>
        </w:tc>
        <w:tc>
          <w:tcPr>
            <w:tcW w:w="2447" w:type="dxa"/>
            <w:gridSpan w:val="2"/>
            <w:vAlign w:val="center"/>
          </w:tcPr>
          <w:p>
            <w:pPr>
              <w:spacing w:line="360" w:lineRule="auto"/>
              <w:ind w:firstLine="440"/>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03" w:hRule="atLeast"/>
          <w:jc w:val="center"/>
        </w:trPr>
        <w:tc>
          <w:tcPr>
            <w:tcW w:w="1836" w:type="dxa"/>
            <w:vMerge w:val="continue"/>
            <w:vAlign w:val="center"/>
          </w:tcPr>
          <w:p>
            <w:pPr>
              <w:spacing w:line="360" w:lineRule="auto"/>
              <w:ind w:firstLine="440"/>
              <w:jc w:val="center"/>
              <w:rPr>
                <w:rFonts w:ascii="宋体" w:hAnsi="宋体" w:cs="宋体"/>
                <w:kern w:val="0"/>
                <w:sz w:val="24"/>
              </w:rPr>
            </w:pPr>
          </w:p>
        </w:tc>
        <w:tc>
          <w:tcPr>
            <w:tcW w:w="1020" w:type="dxa"/>
            <w:gridSpan w:val="2"/>
            <w:vAlign w:val="center"/>
          </w:tcPr>
          <w:p>
            <w:pPr>
              <w:spacing w:line="360" w:lineRule="auto"/>
              <w:jc w:val="center"/>
              <w:rPr>
                <w:rFonts w:ascii="宋体" w:hAnsi="宋体" w:cs="宋体"/>
                <w:kern w:val="0"/>
                <w:sz w:val="24"/>
              </w:rPr>
            </w:pPr>
            <w:r>
              <w:rPr>
                <w:rFonts w:hint="eastAsia" w:ascii="宋体" w:hAnsi="宋体" w:cs="宋体"/>
                <w:kern w:val="0"/>
                <w:sz w:val="24"/>
              </w:rPr>
              <w:t>传真</w:t>
            </w:r>
          </w:p>
        </w:tc>
        <w:tc>
          <w:tcPr>
            <w:tcW w:w="2150" w:type="dxa"/>
            <w:gridSpan w:val="2"/>
            <w:vAlign w:val="center"/>
          </w:tcPr>
          <w:p>
            <w:pPr>
              <w:spacing w:line="360" w:lineRule="auto"/>
              <w:ind w:firstLine="440"/>
              <w:rPr>
                <w:rFonts w:ascii="宋体" w:hAnsi="宋体" w:cs="宋体"/>
                <w:kern w:val="0"/>
                <w:sz w:val="24"/>
              </w:rPr>
            </w:pPr>
          </w:p>
        </w:tc>
        <w:tc>
          <w:tcPr>
            <w:tcW w:w="1331" w:type="dxa"/>
            <w:gridSpan w:val="2"/>
            <w:vAlign w:val="center"/>
          </w:tcPr>
          <w:p>
            <w:pPr>
              <w:spacing w:line="360" w:lineRule="auto"/>
              <w:ind w:firstLine="440"/>
              <w:rPr>
                <w:rFonts w:ascii="宋体" w:hAnsi="宋体" w:cs="宋体"/>
                <w:kern w:val="0"/>
                <w:sz w:val="24"/>
              </w:rPr>
            </w:pPr>
            <w:r>
              <w:rPr>
                <w:rFonts w:hint="eastAsia" w:ascii="宋体" w:hAnsi="宋体" w:cs="宋体"/>
                <w:kern w:val="0"/>
                <w:sz w:val="24"/>
              </w:rPr>
              <w:t>网址</w:t>
            </w:r>
          </w:p>
        </w:tc>
        <w:tc>
          <w:tcPr>
            <w:tcW w:w="2447" w:type="dxa"/>
            <w:gridSpan w:val="2"/>
            <w:vAlign w:val="center"/>
          </w:tcPr>
          <w:p>
            <w:pPr>
              <w:spacing w:line="360" w:lineRule="auto"/>
              <w:ind w:firstLine="440"/>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780" w:hRule="atLeast"/>
          <w:jc w:val="center"/>
        </w:trPr>
        <w:tc>
          <w:tcPr>
            <w:tcW w:w="1836" w:type="dxa"/>
            <w:vAlign w:val="center"/>
          </w:tcPr>
          <w:p>
            <w:pPr>
              <w:spacing w:line="360" w:lineRule="auto"/>
              <w:jc w:val="center"/>
              <w:rPr>
                <w:rFonts w:ascii="宋体" w:hAnsi="宋体" w:cs="宋体"/>
                <w:kern w:val="0"/>
                <w:sz w:val="24"/>
              </w:rPr>
            </w:pPr>
            <w:r>
              <w:rPr>
                <w:rFonts w:hint="eastAsia" w:ascii="宋体" w:hAnsi="宋体" w:cs="宋体"/>
                <w:kern w:val="0"/>
                <w:sz w:val="24"/>
              </w:rPr>
              <w:t>组织结构</w:t>
            </w:r>
          </w:p>
        </w:tc>
        <w:tc>
          <w:tcPr>
            <w:tcW w:w="6948" w:type="dxa"/>
            <w:gridSpan w:val="8"/>
            <w:vAlign w:val="center"/>
          </w:tcPr>
          <w:p>
            <w:pPr>
              <w:spacing w:line="360" w:lineRule="auto"/>
              <w:ind w:firstLine="440"/>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03" w:hRule="atLeast"/>
          <w:jc w:val="center"/>
        </w:trPr>
        <w:tc>
          <w:tcPr>
            <w:tcW w:w="1836" w:type="dxa"/>
            <w:vAlign w:val="center"/>
          </w:tcPr>
          <w:p>
            <w:pPr>
              <w:spacing w:line="360" w:lineRule="auto"/>
              <w:jc w:val="center"/>
              <w:rPr>
                <w:rFonts w:ascii="宋体" w:hAnsi="宋体" w:cs="宋体"/>
                <w:kern w:val="0"/>
                <w:sz w:val="24"/>
              </w:rPr>
            </w:pPr>
            <w:r>
              <w:rPr>
                <w:rFonts w:hint="eastAsia" w:ascii="宋体" w:hAnsi="宋体" w:cs="宋体"/>
                <w:kern w:val="0"/>
                <w:sz w:val="24"/>
              </w:rPr>
              <w:t>法定代表人</w:t>
            </w:r>
          </w:p>
        </w:tc>
        <w:tc>
          <w:tcPr>
            <w:tcW w:w="732" w:type="dxa"/>
            <w:vAlign w:val="center"/>
          </w:tcPr>
          <w:p>
            <w:pPr>
              <w:spacing w:line="360" w:lineRule="auto"/>
              <w:jc w:val="left"/>
              <w:rPr>
                <w:rFonts w:ascii="宋体" w:hAnsi="宋体" w:cs="宋体"/>
                <w:kern w:val="0"/>
                <w:sz w:val="24"/>
              </w:rPr>
            </w:pPr>
            <w:r>
              <w:rPr>
                <w:rFonts w:hint="eastAsia" w:ascii="宋体" w:hAnsi="宋体" w:cs="宋体"/>
                <w:kern w:val="0"/>
                <w:sz w:val="24"/>
              </w:rPr>
              <w:t>姓名</w:t>
            </w:r>
          </w:p>
        </w:tc>
        <w:tc>
          <w:tcPr>
            <w:tcW w:w="1263" w:type="dxa"/>
            <w:gridSpan w:val="2"/>
            <w:vAlign w:val="center"/>
          </w:tcPr>
          <w:p>
            <w:pPr>
              <w:spacing w:line="360" w:lineRule="auto"/>
              <w:ind w:firstLine="440"/>
              <w:jc w:val="left"/>
              <w:rPr>
                <w:rFonts w:ascii="宋体" w:hAnsi="宋体" w:cs="宋体"/>
                <w:kern w:val="0"/>
                <w:sz w:val="24"/>
              </w:rPr>
            </w:pPr>
          </w:p>
        </w:tc>
        <w:tc>
          <w:tcPr>
            <w:tcW w:w="1175" w:type="dxa"/>
            <w:vAlign w:val="center"/>
          </w:tcPr>
          <w:p>
            <w:pPr>
              <w:spacing w:line="360" w:lineRule="auto"/>
              <w:jc w:val="left"/>
              <w:rPr>
                <w:rFonts w:ascii="宋体" w:hAnsi="宋体" w:cs="宋体"/>
                <w:kern w:val="0"/>
                <w:sz w:val="24"/>
              </w:rPr>
            </w:pPr>
            <w:r>
              <w:rPr>
                <w:rFonts w:hint="eastAsia" w:ascii="宋体" w:hAnsi="宋体" w:cs="宋体"/>
                <w:kern w:val="0"/>
                <w:sz w:val="24"/>
              </w:rPr>
              <w:t>技术职称</w:t>
            </w:r>
          </w:p>
        </w:tc>
        <w:tc>
          <w:tcPr>
            <w:tcW w:w="1331" w:type="dxa"/>
            <w:gridSpan w:val="2"/>
            <w:vAlign w:val="center"/>
          </w:tcPr>
          <w:p>
            <w:pPr>
              <w:spacing w:line="360" w:lineRule="auto"/>
              <w:ind w:firstLine="440"/>
              <w:jc w:val="left"/>
              <w:rPr>
                <w:rFonts w:ascii="宋体" w:hAnsi="宋体" w:cs="宋体"/>
                <w:kern w:val="0"/>
                <w:sz w:val="24"/>
              </w:rPr>
            </w:pPr>
          </w:p>
        </w:tc>
        <w:tc>
          <w:tcPr>
            <w:tcW w:w="803" w:type="dxa"/>
            <w:vAlign w:val="center"/>
          </w:tcPr>
          <w:p>
            <w:pPr>
              <w:spacing w:line="360" w:lineRule="auto"/>
              <w:jc w:val="center"/>
              <w:rPr>
                <w:rFonts w:ascii="宋体" w:hAnsi="宋体" w:cs="宋体"/>
                <w:kern w:val="0"/>
                <w:sz w:val="24"/>
              </w:rPr>
            </w:pPr>
            <w:r>
              <w:rPr>
                <w:rFonts w:hint="eastAsia" w:ascii="宋体" w:hAnsi="宋体" w:cs="宋体"/>
                <w:kern w:val="0"/>
                <w:sz w:val="24"/>
              </w:rPr>
              <w:t>电话</w:t>
            </w:r>
          </w:p>
        </w:tc>
        <w:tc>
          <w:tcPr>
            <w:tcW w:w="1644" w:type="dxa"/>
            <w:vAlign w:val="center"/>
          </w:tcPr>
          <w:p>
            <w:pPr>
              <w:spacing w:line="360" w:lineRule="auto"/>
              <w:ind w:firstLine="442"/>
              <w:rPr>
                <w:rFonts w:ascii="宋体" w:hAnsi="宋体" w:cs="宋体"/>
                <w:b/>
                <w:bCs/>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03" w:hRule="atLeast"/>
          <w:jc w:val="center"/>
        </w:trPr>
        <w:tc>
          <w:tcPr>
            <w:tcW w:w="1836" w:type="dxa"/>
            <w:vAlign w:val="center"/>
          </w:tcPr>
          <w:p>
            <w:pPr>
              <w:spacing w:line="360" w:lineRule="auto"/>
              <w:jc w:val="center"/>
              <w:rPr>
                <w:rFonts w:ascii="宋体" w:hAnsi="宋体" w:cs="宋体"/>
                <w:kern w:val="0"/>
                <w:sz w:val="24"/>
              </w:rPr>
            </w:pPr>
            <w:r>
              <w:rPr>
                <w:rFonts w:hint="eastAsia" w:ascii="宋体" w:hAnsi="宋体" w:cs="宋体"/>
                <w:kern w:val="0"/>
                <w:sz w:val="24"/>
              </w:rPr>
              <w:t>技术负责人</w:t>
            </w:r>
          </w:p>
        </w:tc>
        <w:tc>
          <w:tcPr>
            <w:tcW w:w="732" w:type="dxa"/>
            <w:vAlign w:val="center"/>
          </w:tcPr>
          <w:p>
            <w:pPr>
              <w:spacing w:line="360" w:lineRule="auto"/>
              <w:jc w:val="left"/>
              <w:rPr>
                <w:rFonts w:ascii="宋体" w:hAnsi="宋体" w:cs="宋体"/>
                <w:kern w:val="0"/>
                <w:sz w:val="24"/>
              </w:rPr>
            </w:pPr>
            <w:r>
              <w:rPr>
                <w:rFonts w:hint="eastAsia" w:ascii="宋体" w:hAnsi="宋体" w:cs="宋体"/>
                <w:kern w:val="0"/>
                <w:sz w:val="24"/>
              </w:rPr>
              <w:t>姓名</w:t>
            </w:r>
          </w:p>
        </w:tc>
        <w:tc>
          <w:tcPr>
            <w:tcW w:w="1263" w:type="dxa"/>
            <w:gridSpan w:val="2"/>
            <w:vAlign w:val="center"/>
          </w:tcPr>
          <w:p>
            <w:pPr>
              <w:spacing w:line="360" w:lineRule="auto"/>
              <w:ind w:firstLine="440"/>
              <w:jc w:val="left"/>
              <w:rPr>
                <w:rFonts w:ascii="宋体" w:hAnsi="宋体" w:cs="宋体"/>
                <w:kern w:val="0"/>
                <w:sz w:val="24"/>
              </w:rPr>
            </w:pPr>
          </w:p>
        </w:tc>
        <w:tc>
          <w:tcPr>
            <w:tcW w:w="1175" w:type="dxa"/>
            <w:vAlign w:val="center"/>
          </w:tcPr>
          <w:p>
            <w:pPr>
              <w:spacing w:line="360" w:lineRule="auto"/>
              <w:jc w:val="left"/>
              <w:rPr>
                <w:rFonts w:ascii="宋体" w:hAnsi="宋体" w:cs="宋体"/>
                <w:kern w:val="0"/>
                <w:sz w:val="24"/>
              </w:rPr>
            </w:pPr>
            <w:r>
              <w:rPr>
                <w:rFonts w:hint="eastAsia" w:ascii="宋体" w:hAnsi="宋体" w:cs="宋体"/>
                <w:kern w:val="0"/>
                <w:sz w:val="24"/>
              </w:rPr>
              <w:t>技术职称</w:t>
            </w:r>
          </w:p>
        </w:tc>
        <w:tc>
          <w:tcPr>
            <w:tcW w:w="1331" w:type="dxa"/>
            <w:gridSpan w:val="2"/>
            <w:vAlign w:val="center"/>
          </w:tcPr>
          <w:p>
            <w:pPr>
              <w:spacing w:line="360" w:lineRule="auto"/>
              <w:ind w:firstLine="440"/>
              <w:jc w:val="left"/>
              <w:rPr>
                <w:rFonts w:ascii="宋体" w:hAnsi="宋体" w:cs="宋体"/>
                <w:kern w:val="0"/>
                <w:sz w:val="24"/>
              </w:rPr>
            </w:pPr>
          </w:p>
        </w:tc>
        <w:tc>
          <w:tcPr>
            <w:tcW w:w="803" w:type="dxa"/>
            <w:vAlign w:val="center"/>
          </w:tcPr>
          <w:p>
            <w:pPr>
              <w:spacing w:line="360" w:lineRule="auto"/>
              <w:jc w:val="center"/>
              <w:rPr>
                <w:rFonts w:ascii="宋体" w:hAnsi="宋体" w:cs="宋体"/>
                <w:kern w:val="0"/>
                <w:sz w:val="24"/>
              </w:rPr>
            </w:pPr>
            <w:r>
              <w:rPr>
                <w:rFonts w:hint="eastAsia" w:ascii="宋体" w:hAnsi="宋体" w:cs="宋体"/>
                <w:kern w:val="0"/>
                <w:sz w:val="24"/>
              </w:rPr>
              <w:t>电话</w:t>
            </w:r>
          </w:p>
        </w:tc>
        <w:tc>
          <w:tcPr>
            <w:tcW w:w="1644" w:type="dxa"/>
            <w:vAlign w:val="center"/>
          </w:tcPr>
          <w:p>
            <w:pPr>
              <w:spacing w:line="360" w:lineRule="auto"/>
              <w:ind w:firstLine="442"/>
              <w:rPr>
                <w:rFonts w:ascii="宋体" w:hAnsi="宋体" w:cs="宋体"/>
                <w:b/>
                <w:bCs/>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03" w:hRule="atLeast"/>
          <w:jc w:val="center"/>
        </w:trPr>
        <w:tc>
          <w:tcPr>
            <w:tcW w:w="1836" w:type="dxa"/>
            <w:vAlign w:val="center"/>
          </w:tcPr>
          <w:p>
            <w:pPr>
              <w:spacing w:line="360" w:lineRule="auto"/>
              <w:jc w:val="center"/>
              <w:rPr>
                <w:rFonts w:ascii="宋体" w:hAnsi="宋体" w:cs="宋体"/>
                <w:kern w:val="0"/>
                <w:sz w:val="24"/>
              </w:rPr>
            </w:pPr>
            <w:r>
              <w:rPr>
                <w:rFonts w:hint="eastAsia" w:ascii="宋体" w:hAnsi="宋体" w:cs="宋体"/>
                <w:kern w:val="0"/>
                <w:sz w:val="24"/>
              </w:rPr>
              <w:t>成立时间</w:t>
            </w:r>
          </w:p>
        </w:tc>
        <w:tc>
          <w:tcPr>
            <w:tcW w:w="1995" w:type="dxa"/>
            <w:gridSpan w:val="3"/>
            <w:vAlign w:val="center"/>
          </w:tcPr>
          <w:p>
            <w:pPr>
              <w:spacing w:line="360" w:lineRule="auto"/>
              <w:ind w:firstLine="440"/>
              <w:rPr>
                <w:rFonts w:ascii="宋体" w:hAnsi="宋体" w:cs="宋体"/>
                <w:kern w:val="0"/>
                <w:sz w:val="24"/>
              </w:rPr>
            </w:pPr>
          </w:p>
        </w:tc>
        <w:tc>
          <w:tcPr>
            <w:tcW w:w="4953" w:type="dxa"/>
            <w:gridSpan w:val="5"/>
            <w:vAlign w:val="center"/>
          </w:tcPr>
          <w:p>
            <w:pPr>
              <w:spacing w:line="360" w:lineRule="auto"/>
              <w:rPr>
                <w:rFonts w:ascii="宋体" w:hAnsi="宋体" w:cs="宋体"/>
                <w:kern w:val="0"/>
                <w:sz w:val="24"/>
              </w:rPr>
            </w:pPr>
            <w:r>
              <w:rPr>
                <w:rFonts w:hint="eastAsia" w:ascii="宋体" w:hAnsi="宋体" w:cs="宋体"/>
                <w:kern w:val="0"/>
                <w:sz w:val="24"/>
              </w:rPr>
              <w:t>员工总人数：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03" w:hRule="atLeast"/>
          <w:jc w:val="center"/>
        </w:trPr>
        <w:tc>
          <w:tcPr>
            <w:tcW w:w="1836" w:type="dxa"/>
            <w:vAlign w:val="center"/>
          </w:tcPr>
          <w:p>
            <w:pPr>
              <w:spacing w:line="360" w:lineRule="auto"/>
              <w:jc w:val="center"/>
              <w:rPr>
                <w:rFonts w:ascii="宋体" w:hAnsi="宋体" w:cs="宋体"/>
                <w:kern w:val="0"/>
                <w:sz w:val="24"/>
              </w:rPr>
            </w:pPr>
            <w:r>
              <w:rPr>
                <w:rFonts w:hint="eastAsia" w:ascii="宋体" w:hAnsi="宋体" w:cs="宋体"/>
                <w:kern w:val="0"/>
                <w:sz w:val="24"/>
              </w:rPr>
              <w:t>企业资质等级</w:t>
            </w:r>
          </w:p>
        </w:tc>
        <w:tc>
          <w:tcPr>
            <w:tcW w:w="1995" w:type="dxa"/>
            <w:gridSpan w:val="3"/>
            <w:vAlign w:val="center"/>
          </w:tcPr>
          <w:p>
            <w:pPr>
              <w:spacing w:line="360" w:lineRule="auto"/>
              <w:ind w:firstLine="440"/>
              <w:rPr>
                <w:rFonts w:ascii="宋体" w:hAnsi="宋体" w:cs="宋体"/>
                <w:kern w:val="0"/>
                <w:sz w:val="24"/>
              </w:rPr>
            </w:pPr>
          </w:p>
        </w:tc>
        <w:tc>
          <w:tcPr>
            <w:tcW w:w="1175" w:type="dxa"/>
            <w:vMerge w:val="restart"/>
            <w:vAlign w:val="center"/>
          </w:tcPr>
          <w:p>
            <w:pPr>
              <w:spacing w:line="360" w:lineRule="auto"/>
              <w:rPr>
                <w:rFonts w:ascii="宋体" w:hAnsi="宋体" w:cs="宋体"/>
                <w:kern w:val="0"/>
                <w:sz w:val="24"/>
              </w:rPr>
            </w:pPr>
            <w:r>
              <w:rPr>
                <w:rFonts w:hint="eastAsia" w:ascii="宋体" w:hAnsi="宋体" w:cs="宋体"/>
                <w:kern w:val="0"/>
                <w:sz w:val="24"/>
              </w:rPr>
              <w:t>其中</w:t>
            </w:r>
          </w:p>
        </w:tc>
        <w:tc>
          <w:tcPr>
            <w:tcW w:w="1323" w:type="dxa"/>
            <w:vAlign w:val="center"/>
          </w:tcPr>
          <w:p>
            <w:pPr>
              <w:spacing w:line="360" w:lineRule="auto"/>
              <w:jc w:val="center"/>
              <w:rPr>
                <w:rFonts w:ascii="宋体" w:hAnsi="宋体" w:cs="宋体"/>
                <w:kern w:val="0"/>
                <w:sz w:val="24"/>
              </w:rPr>
            </w:pPr>
            <w:r>
              <w:rPr>
                <w:rFonts w:hint="eastAsia" w:ascii="宋体" w:hAnsi="宋体" w:cs="宋体"/>
                <w:kern w:val="0"/>
                <w:sz w:val="24"/>
              </w:rPr>
              <w:t>管理人员</w:t>
            </w:r>
          </w:p>
        </w:tc>
        <w:tc>
          <w:tcPr>
            <w:tcW w:w="2455" w:type="dxa"/>
            <w:gridSpan w:val="3"/>
            <w:vAlign w:val="center"/>
          </w:tcPr>
          <w:p>
            <w:pPr>
              <w:spacing w:line="360" w:lineRule="auto"/>
              <w:ind w:firstLine="442"/>
              <w:rPr>
                <w:rFonts w:ascii="宋体" w:hAnsi="宋体" w:cs="宋体"/>
                <w:b/>
                <w:bCs/>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03" w:hRule="atLeast"/>
          <w:jc w:val="center"/>
        </w:trPr>
        <w:tc>
          <w:tcPr>
            <w:tcW w:w="1836" w:type="dxa"/>
            <w:vAlign w:val="center"/>
          </w:tcPr>
          <w:p>
            <w:pPr>
              <w:spacing w:line="360" w:lineRule="auto"/>
              <w:jc w:val="center"/>
              <w:rPr>
                <w:rFonts w:ascii="宋体" w:hAnsi="宋体" w:cs="宋体"/>
                <w:kern w:val="0"/>
                <w:sz w:val="24"/>
              </w:rPr>
            </w:pPr>
            <w:r>
              <w:rPr>
                <w:rFonts w:hint="eastAsia" w:ascii="宋体" w:hAnsi="宋体" w:cs="宋体"/>
                <w:kern w:val="0"/>
                <w:sz w:val="24"/>
              </w:rPr>
              <w:t>营业执照号</w:t>
            </w:r>
          </w:p>
        </w:tc>
        <w:tc>
          <w:tcPr>
            <w:tcW w:w="1995" w:type="dxa"/>
            <w:gridSpan w:val="3"/>
            <w:vAlign w:val="center"/>
          </w:tcPr>
          <w:p>
            <w:pPr>
              <w:spacing w:line="360" w:lineRule="auto"/>
              <w:ind w:firstLine="440"/>
              <w:rPr>
                <w:rFonts w:ascii="宋体" w:hAnsi="宋体" w:cs="宋体"/>
                <w:kern w:val="0"/>
                <w:sz w:val="24"/>
              </w:rPr>
            </w:pPr>
          </w:p>
        </w:tc>
        <w:tc>
          <w:tcPr>
            <w:tcW w:w="1175" w:type="dxa"/>
            <w:vMerge w:val="continue"/>
            <w:vAlign w:val="center"/>
          </w:tcPr>
          <w:p>
            <w:pPr>
              <w:spacing w:line="360" w:lineRule="auto"/>
              <w:ind w:firstLine="440"/>
              <w:rPr>
                <w:rFonts w:ascii="宋体" w:hAnsi="宋体" w:cs="宋体"/>
                <w:kern w:val="0"/>
                <w:sz w:val="24"/>
              </w:rPr>
            </w:pPr>
          </w:p>
        </w:tc>
        <w:tc>
          <w:tcPr>
            <w:tcW w:w="1323" w:type="dxa"/>
            <w:vAlign w:val="center"/>
          </w:tcPr>
          <w:p>
            <w:pPr>
              <w:spacing w:line="360" w:lineRule="auto"/>
              <w:jc w:val="center"/>
              <w:rPr>
                <w:rFonts w:ascii="宋体" w:hAnsi="宋体" w:cs="宋体"/>
                <w:kern w:val="0"/>
                <w:sz w:val="24"/>
              </w:rPr>
            </w:pPr>
            <w:r>
              <w:rPr>
                <w:rFonts w:hint="eastAsia" w:ascii="宋体" w:hAnsi="宋体" w:cs="宋体"/>
                <w:kern w:val="0"/>
                <w:sz w:val="24"/>
              </w:rPr>
              <w:t>技术人员</w:t>
            </w:r>
          </w:p>
        </w:tc>
        <w:tc>
          <w:tcPr>
            <w:tcW w:w="2455" w:type="dxa"/>
            <w:gridSpan w:val="3"/>
            <w:vAlign w:val="center"/>
          </w:tcPr>
          <w:p>
            <w:pPr>
              <w:spacing w:line="360" w:lineRule="auto"/>
              <w:ind w:firstLine="442"/>
              <w:rPr>
                <w:rFonts w:ascii="宋体" w:hAnsi="宋体" w:cs="宋体"/>
                <w:b/>
                <w:bCs/>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03" w:hRule="atLeast"/>
          <w:jc w:val="center"/>
        </w:trPr>
        <w:tc>
          <w:tcPr>
            <w:tcW w:w="1836" w:type="dxa"/>
            <w:vAlign w:val="center"/>
          </w:tcPr>
          <w:p>
            <w:pPr>
              <w:spacing w:line="360" w:lineRule="auto"/>
              <w:jc w:val="center"/>
              <w:rPr>
                <w:rFonts w:ascii="宋体" w:hAnsi="宋体" w:cs="宋体"/>
                <w:kern w:val="0"/>
                <w:sz w:val="24"/>
              </w:rPr>
            </w:pPr>
            <w:r>
              <w:rPr>
                <w:rFonts w:hint="eastAsia" w:ascii="宋体" w:hAnsi="宋体" w:cs="宋体"/>
                <w:kern w:val="0"/>
                <w:sz w:val="24"/>
              </w:rPr>
              <w:t>注册资金</w:t>
            </w:r>
          </w:p>
        </w:tc>
        <w:tc>
          <w:tcPr>
            <w:tcW w:w="1995" w:type="dxa"/>
            <w:gridSpan w:val="3"/>
            <w:vAlign w:val="center"/>
          </w:tcPr>
          <w:p>
            <w:pPr>
              <w:spacing w:line="360" w:lineRule="auto"/>
              <w:ind w:firstLine="440"/>
              <w:rPr>
                <w:rFonts w:ascii="宋体" w:hAnsi="宋体" w:cs="宋体"/>
                <w:kern w:val="0"/>
                <w:sz w:val="24"/>
              </w:rPr>
            </w:pPr>
          </w:p>
        </w:tc>
        <w:tc>
          <w:tcPr>
            <w:tcW w:w="1175" w:type="dxa"/>
            <w:vMerge w:val="continue"/>
            <w:vAlign w:val="center"/>
          </w:tcPr>
          <w:p>
            <w:pPr>
              <w:spacing w:line="360" w:lineRule="auto"/>
              <w:ind w:firstLine="440"/>
              <w:rPr>
                <w:rFonts w:ascii="宋体" w:hAnsi="宋体" w:cs="宋体"/>
                <w:kern w:val="0"/>
                <w:sz w:val="24"/>
              </w:rPr>
            </w:pPr>
          </w:p>
        </w:tc>
        <w:tc>
          <w:tcPr>
            <w:tcW w:w="1323" w:type="dxa"/>
            <w:vAlign w:val="center"/>
          </w:tcPr>
          <w:p>
            <w:pPr>
              <w:spacing w:line="360" w:lineRule="auto"/>
              <w:ind w:firstLine="440"/>
              <w:rPr>
                <w:rFonts w:ascii="宋体" w:hAnsi="宋体" w:cs="宋体"/>
                <w:kern w:val="0"/>
                <w:sz w:val="24"/>
              </w:rPr>
            </w:pPr>
            <w:r>
              <w:rPr>
                <w:rFonts w:hint="eastAsia" w:ascii="宋体" w:hAnsi="宋体" w:cs="宋体"/>
                <w:kern w:val="0"/>
                <w:sz w:val="24"/>
              </w:rPr>
              <w:t>...</w:t>
            </w:r>
          </w:p>
        </w:tc>
        <w:tc>
          <w:tcPr>
            <w:tcW w:w="2455" w:type="dxa"/>
            <w:gridSpan w:val="3"/>
            <w:vAlign w:val="center"/>
          </w:tcPr>
          <w:p>
            <w:pPr>
              <w:spacing w:line="360" w:lineRule="auto"/>
              <w:ind w:firstLine="442"/>
              <w:rPr>
                <w:rFonts w:ascii="宋体" w:hAnsi="宋体" w:cs="宋体"/>
                <w:b/>
                <w:bCs/>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03" w:hRule="atLeast"/>
          <w:jc w:val="center"/>
        </w:trPr>
        <w:tc>
          <w:tcPr>
            <w:tcW w:w="1836" w:type="dxa"/>
            <w:vAlign w:val="center"/>
          </w:tcPr>
          <w:p>
            <w:pPr>
              <w:spacing w:line="360" w:lineRule="auto"/>
              <w:jc w:val="center"/>
              <w:rPr>
                <w:rFonts w:ascii="宋体" w:hAnsi="宋体" w:cs="宋体"/>
                <w:kern w:val="0"/>
                <w:sz w:val="24"/>
              </w:rPr>
            </w:pPr>
            <w:r>
              <w:rPr>
                <w:rFonts w:hint="eastAsia" w:ascii="宋体" w:hAnsi="宋体" w:cs="宋体"/>
                <w:kern w:val="0"/>
                <w:sz w:val="24"/>
              </w:rPr>
              <w:t>开户银行</w:t>
            </w:r>
          </w:p>
        </w:tc>
        <w:tc>
          <w:tcPr>
            <w:tcW w:w="1995" w:type="dxa"/>
            <w:gridSpan w:val="3"/>
            <w:vAlign w:val="center"/>
          </w:tcPr>
          <w:p>
            <w:pPr>
              <w:spacing w:line="360" w:lineRule="auto"/>
              <w:ind w:firstLine="440"/>
              <w:rPr>
                <w:rFonts w:ascii="宋体" w:hAnsi="宋体" w:cs="宋体"/>
                <w:kern w:val="0"/>
                <w:sz w:val="24"/>
              </w:rPr>
            </w:pPr>
          </w:p>
        </w:tc>
        <w:tc>
          <w:tcPr>
            <w:tcW w:w="1175" w:type="dxa"/>
            <w:vMerge w:val="continue"/>
            <w:vAlign w:val="center"/>
          </w:tcPr>
          <w:p>
            <w:pPr>
              <w:spacing w:line="360" w:lineRule="auto"/>
              <w:ind w:firstLine="440"/>
              <w:rPr>
                <w:rFonts w:ascii="宋体" w:hAnsi="宋体" w:cs="宋体"/>
                <w:kern w:val="0"/>
                <w:sz w:val="24"/>
              </w:rPr>
            </w:pPr>
          </w:p>
        </w:tc>
        <w:tc>
          <w:tcPr>
            <w:tcW w:w="1323" w:type="dxa"/>
            <w:vAlign w:val="center"/>
          </w:tcPr>
          <w:p>
            <w:pPr>
              <w:spacing w:line="360" w:lineRule="auto"/>
              <w:ind w:firstLine="440"/>
              <w:rPr>
                <w:rFonts w:ascii="宋体" w:hAnsi="宋体" w:cs="宋体"/>
                <w:kern w:val="0"/>
                <w:sz w:val="24"/>
              </w:rPr>
            </w:pPr>
          </w:p>
        </w:tc>
        <w:tc>
          <w:tcPr>
            <w:tcW w:w="2455" w:type="dxa"/>
            <w:gridSpan w:val="3"/>
            <w:vAlign w:val="center"/>
          </w:tcPr>
          <w:p>
            <w:pPr>
              <w:spacing w:line="360" w:lineRule="auto"/>
              <w:ind w:firstLine="442"/>
              <w:rPr>
                <w:rFonts w:ascii="宋体" w:hAnsi="宋体" w:cs="宋体"/>
                <w:b/>
                <w:bCs/>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03" w:hRule="atLeast"/>
          <w:jc w:val="center"/>
        </w:trPr>
        <w:tc>
          <w:tcPr>
            <w:tcW w:w="1836" w:type="dxa"/>
            <w:vAlign w:val="center"/>
          </w:tcPr>
          <w:p>
            <w:pPr>
              <w:spacing w:line="360" w:lineRule="auto"/>
              <w:jc w:val="center"/>
              <w:rPr>
                <w:rFonts w:ascii="宋体" w:hAnsi="宋体" w:cs="宋体"/>
                <w:kern w:val="0"/>
                <w:sz w:val="24"/>
              </w:rPr>
            </w:pPr>
            <w:r>
              <w:rPr>
                <w:rFonts w:hint="eastAsia" w:ascii="宋体" w:hAnsi="宋体" w:cs="宋体"/>
                <w:kern w:val="0"/>
                <w:sz w:val="24"/>
              </w:rPr>
              <w:t>账号</w:t>
            </w:r>
          </w:p>
        </w:tc>
        <w:tc>
          <w:tcPr>
            <w:tcW w:w="1995" w:type="dxa"/>
            <w:gridSpan w:val="3"/>
            <w:vAlign w:val="center"/>
          </w:tcPr>
          <w:p>
            <w:pPr>
              <w:spacing w:line="360" w:lineRule="auto"/>
              <w:ind w:firstLine="440"/>
              <w:rPr>
                <w:rFonts w:ascii="宋体" w:hAnsi="宋体" w:cs="宋体"/>
                <w:kern w:val="0"/>
                <w:sz w:val="24"/>
              </w:rPr>
            </w:pPr>
          </w:p>
        </w:tc>
        <w:tc>
          <w:tcPr>
            <w:tcW w:w="1175" w:type="dxa"/>
            <w:vMerge w:val="continue"/>
            <w:vAlign w:val="center"/>
          </w:tcPr>
          <w:p>
            <w:pPr>
              <w:spacing w:line="360" w:lineRule="auto"/>
              <w:ind w:firstLine="440"/>
              <w:rPr>
                <w:rFonts w:ascii="宋体" w:hAnsi="宋体" w:cs="宋体"/>
                <w:kern w:val="0"/>
                <w:sz w:val="24"/>
              </w:rPr>
            </w:pPr>
          </w:p>
        </w:tc>
        <w:tc>
          <w:tcPr>
            <w:tcW w:w="1323" w:type="dxa"/>
            <w:vAlign w:val="center"/>
          </w:tcPr>
          <w:p>
            <w:pPr>
              <w:spacing w:line="360" w:lineRule="auto"/>
              <w:ind w:firstLine="440"/>
              <w:rPr>
                <w:rFonts w:ascii="宋体" w:hAnsi="宋体" w:cs="宋体"/>
                <w:kern w:val="0"/>
                <w:sz w:val="24"/>
              </w:rPr>
            </w:pPr>
          </w:p>
        </w:tc>
        <w:tc>
          <w:tcPr>
            <w:tcW w:w="2455" w:type="dxa"/>
            <w:gridSpan w:val="3"/>
            <w:vAlign w:val="center"/>
          </w:tcPr>
          <w:p>
            <w:pPr>
              <w:spacing w:line="360" w:lineRule="auto"/>
              <w:ind w:firstLine="442"/>
              <w:rPr>
                <w:rFonts w:ascii="宋体" w:hAnsi="宋体" w:cs="宋体"/>
                <w:b/>
                <w:bCs/>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357" w:hRule="atLeast"/>
          <w:jc w:val="center"/>
        </w:trPr>
        <w:tc>
          <w:tcPr>
            <w:tcW w:w="1836" w:type="dxa"/>
            <w:vAlign w:val="center"/>
          </w:tcPr>
          <w:p>
            <w:pPr>
              <w:spacing w:line="360" w:lineRule="auto"/>
              <w:jc w:val="center"/>
              <w:rPr>
                <w:rFonts w:ascii="宋体" w:hAnsi="宋体" w:cs="宋体"/>
                <w:kern w:val="0"/>
                <w:sz w:val="24"/>
              </w:rPr>
            </w:pPr>
            <w:r>
              <w:rPr>
                <w:rFonts w:hint="eastAsia" w:ascii="宋体" w:hAnsi="宋体" w:cs="宋体"/>
                <w:kern w:val="0"/>
                <w:sz w:val="24"/>
              </w:rPr>
              <w:t>经营范围</w:t>
            </w:r>
          </w:p>
        </w:tc>
        <w:tc>
          <w:tcPr>
            <w:tcW w:w="6948" w:type="dxa"/>
            <w:gridSpan w:val="8"/>
            <w:vAlign w:val="center"/>
          </w:tcPr>
          <w:p>
            <w:pPr>
              <w:spacing w:line="360" w:lineRule="auto"/>
              <w:ind w:firstLine="442"/>
              <w:rPr>
                <w:rFonts w:ascii="宋体" w:hAnsi="宋体" w:cs="宋体"/>
                <w:b/>
                <w:bCs/>
                <w:kern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128" w:hRule="atLeast"/>
          <w:jc w:val="center"/>
        </w:trPr>
        <w:tc>
          <w:tcPr>
            <w:tcW w:w="1836" w:type="dxa"/>
            <w:vAlign w:val="center"/>
          </w:tcPr>
          <w:p>
            <w:pPr>
              <w:spacing w:line="360" w:lineRule="auto"/>
              <w:ind w:firstLine="440"/>
              <w:rPr>
                <w:rFonts w:ascii="宋体" w:hAnsi="宋体" w:cs="宋体"/>
                <w:kern w:val="0"/>
                <w:sz w:val="24"/>
              </w:rPr>
            </w:pPr>
            <w:r>
              <w:rPr>
                <w:rFonts w:hint="eastAsia" w:ascii="宋体" w:hAnsi="宋体" w:cs="宋体"/>
                <w:kern w:val="0"/>
                <w:sz w:val="24"/>
              </w:rPr>
              <w:t>备注</w:t>
            </w:r>
          </w:p>
        </w:tc>
        <w:tc>
          <w:tcPr>
            <w:tcW w:w="6948" w:type="dxa"/>
            <w:gridSpan w:val="8"/>
            <w:vAlign w:val="center"/>
          </w:tcPr>
          <w:p>
            <w:pPr>
              <w:spacing w:line="360" w:lineRule="auto"/>
              <w:ind w:firstLine="440"/>
              <w:rPr>
                <w:rFonts w:ascii="宋体" w:hAnsi="宋体" w:cs="宋体"/>
                <w:kern w:val="0"/>
                <w:sz w:val="24"/>
              </w:rPr>
            </w:pPr>
          </w:p>
        </w:tc>
      </w:tr>
    </w:tbl>
    <w:p>
      <w:pPr>
        <w:keepNext/>
        <w:keepLines/>
        <w:spacing w:line="360" w:lineRule="auto"/>
        <w:jc w:val="center"/>
        <w:outlineLvl w:val="2"/>
        <w:rPr>
          <w:rFonts w:ascii="宋体" w:hAnsi="宋体" w:eastAsia="宋体" w:cs="Times New Roman"/>
          <w:b/>
          <w:bCs/>
          <w:sz w:val="36"/>
          <w:szCs w:val="36"/>
        </w:rPr>
      </w:pPr>
    </w:p>
    <w:p>
      <w:pPr>
        <w:keepNext/>
        <w:keepLines/>
        <w:spacing w:line="360" w:lineRule="auto"/>
        <w:jc w:val="center"/>
        <w:outlineLvl w:val="2"/>
        <w:rPr>
          <w:rFonts w:ascii="宋体" w:hAnsi="宋体" w:eastAsia="宋体" w:cs="Times New Roman"/>
          <w:b/>
          <w:bCs/>
          <w:sz w:val="28"/>
          <w:szCs w:val="28"/>
        </w:rPr>
      </w:pPr>
      <w:r>
        <w:rPr>
          <w:rFonts w:hint="eastAsia" w:ascii="宋体" w:hAnsi="宋体" w:eastAsia="宋体" w:cs="Times New Roman"/>
          <w:b/>
          <w:bCs/>
          <w:sz w:val="36"/>
          <w:szCs w:val="36"/>
        </w:rPr>
        <w:t>五、商务文件要求</w:t>
      </w:r>
    </w:p>
    <w:p>
      <w:pPr>
        <w:spacing w:line="360" w:lineRule="auto"/>
        <w:ind w:firstLine="566" w:firstLineChars="236"/>
        <w:jc w:val="left"/>
        <w:textAlignment w:val="baseline"/>
        <w:rPr>
          <w:rFonts w:ascii="宋体" w:hAnsi="宋体" w:eastAsia="宋体" w:cs="Times New Roman"/>
          <w:sz w:val="24"/>
          <w:szCs w:val="24"/>
          <w:u w:color="000000"/>
        </w:rPr>
      </w:pPr>
    </w:p>
    <w:p>
      <w:pPr>
        <w:spacing w:line="360" w:lineRule="auto"/>
        <w:ind w:firstLine="480" w:firstLineChars="200"/>
        <w:rPr>
          <w:rFonts w:ascii="宋体" w:hAnsi="宋体" w:eastAsia="宋体" w:cs="宋体"/>
          <w:kern w:val="0"/>
          <w:sz w:val="24"/>
        </w:rPr>
      </w:pPr>
      <w:r>
        <w:rPr>
          <w:rFonts w:hint="eastAsia" w:ascii="宋体" w:hAnsi="宋体" w:cs="宋体"/>
          <w:kern w:val="0"/>
          <w:sz w:val="24"/>
        </w:rPr>
        <w:t>1.营业执照副本。</w:t>
      </w:r>
    </w:p>
    <w:p>
      <w:pPr>
        <w:spacing w:line="360" w:lineRule="auto"/>
        <w:ind w:firstLine="480" w:firstLineChars="200"/>
        <w:rPr>
          <w:rFonts w:ascii="宋体" w:hAnsi="宋体" w:eastAsia="宋体" w:cs="宋体"/>
          <w:kern w:val="0"/>
          <w:sz w:val="24"/>
        </w:rPr>
      </w:pPr>
      <w:r>
        <w:rPr>
          <w:rFonts w:hint="eastAsia" w:ascii="宋体" w:hAnsi="宋体" w:cs="宋体"/>
          <w:kern w:val="0"/>
          <w:sz w:val="24"/>
        </w:rPr>
        <w:t>2.企业资质证书副本复印件。</w:t>
      </w:r>
    </w:p>
    <w:p>
      <w:pPr>
        <w:spacing w:line="360" w:lineRule="auto"/>
        <w:ind w:firstLine="480" w:firstLineChars="200"/>
        <w:rPr>
          <w:rFonts w:ascii="宋体" w:hAnsi="宋体" w:eastAsia="宋体" w:cs="宋体"/>
          <w:kern w:val="0"/>
          <w:sz w:val="24"/>
        </w:rPr>
      </w:pPr>
      <w:r>
        <w:rPr>
          <w:rFonts w:hint="eastAsia" w:ascii="宋体" w:hAnsi="宋体" w:cs="宋体"/>
          <w:kern w:val="0"/>
          <w:sz w:val="24"/>
        </w:rPr>
        <w:t>3.项目业绩（附表1）。</w:t>
      </w:r>
    </w:p>
    <w:p>
      <w:pPr>
        <w:spacing w:line="360" w:lineRule="auto"/>
        <w:ind w:firstLine="480" w:firstLineChars="200"/>
        <w:rPr>
          <w:rFonts w:ascii="宋体" w:hAnsi="宋体" w:eastAsia="宋体" w:cs="宋体"/>
          <w:kern w:val="0"/>
          <w:sz w:val="24"/>
        </w:rPr>
      </w:pPr>
      <w:r>
        <w:rPr>
          <w:rFonts w:hint="eastAsia" w:ascii="宋体" w:hAnsi="宋体" w:cs="宋体"/>
          <w:kern w:val="0"/>
          <w:sz w:val="24"/>
        </w:rPr>
        <w:t>4.项目经理（或设计总工程师）业绩（格式自拟）。</w:t>
      </w:r>
    </w:p>
    <w:p>
      <w:pPr>
        <w:spacing w:line="360" w:lineRule="auto"/>
        <w:ind w:firstLine="480" w:firstLineChars="200"/>
        <w:rPr>
          <w:rFonts w:ascii="宋体" w:hAnsi="宋体" w:cs="宋体"/>
          <w:kern w:val="0"/>
          <w:sz w:val="24"/>
        </w:rPr>
      </w:pPr>
      <w:r>
        <w:rPr>
          <w:rFonts w:hint="eastAsia" w:ascii="宋体" w:hAnsi="宋体" w:cs="宋体"/>
          <w:kern w:val="0"/>
          <w:sz w:val="24"/>
        </w:rPr>
        <w:t>5.认为应提交的其他文件。</w:t>
      </w:r>
    </w:p>
    <w:p>
      <w:pPr>
        <w:pStyle w:val="2"/>
        <w:rPr>
          <w:rFonts w:ascii="宋体" w:hAnsi="宋体" w:cs="宋体"/>
          <w:kern w:val="0"/>
          <w:sz w:val="24"/>
        </w:rPr>
      </w:pPr>
    </w:p>
    <w:p>
      <w:pPr>
        <w:rPr>
          <w:rFonts w:ascii="宋体" w:hAnsi="宋体" w:cs="宋体"/>
          <w:kern w:val="0"/>
          <w:sz w:val="24"/>
        </w:rPr>
      </w:pPr>
    </w:p>
    <w:p>
      <w:pPr>
        <w:pStyle w:val="2"/>
        <w:rPr>
          <w:rFonts w:ascii="宋体" w:hAnsi="宋体" w:cs="宋体"/>
          <w:kern w:val="0"/>
          <w:sz w:val="24"/>
        </w:rPr>
      </w:pPr>
    </w:p>
    <w:p>
      <w:pPr>
        <w:rPr>
          <w:rFonts w:ascii="宋体" w:hAnsi="宋体" w:cs="宋体"/>
          <w:kern w:val="0"/>
          <w:sz w:val="24"/>
        </w:rPr>
      </w:pPr>
    </w:p>
    <w:p>
      <w:pPr>
        <w:pStyle w:val="2"/>
        <w:rPr>
          <w:rFonts w:ascii="宋体" w:hAnsi="宋体" w:cs="宋体"/>
          <w:kern w:val="0"/>
          <w:sz w:val="24"/>
        </w:rPr>
      </w:pPr>
    </w:p>
    <w:p>
      <w:pPr>
        <w:rPr>
          <w:rFonts w:ascii="宋体" w:hAnsi="宋体" w:cs="宋体"/>
          <w:kern w:val="0"/>
          <w:sz w:val="24"/>
        </w:rPr>
      </w:pPr>
    </w:p>
    <w:p>
      <w:pPr>
        <w:pStyle w:val="2"/>
        <w:rPr>
          <w:rFonts w:ascii="宋体" w:hAnsi="宋体" w:cs="宋体"/>
          <w:kern w:val="0"/>
          <w:sz w:val="24"/>
        </w:rPr>
      </w:pPr>
    </w:p>
    <w:p>
      <w:pPr>
        <w:rPr>
          <w:rFonts w:ascii="宋体" w:hAnsi="宋体" w:cs="宋体"/>
          <w:kern w:val="0"/>
          <w:sz w:val="24"/>
        </w:rPr>
      </w:pPr>
    </w:p>
    <w:p>
      <w:pPr>
        <w:pStyle w:val="2"/>
        <w:rPr>
          <w:rFonts w:ascii="宋体" w:hAnsi="宋体" w:cs="宋体"/>
          <w:kern w:val="0"/>
          <w:sz w:val="24"/>
        </w:rPr>
      </w:pPr>
    </w:p>
    <w:p>
      <w:pPr>
        <w:rPr>
          <w:rFonts w:ascii="宋体" w:hAnsi="宋体" w:cs="宋体"/>
          <w:kern w:val="0"/>
          <w:sz w:val="24"/>
        </w:rPr>
      </w:pPr>
    </w:p>
    <w:p>
      <w:pPr>
        <w:pStyle w:val="2"/>
        <w:rPr>
          <w:rFonts w:ascii="宋体" w:hAnsi="宋体" w:cs="宋体"/>
          <w:kern w:val="0"/>
          <w:sz w:val="24"/>
        </w:rPr>
      </w:pPr>
    </w:p>
    <w:p>
      <w:pPr>
        <w:rPr>
          <w:rFonts w:ascii="宋体" w:hAnsi="宋体" w:cs="宋体"/>
          <w:kern w:val="0"/>
          <w:sz w:val="24"/>
        </w:rPr>
      </w:pPr>
    </w:p>
    <w:p>
      <w:pPr>
        <w:pStyle w:val="2"/>
        <w:rPr>
          <w:rFonts w:ascii="宋体" w:hAnsi="宋体" w:cs="宋体"/>
          <w:kern w:val="0"/>
          <w:sz w:val="24"/>
        </w:rPr>
      </w:pPr>
    </w:p>
    <w:p>
      <w:pPr>
        <w:rPr>
          <w:rFonts w:ascii="宋体" w:hAnsi="宋体" w:cs="宋体"/>
          <w:kern w:val="0"/>
          <w:sz w:val="24"/>
        </w:rPr>
      </w:pPr>
    </w:p>
    <w:p>
      <w:pPr>
        <w:pStyle w:val="2"/>
        <w:rPr>
          <w:rFonts w:ascii="宋体" w:hAnsi="宋体" w:cs="宋体"/>
          <w:kern w:val="0"/>
          <w:sz w:val="24"/>
        </w:rPr>
      </w:pPr>
    </w:p>
    <w:p>
      <w:pPr>
        <w:rPr>
          <w:rFonts w:ascii="宋体" w:hAnsi="宋体" w:cs="宋体"/>
          <w:kern w:val="0"/>
          <w:sz w:val="24"/>
        </w:rPr>
      </w:pPr>
    </w:p>
    <w:p>
      <w:pPr>
        <w:pStyle w:val="2"/>
        <w:rPr>
          <w:rFonts w:ascii="宋体" w:hAnsi="宋体" w:cs="宋体"/>
          <w:kern w:val="0"/>
          <w:sz w:val="24"/>
        </w:rPr>
        <w:sectPr>
          <w:pgSz w:w="11906" w:h="16838"/>
          <w:pgMar w:top="1440" w:right="1080" w:bottom="1440" w:left="1080" w:header="851" w:footer="851" w:gutter="0"/>
          <w:cols w:space="720" w:num="1"/>
          <w:docGrid w:linePitch="312" w:charSpace="0"/>
        </w:sectPr>
      </w:pPr>
    </w:p>
    <w:p>
      <w:pPr>
        <w:pStyle w:val="2"/>
        <w:rPr>
          <w:rFonts w:ascii="宋体" w:hAnsi="宋体" w:cs="宋体"/>
          <w:kern w:val="0"/>
          <w:sz w:val="24"/>
        </w:rPr>
      </w:pPr>
    </w:p>
    <w:p>
      <w:r>
        <w:rPr>
          <w:rFonts w:hint="eastAsia" w:ascii="宋体" w:hAnsi="宋体" w:cs="宋体"/>
          <w:b/>
          <w:bCs/>
          <w:kern w:val="0"/>
          <w:sz w:val="24"/>
        </w:rPr>
        <w:t>附表1：</w:t>
      </w:r>
    </w:p>
    <w:p>
      <w:pPr>
        <w:spacing w:line="360" w:lineRule="auto"/>
        <w:ind w:firstLine="640"/>
        <w:jc w:val="center"/>
        <w:rPr>
          <w:rFonts w:ascii="宋体" w:hAnsi="宋体" w:cs="宋体"/>
          <w:b/>
          <w:bCs/>
          <w:kern w:val="0"/>
          <w:sz w:val="24"/>
        </w:rPr>
      </w:pPr>
      <w:r>
        <w:rPr>
          <w:rFonts w:hint="eastAsia" w:ascii="宋体" w:hAnsi="宋体" w:cs="宋体"/>
          <w:b/>
          <w:bCs/>
          <w:kern w:val="0"/>
          <w:sz w:val="24"/>
        </w:rPr>
        <w:t>项目业绩情况表</w:t>
      </w:r>
    </w:p>
    <w:p>
      <w:pPr>
        <w:spacing w:line="360" w:lineRule="auto"/>
        <w:ind w:firstLine="480"/>
        <w:rPr>
          <w:rFonts w:ascii="宋体" w:hAnsi="宋体" w:cs="宋体"/>
          <w:kern w:val="0"/>
          <w:sz w:val="24"/>
        </w:rPr>
      </w:pPr>
      <w:r>
        <w:rPr>
          <w:rFonts w:hint="eastAsia" w:ascii="宋体" w:hAnsi="宋体" w:cs="宋体"/>
          <w:kern w:val="0"/>
          <w:sz w:val="24"/>
        </w:rPr>
        <w:t>服务商</w:t>
      </w:r>
      <w:r>
        <w:rPr>
          <w:rFonts w:hint="eastAsia" w:ascii="宋体" w:hAnsi="宋体" w:cs="宋体"/>
          <w:sz w:val="24"/>
        </w:rPr>
        <w:t>近5年（2020年1月1日-至今）</w:t>
      </w:r>
      <w:r>
        <w:rPr>
          <w:rFonts w:hint="eastAsia" w:ascii="宋体" w:hAnsi="宋体" w:cs="宋体"/>
          <w:kern w:val="0"/>
          <w:sz w:val="24"/>
        </w:rPr>
        <w:t>承担的业绩</w:t>
      </w:r>
    </w:p>
    <w:tbl>
      <w:tblPr>
        <w:tblStyle w:val="38"/>
        <w:tblW w:w="99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79"/>
        <w:gridCol w:w="2906"/>
        <w:gridCol w:w="2027"/>
        <w:gridCol w:w="1991"/>
        <w:gridCol w:w="1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79" w:type="dxa"/>
            <w:vAlign w:val="center"/>
          </w:tcPr>
          <w:p>
            <w:pPr>
              <w:spacing w:line="360" w:lineRule="auto"/>
              <w:jc w:val="center"/>
              <w:rPr>
                <w:rFonts w:ascii="宋体" w:hAnsi="宋体" w:cs="宋体"/>
                <w:kern w:val="0"/>
                <w:sz w:val="24"/>
              </w:rPr>
            </w:pPr>
            <w:r>
              <w:rPr>
                <w:rFonts w:hint="eastAsia" w:ascii="宋体" w:hAnsi="宋体" w:cs="宋体"/>
                <w:kern w:val="0"/>
                <w:sz w:val="24"/>
              </w:rPr>
              <w:t>序号</w:t>
            </w:r>
          </w:p>
        </w:tc>
        <w:tc>
          <w:tcPr>
            <w:tcW w:w="2906" w:type="dxa"/>
            <w:vAlign w:val="center"/>
          </w:tcPr>
          <w:p>
            <w:pPr>
              <w:spacing w:line="360" w:lineRule="auto"/>
              <w:ind w:firstLine="480"/>
              <w:jc w:val="center"/>
              <w:rPr>
                <w:rFonts w:ascii="宋体" w:hAnsi="宋体" w:cs="宋体"/>
                <w:kern w:val="0"/>
                <w:sz w:val="24"/>
              </w:rPr>
            </w:pPr>
            <w:r>
              <w:rPr>
                <w:rFonts w:hint="eastAsia" w:ascii="宋体" w:hAnsi="宋体" w:cs="宋体"/>
                <w:kern w:val="0"/>
                <w:sz w:val="24"/>
              </w:rPr>
              <w:t>项目名称</w:t>
            </w:r>
          </w:p>
        </w:tc>
        <w:tc>
          <w:tcPr>
            <w:tcW w:w="2027" w:type="dxa"/>
            <w:vAlign w:val="center"/>
          </w:tcPr>
          <w:p>
            <w:pPr>
              <w:spacing w:line="360" w:lineRule="auto"/>
              <w:jc w:val="center"/>
              <w:rPr>
                <w:rFonts w:ascii="宋体" w:hAnsi="宋体" w:cs="宋体"/>
                <w:kern w:val="0"/>
                <w:sz w:val="24"/>
              </w:rPr>
            </w:pPr>
            <w:r>
              <w:rPr>
                <w:rFonts w:hint="eastAsia" w:ascii="宋体" w:hAnsi="宋体" w:cs="宋体"/>
                <w:kern w:val="0"/>
                <w:sz w:val="24"/>
              </w:rPr>
              <w:t>委托方名称</w:t>
            </w:r>
          </w:p>
        </w:tc>
        <w:tc>
          <w:tcPr>
            <w:tcW w:w="1991" w:type="dxa"/>
            <w:vAlign w:val="center"/>
          </w:tcPr>
          <w:p>
            <w:pPr>
              <w:spacing w:line="360" w:lineRule="auto"/>
              <w:jc w:val="center"/>
              <w:rPr>
                <w:rFonts w:ascii="宋体" w:hAnsi="宋体" w:cs="宋体"/>
                <w:kern w:val="0"/>
                <w:sz w:val="24"/>
              </w:rPr>
            </w:pPr>
            <w:r>
              <w:rPr>
                <w:rFonts w:hint="eastAsia" w:ascii="宋体" w:hAnsi="宋体" w:cs="宋体"/>
                <w:kern w:val="0"/>
                <w:sz w:val="24"/>
              </w:rPr>
              <w:t>合同签订时间</w:t>
            </w:r>
          </w:p>
        </w:tc>
        <w:tc>
          <w:tcPr>
            <w:tcW w:w="1855" w:type="dxa"/>
            <w:vAlign w:val="center"/>
          </w:tcPr>
          <w:p>
            <w:pPr>
              <w:spacing w:line="360" w:lineRule="auto"/>
              <w:jc w:val="center"/>
              <w:rPr>
                <w:rFonts w:ascii="宋体" w:hAnsi="宋体" w:cs="宋体"/>
                <w:kern w:val="0"/>
                <w:sz w:val="24"/>
              </w:rPr>
            </w:pPr>
            <w:r>
              <w:rPr>
                <w:rFonts w:hint="eastAsia" w:ascii="宋体" w:hAnsi="宋体" w:cs="宋体"/>
                <w:kern w:val="0"/>
                <w:sz w:val="24"/>
              </w:rPr>
              <w:t>委托方联系人及电话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9" w:hRule="atLeast"/>
        </w:trPr>
        <w:tc>
          <w:tcPr>
            <w:tcW w:w="1179" w:type="dxa"/>
            <w:vAlign w:val="center"/>
          </w:tcPr>
          <w:p>
            <w:pPr>
              <w:spacing w:line="360" w:lineRule="auto"/>
              <w:ind w:firstLine="480"/>
              <w:rPr>
                <w:rFonts w:ascii="宋体" w:hAnsi="宋体" w:cs="宋体"/>
                <w:kern w:val="0"/>
                <w:sz w:val="24"/>
              </w:rPr>
            </w:pPr>
          </w:p>
        </w:tc>
        <w:tc>
          <w:tcPr>
            <w:tcW w:w="2906" w:type="dxa"/>
            <w:vAlign w:val="center"/>
          </w:tcPr>
          <w:p>
            <w:pPr>
              <w:spacing w:line="360" w:lineRule="auto"/>
              <w:ind w:firstLine="480"/>
              <w:rPr>
                <w:rFonts w:ascii="宋体" w:hAnsi="宋体" w:cs="宋体"/>
                <w:kern w:val="0"/>
                <w:sz w:val="24"/>
              </w:rPr>
            </w:pPr>
          </w:p>
        </w:tc>
        <w:tc>
          <w:tcPr>
            <w:tcW w:w="2027" w:type="dxa"/>
            <w:vAlign w:val="center"/>
          </w:tcPr>
          <w:p>
            <w:pPr>
              <w:spacing w:line="360" w:lineRule="auto"/>
              <w:ind w:firstLine="480"/>
              <w:rPr>
                <w:rFonts w:ascii="宋体" w:hAnsi="宋体" w:cs="宋体"/>
                <w:kern w:val="0"/>
                <w:sz w:val="24"/>
              </w:rPr>
            </w:pPr>
          </w:p>
        </w:tc>
        <w:tc>
          <w:tcPr>
            <w:tcW w:w="1991" w:type="dxa"/>
            <w:vAlign w:val="center"/>
          </w:tcPr>
          <w:p>
            <w:pPr>
              <w:spacing w:line="360" w:lineRule="auto"/>
              <w:ind w:firstLine="480"/>
              <w:rPr>
                <w:rFonts w:ascii="宋体" w:hAnsi="宋体" w:cs="宋体"/>
                <w:kern w:val="0"/>
                <w:sz w:val="24"/>
              </w:rPr>
            </w:pPr>
          </w:p>
        </w:tc>
        <w:tc>
          <w:tcPr>
            <w:tcW w:w="1855" w:type="dxa"/>
            <w:vAlign w:val="center"/>
          </w:tcPr>
          <w:p>
            <w:pPr>
              <w:spacing w:line="360" w:lineRule="auto"/>
              <w:ind w:firstLine="480"/>
              <w:rPr>
                <w:rFonts w:ascii="宋体" w:hAnsi="宋体" w:cs="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0" w:hRule="atLeast"/>
        </w:trPr>
        <w:tc>
          <w:tcPr>
            <w:tcW w:w="1179" w:type="dxa"/>
            <w:vAlign w:val="center"/>
          </w:tcPr>
          <w:p>
            <w:pPr>
              <w:spacing w:line="360" w:lineRule="auto"/>
              <w:ind w:firstLine="480"/>
              <w:rPr>
                <w:rFonts w:ascii="宋体" w:hAnsi="宋体" w:cs="宋体"/>
                <w:kern w:val="0"/>
                <w:sz w:val="24"/>
              </w:rPr>
            </w:pPr>
          </w:p>
        </w:tc>
        <w:tc>
          <w:tcPr>
            <w:tcW w:w="2906" w:type="dxa"/>
            <w:vAlign w:val="center"/>
          </w:tcPr>
          <w:p>
            <w:pPr>
              <w:spacing w:line="360" w:lineRule="auto"/>
              <w:ind w:firstLine="480"/>
              <w:rPr>
                <w:rFonts w:ascii="宋体" w:hAnsi="宋体" w:cs="宋体"/>
                <w:kern w:val="0"/>
                <w:sz w:val="24"/>
              </w:rPr>
            </w:pPr>
          </w:p>
        </w:tc>
        <w:tc>
          <w:tcPr>
            <w:tcW w:w="2027" w:type="dxa"/>
            <w:vAlign w:val="center"/>
          </w:tcPr>
          <w:p>
            <w:pPr>
              <w:spacing w:line="360" w:lineRule="auto"/>
              <w:ind w:firstLine="480"/>
              <w:rPr>
                <w:rFonts w:ascii="宋体" w:hAnsi="宋体" w:cs="宋体"/>
                <w:kern w:val="0"/>
                <w:sz w:val="24"/>
              </w:rPr>
            </w:pPr>
          </w:p>
        </w:tc>
        <w:tc>
          <w:tcPr>
            <w:tcW w:w="1991" w:type="dxa"/>
            <w:vAlign w:val="center"/>
          </w:tcPr>
          <w:p>
            <w:pPr>
              <w:spacing w:line="360" w:lineRule="auto"/>
              <w:ind w:firstLine="480"/>
              <w:rPr>
                <w:rFonts w:ascii="宋体" w:hAnsi="宋体" w:cs="宋体"/>
                <w:kern w:val="0"/>
                <w:sz w:val="24"/>
              </w:rPr>
            </w:pPr>
          </w:p>
        </w:tc>
        <w:tc>
          <w:tcPr>
            <w:tcW w:w="1855" w:type="dxa"/>
            <w:vAlign w:val="center"/>
          </w:tcPr>
          <w:p>
            <w:pPr>
              <w:spacing w:line="360" w:lineRule="auto"/>
              <w:ind w:firstLine="480"/>
              <w:rPr>
                <w:rFonts w:ascii="宋体" w:hAnsi="宋体" w:cs="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8" w:hRule="atLeast"/>
        </w:trPr>
        <w:tc>
          <w:tcPr>
            <w:tcW w:w="1179" w:type="dxa"/>
            <w:vAlign w:val="center"/>
          </w:tcPr>
          <w:p>
            <w:pPr>
              <w:spacing w:line="360" w:lineRule="auto"/>
              <w:ind w:firstLine="480"/>
              <w:rPr>
                <w:rFonts w:ascii="宋体" w:hAnsi="宋体" w:cs="宋体"/>
                <w:kern w:val="0"/>
                <w:sz w:val="24"/>
              </w:rPr>
            </w:pPr>
          </w:p>
        </w:tc>
        <w:tc>
          <w:tcPr>
            <w:tcW w:w="2906" w:type="dxa"/>
            <w:vAlign w:val="center"/>
          </w:tcPr>
          <w:p>
            <w:pPr>
              <w:spacing w:line="360" w:lineRule="auto"/>
              <w:ind w:firstLine="480"/>
              <w:rPr>
                <w:rFonts w:ascii="宋体" w:hAnsi="宋体" w:cs="宋体"/>
                <w:kern w:val="0"/>
                <w:sz w:val="24"/>
              </w:rPr>
            </w:pPr>
          </w:p>
        </w:tc>
        <w:tc>
          <w:tcPr>
            <w:tcW w:w="2027" w:type="dxa"/>
            <w:vAlign w:val="center"/>
          </w:tcPr>
          <w:p>
            <w:pPr>
              <w:spacing w:line="360" w:lineRule="auto"/>
              <w:ind w:firstLine="480"/>
              <w:rPr>
                <w:rFonts w:ascii="宋体" w:hAnsi="宋体" w:cs="宋体"/>
                <w:kern w:val="0"/>
                <w:sz w:val="24"/>
              </w:rPr>
            </w:pPr>
          </w:p>
        </w:tc>
        <w:tc>
          <w:tcPr>
            <w:tcW w:w="1991" w:type="dxa"/>
            <w:vAlign w:val="center"/>
          </w:tcPr>
          <w:p>
            <w:pPr>
              <w:spacing w:line="360" w:lineRule="auto"/>
              <w:ind w:firstLine="480"/>
              <w:rPr>
                <w:rFonts w:ascii="宋体" w:hAnsi="宋体" w:cs="宋体"/>
                <w:kern w:val="0"/>
                <w:sz w:val="24"/>
              </w:rPr>
            </w:pPr>
          </w:p>
        </w:tc>
        <w:tc>
          <w:tcPr>
            <w:tcW w:w="1855" w:type="dxa"/>
            <w:vAlign w:val="center"/>
          </w:tcPr>
          <w:p>
            <w:pPr>
              <w:spacing w:line="360" w:lineRule="auto"/>
              <w:ind w:firstLine="480"/>
              <w:rPr>
                <w:rFonts w:ascii="宋体" w:hAnsi="宋体" w:cs="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9" w:hRule="atLeast"/>
        </w:trPr>
        <w:tc>
          <w:tcPr>
            <w:tcW w:w="1179" w:type="dxa"/>
            <w:vAlign w:val="center"/>
          </w:tcPr>
          <w:p>
            <w:pPr>
              <w:spacing w:line="360" w:lineRule="auto"/>
              <w:ind w:firstLine="480"/>
              <w:rPr>
                <w:rFonts w:ascii="宋体" w:hAnsi="宋体" w:cs="宋体"/>
                <w:kern w:val="0"/>
                <w:sz w:val="24"/>
              </w:rPr>
            </w:pPr>
          </w:p>
        </w:tc>
        <w:tc>
          <w:tcPr>
            <w:tcW w:w="2906" w:type="dxa"/>
            <w:vAlign w:val="center"/>
          </w:tcPr>
          <w:p>
            <w:pPr>
              <w:spacing w:line="360" w:lineRule="auto"/>
              <w:ind w:firstLine="480"/>
              <w:rPr>
                <w:rFonts w:ascii="宋体" w:hAnsi="宋体" w:cs="宋体"/>
                <w:kern w:val="0"/>
                <w:sz w:val="24"/>
              </w:rPr>
            </w:pPr>
          </w:p>
        </w:tc>
        <w:tc>
          <w:tcPr>
            <w:tcW w:w="2027" w:type="dxa"/>
            <w:vAlign w:val="center"/>
          </w:tcPr>
          <w:p>
            <w:pPr>
              <w:spacing w:line="360" w:lineRule="auto"/>
              <w:ind w:firstLine="480"/>
              <w:rPr>
                <w:rFonts w:ascii="宋体" w:hAnsi="宋体" w:cs="宋体"/>
                <w:kern w:val="0"/>
                <w:sz w:val="24"/>
              </w:rPr>
            </w:pPr>
          </w:p>
        </w:tc>
        <w:tc>
          <w:tcPr>
            <w:tcW w:w="1991" w:type="dxa"/>
            <w:vAlign w:val="center"/>
          </w:tcPr>
          <w:p>
            <w:pPr>
              <w:spacing w:line="360" w:lineRule="auto"/>
              <w:ind w:firstLine="480"/>
              <w:rPr>
                <w:rFonts w:ascii="宋体" w:hAnsi="宋体" w:cs="宋体"/>
                <w:kern w:val="0"/>
                <w:sz w:val="24"/>
              </w:rPr>
            </w:pPr>
          </w:p>
        </w:tc>
        <w:tc>
          <w:tcPr>
            <w:tcW w:w="1855" w:type="dxa"/>
            <w:vAlign w:val="center"/>
          </w:tcPr>
          <w:p>
            <w:pPr>
              <w:spacing w:line="360" w:lineRule="auto"/>
              <w:ind w:firstLine="480"/>
              <w:rPr>
                <w:rFonts w:ascii="宋体" w:hAnsi="宋体" w:cs="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6" w:hRule="atLeast"/>
        </w:trPr>
        <w:tc>
          <w:tcPr>
            <w:tcW w:w="1179" w:type="dxa"/>
            <w:vAlign w:val="center"/>
          </w:tcPr>
          <w:p>
            <w:pPr>
              <w:spacing w:line="360" w:lineRule="auto"/>
              <w:jc w:val="center"/>
              <w:rPr>
                <w:rFonts w:ascii="宋体" w:hAnsi="宋体" w:cs="宋体"/>
                <w:kern w:val="0"/>
                <w:sz w:val="24"/>
              </w:rPr>
            </w:pPr>
            <w:r>
              <w:rPr>
                <w:rFonts w:hint="eastAsia" w:ascii="宋体" w:hAnsi="宋体" w:cs="宋体"/>
                <w:kern w:val="0"/>
                <w:sz w:val="24"/>
              </w:rPr>
              <w:t>...</w:t>
            </w:r>
          </w:p>
        </w:tc>
        <w:tc>
          <w:tcPr>
            <w:tcW w:w="2906" w:type="dxa"/>
            <w:vAlign w:val="center"/>
          </w:tcPr>
          <w:p>
            <w:pPr>
              <w:spacing w:line="360" w:lineRule="auto"/>
              <w:ind w:firstLine="480"/>
              <w:rPr>
                <w:rFonts w:ascii="宋体" w:hAnsi="宋体" w:cs="宋体"/>
                <w:kern w:val="0"/>
                <w:sz w:val="24"/>
              </w:rPr>
            </w:pPr>
          </w:p>
        </w:tc>
        <w:tc>
          <w:tcPr>
            <w:tcW w:w="2027" w:type="dxa"/>
            <w:vAlign w:val="center"/>
          </w:tcPr>
          <w:p>
            <w:pPr>
              <w:spacing w:line="360" w:lineRule="auto"/>
              <w:ind w:firstLine="480"/>
              <w:rPr>
                <w:rFonts w:ascii="宋体" w:hAnsi="宋体" w:cs="宋体"/>
                <w:kern w:val="0"/>
                <w:sz w:val="24"/>
              </w:rPr>
            </w:pPr>
          </w:p>
        </w:tc>
        <w:tc>
          <w:tcPr>
            <w:tcW w:w="1991" w:type="dxa"/>
            <w:vAlign w:val="center"/>
          </w:tcPr>
          <w:p>
            <w:pPr>
              <w:spacing w:line="360" w:lineRule="auto"/>
              <w:ind w:firstLine="480"/>
              <w:rPr>
                <w:rFonts w:ascii="宋体" w:hAnsi="宋体" w:cs="宋体"/>
                <w:kern w:val="0"/>
                <w:sz w:val="24"/>
              </w:rPr>
            </w:pPr>
          </w:p>
        </w:tc>
        <w:tc>
          <w:tcPr>
            <w:tcW w:w="1855" w:type="dxa"/>
            <w:vAlign w:val="center"/>
          </w:tcPr>
          <w:p>
            <w:pPr>
              <w:spacing w:line="360" w:lineRule="auto"/>
              <w:ind w:firstLine="480"/>
              <w:rPr>
                <w:rFonts w:ascii="宋体" w:hAnsi="宋体" w:cs="宋体"/>
                <w:kern w:val="0"/>
                <w:sz w:val="24"/>
              </w:rPr>
            </w:pPr>
          </w:p>
        </w:tc>
      </w:tr>
    </w:tbl>
    <w:p>
      <w:pPr>
        <w:spacing w:line="360" w:lineRule="auto"/>
        <w:ind w:firstLine="480"/>
        <w:rPr>
          <w:rFonts w:ascii="宋体" w:hAnsi="宋体" w:cs="宋体"/>
          <w:sz w:val="24"/>
        </w:rPr>
      </w:pPr>
      <w:r>
        <w:rPr>
          <w:rFonts w:hint="eastAsia" w:ascii="宋体" w:hAnsi="宋体" w:cs="宋体"/>
          <w:sz w:val="24"/>
        </w:rPr>
        <w:t>备注：提供项目业绩证明材料，</w:t>
      </w:r>
      <w:r>
        <w:rPr>
          <w:rFonts w:ascii="Times New Roman" w:hAnsi="Times New Roman" w:eastAsia="宋体" w:cs="Times New Roman"/>
          <w:b/>
          <w:bCs/>
          <w:sz w:val="24"/>
          <w:szCs w:val="24"/>
        </w:rPr>
        <w:t>合同/订单（关键页）或中标通知书/成交通知书或竣工验收报告/验收证明（关键页）或业主证明</w:t>
      </w:r>
      <w:r>
        <w:rPr>
          <w:rFonts w:hint="eastAsia" w:ascii="宋体" w:hAnsi="宋体" w:cs="宋体"/>
          <w:sz w:val="24"/>
        </w:rPr>
        <w:t>，未提供业绩证明材料不予认可。</w:t>
      </w: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
      <w:pPr>
        <w:keepNext/>
        <w:keepLines/>
        <w:spacing w:line="360" w:lineRule="auto"/>
        <w:jc w:val="center"/>
        <w:outlineLvl w:val="2"/>
        <w:rPr>
          <w:rFonts w:ascii="宋体" w:hAnsi="宋体" w:eastAsia="宋体" w:cs="Times New Roman"/>
          <w:b/>
          <w:bCs/>
          <w:sz w:val="32"/>
        </w:rPr>
      </w:pPr>
      <w:r>
        <w:rPr>
          <w:rFonts w:hint="eastAsia" w:ascii="宋体" w:hAnsi="宋体" w:eastAsia="宋体" w:cs="Times New Roman"/>
          <w:b/>
          <w:bCs/>
          <w:sz w:val="32"/>
        </w:rPr>
        <w:t>六、技术文件</w:t>
      </w:r>
    </w:p>
    <w:p>
      <w:pPr>
        <w:spacing w:line="360" w:lineRule="auto"/>
        <w:ind w:firstLine="480"/>
        <w:rPr>
          <w:rFonts w:ascii="宋体" w:hAnsi="宋体" w:cs="宋体"/>
          <w:bCs/>
          <w:kern w:val="0"/>
          <w:sz w:val="24"/>
        </w:rPr>
      </w:pPr>
      <w:r>
        <w:rPr>
          <w:rFonts w:hint="eastAsia" w:ascii="宋体" w:hAnsi="宋体" w:cs="宋体"/>
          <w:bCs/>
          <w:kern w:val="0"/>
          <w:sz w:val="24"/>
        </w:rPr>
        <w:t>包括但不限于以下内容：</w:t>
      </w:r>
    </w:p>
    <w:p>
      <w:pPr>
        <w:spacing w:line="360" w:lineRule="auto"/>
        <w:ind w:firstLine="480"/>
        <w:rPr>
          <w:rFonts w:ascii="宋体" w:hAnsi="宋体" w:cs="宋体"/>
          <w:bCs/>
          <w:kern w:val="0"/>
          <w:sz w:val="24"/>
        </w:rPr>
      </w:pPr>
      <w:r>
        <w:rPr>
          <w:rFonts w:hint="eastAsia" w:ascii="宋体" w:hAnsi="宋体" w:cs="宋体"/>
          <w:bCs/>
          <w:kern w:val="0"/>
          <w:sz w:val="24"/>
        </w:rPr>
        <w:t>1.项目关键问题分析。</w:t>
      </w:r>
    </w:p>
    <w:p>
      <w:pPr>
        <w:spacing w:line="360" w:lineRule="auto"/>
        <w:ind w:firstLine="480"/>
        <w:rPr>
          <w:rFonts w:ascii="宋体" w:hAnsi="宋体" w:cs="宋体"/>
          <w:bCs/>
          <w:kern w:val="0"/>
          <w:sz w:val="24"/>
        </w:rPr>
      </w:pPr>
      <w:r>
        <w:rPr>
          <w:rFonts w:hint="eastAsia" w:ascii="宋体" w:hAnsi="宋体" w:cs="宋体"/>
          <w:bCs/>
          <w:kern w:val="0"/>
          <w:sz w:val="24"/>
        </w:rPr>
        <w:t>2.设计团队（附表2）。</w:t>
      </w:r>
    </w:p>
    <w:p>
      <w:pPr>
        <w:spacing w:line="360" w:lineRule="auto"/>
        <w:ind w:firstLine="480"/>
        <w:rPr>
          <w:rFonts w:ascii="宋体" w:hAnsi="宋体" w:cs="宋体"/>
          <w:bCs/>
          <w:kern w:val="0"/>
          <w:sz w:val="24"/>
        </w:rPr>
      </w:pPr>
      <w:r>
        <w:rPr>
          <w:rFonts w:hint="eastAsia" w:ascii="宋体" w:hAnsi="宋体" w:cs="宋体"/>
          <w:bCs/>
          <w:kern w:val="0"/>
          <w:sz w:val="24"/>
        </w:rPr>
        <w:t>3.服务计划与进度安排。</w:t>
      </w:r>
    </w:p>
    <w:p>
      <w:pPr>
        <w:spacing w:line="360" w:lineRule="auto"/>
        <w:ind w:firstLine="480"/>
        <w:rPr>
          <w:rFonts w:ascii="宋体" w:hAnsi="宋体" w:eastAsia="宋体" w:cs="宋体"/>
          <w:bCs/>
          <w:kern w:val="0"/>
          <w:sz w:val="24"/>
        </w:rPr>
      </w:pPr>
      <w:r>
        <w:rPr>
          <w:rFonts w:hint="eastAsia" w:ascii="宋体" w:hAnsi="宋体" w:eastAsia="宋体" w:cs="宋体"/>
          <w:bCs/>
          <w:kern w:val="0"/>
          <w:sz w:val="24"/>
        </w:rPr>
        <w:t>4.质量保证措施。</w:t>
      </w:r>
    </w:p>
    <w:p>
      <w:pPr>
        <w:spacing w:line="360" w:lineRule="auto"/>
        <w:ind w:firstLine="480"/>
        <w:rPr>
          <w:rFonts w:ascii="宋体" w:hAnsi="宋体" w:cs="宋体"/>
          <w:bCs/>
          <w:kern w:val="0"/>
          <w:sz w:val="24"/>
        </w:rPr>
      </w:pPr>
      <w:r>
        <w:rPr>
          <w:rFonts w:hint="eastAsia" w:ascii="宋体" w:hAnsi="宋体" w:cs="宋体"/>
          <w:bCs/>
          <w:kern w:val="0"/>
          <w:sz w:val="24"/>
        </w:rPr>
        <w:t>（以上格式自拟）</w:t>
      </w:r>
    </w:p>
    <w:p>
      <w:pPr>
        <w:pStyle w:val="2"/>
      </w:pPr>
    </w:p>
    <w:p>
      <w:pPr>
        <w:spacing w:line="360" w:lineRule="auto"/>
        <w:ind w:firstLine="480"/>
        <w:rPr>
          <w:rFonts w:ascii="宋体" w:hAnsi="宋体" w:cs="宋体"/>
          <w:b/>
          <w:bCs/>
          <w:kern w:val="0"/>
          <w:sz w:val="24"/>
        </w:rPr>
      </w:pPr>
      <w:r>
        <w:rPr>
          <w:rFonts w:ascii="宋体" w:hAnsi="宋体" w:eastAsia="宋体" w:cs="Times New Roman"/>
          <w:sz w:val="24"/>
          <w:szCs w:val="24"/>
        </w:rPr>
        <w:br w:type="page"/>
      </w:r>
      <w:r>
        <w:rPr>
          <w:rFonts w:hint="eastAsia" w:ascii="宋体" w:hAnsi="宋体" w:cs="宋体"/>
          <w:b/>
          <w:bCs/>
          <w:kern w:val="0"/>
          <w:sz w:val="24"/>
        </w:rPr>
        <w:t>附表2：</w:t>
      </w:r>
    </w:p>
    <w:p>
      <w:pPr>
        <w:spacing w:line="360" w:lineRule="auto"/>
        <w:ind w:firstLine="640"/>
        <w:jc w:val="center"/>
        <w:rPr>
          <w:rFonts w:ascii="宋体" w:hAnsi="宋体" w:cs="宋体"/>
          <w:b/>
          <w:bCs/>
          <w:kern w:val="0"/>
          <w:sz w:val="24"/>
        </w:rPr>
      </w:pPr>
      <w:r>
        <w:rPr>
          <w:rFonts w:hint="eastAsia" w:ascii="宋体" w:hAnsi="宋体" w:cs="宋体"/>
          <w:b/>
          <w:bCs/>
          <w:kern w:val="0"/>
          <w:sz w:val="24"/>
        </w:rPr>
        <w:t>拟投入的主要人员情况</w:t>
      </w:r>
    </w:p>
    <w:tbl>
      <w:tblPr>
        <w:tblStyle w:val="38"/>
        <w:tblW w:w="995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73"/>
        <w:gridCol w:w="1505"/>
        <w:gridCol w:w="1684"/>
        <w:gridCol w:w="2039"/>
        <w:gridCol w:w="30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673" w:type="dxa"/>
            <w:vAlign w:val="center"/>
          </w:tcPr>
          <w:p>
            <w:pPr>
              <w:spacing w:line="360" w:lineRule="auto"/>
              <w:jc w:val="center"/>
              <w:rPr>
                <w:rFonts w:ascii="宋体" w:hAnsi="宋体" w:cs="宋体"/>
                <w:kern w:val="0"/>
                <w:sz w:val="24"/>
              </w:rPr>
            </w:pPr>
            <w:r>
              <w:rPr>
                <w:rFonts w:hint="eastAsia" w:ascii="宋体" w:hAnsi="宋体" w:cs="宋体"/>
                <w:kern w:val="0"/>
                <w:sz w:val="24"/>
              </w:rPr>
              <w:t>姓名</w:t>
            </w:r>
          </w:p>
        </w:tc>
        <w:tc>
          <w:tcPr>
            <w:tcW w:w="1505" w:type="dxa"/>
            <w:vAlign w:val="center"/>
          </w:tcPr>
          <w:p>
            <w:pPr>
              <w:spacing w:line="360" w:lineRule="auto"/>
              <w:jc w:val="center"/>
              <w:rPr>
                <w:rFonts w:ascii="宋体" w:hAnsi="宋体" w:cs="宋体"/>
                <w:kern w:val="0"/>
                <w:sz w:val="24"/>
              </w:rPr>
            </w:pPr>
            <w:r>
              <w:rPr>
                <w:rFonts w:hint="eastAsia" w:ascii="宋体" w:hAnsi="宋体" w:cs="宋体"/>
                <w:kern w:val="0"/>
                <w:sz w:val="24"/>
              </w:rPr>
              <w:t>年龄</w:t>
            </w:r>
          </w:p>
        </w:tc>
        <w:tc>
          <w:tcPr>
            <w:tcW w:w="1684" w:type="dxa"/>
          </w:tcPr>
          <w:p>
            <w:pPr>
              <w:spacing w:line="360" w:lineRule="auto"/>
              <w:jc w:val="center"/>
              <w:rPr>
                <w:rFonts w:ascii="宋体" w:hAnsi="宋体" w:cs="宋体"/>
                <w:kern w:val="0"/>
                <w:sz w:val="24"/>
              </w:rPr>
            </w:pPr>
            <w:r>
              <w:rPr>
                <w:rFonts w:hint="eastAsia" w:ascii="宋体" w:hAnsi="宋体" w:cs="宋体"/>
                <w:kern w:val="0"/>
                <w:sz w:val="24"/>
              </w:rPr>
              <w:t>拟任职务</w:t>
            </w:r>
          </w:p>
        </w:tc>
        <w:tc>
          <w:tcPr>
            <w:tcW w:w="2039" w:type="dxa"/>
            <w:vAlign w:val="center"/>
          </w:tcPr>
          <w:p>
            <w:pPr>
              <w:spacing w:line="360" w:lineRule="auto"/>
              <w:jc w:val="center"/>
              <w:rPr>
                <w:rFonts w:ascii="宋体" w:hAnsi="宋体" w:cs="宋体"/>
                <w:kern w:val="0"/>
                <w:sz w:val="24"/>
              </w:rPr>
            </w:pPr>
            <w:r>
              <w:rPr>
                <w:rFonts w:hint="eastAsia" w:ascii="宋体" w:hAnsi="宋体" w:cs="宋体"/>
                <w:kern w:val="0"/>
                <w:sz w:val="24"/>
              </w:rPr>
              <w:t>专业类别及年限</w:t>
            </w:r>
          </w:p>
        </w:tc>
        <w:tc>
          <w:tcPr>
            <w:tcW w:w="3057" w:type="dxa"/>
            <w:vAlign w:val="center"/>
          </w:tcPr>
          <w:p>
            <w:pPr>
              <w:spacing w:line="360" w:lineRule="auto"/>
              <w:jc w:val="center"/>
              <w:rPr>
                <w:rFonts w:ascii="宋体" w:hAnsi="宋体" w:cs="宋体"/>
                <w:kern w:val="0"/>
                <w:sz w:val="24"/>
              </w:rPr>
            </w:pPr>
            <w:r>
              <w:rPr>
                <w:rFonts w:hint="eastAsia" w:ascii="宋体" w:hAnsi="宋体" w:cs="宋体"/>
                <w:kern w:val="0"/>
                <w:sz w:val="24"/>
              </w:rPr>
              <w:t>参与类似项目业绩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13" w:hRule="atLeast"/>
          <w:jc w:val="center"/>
        </w:trPr>
        <w:tc>
          <w:tcPr>
            <w:tcW w:w="1673" w:type="dxa"/>
            <w:vAlign w:val="center"/>
          </w:tcPr>
          <w:p>
            <w:pPr>
              <w:spacing w:line="360" w:lineRule="auto"/>
              <w:ind w:firstLine="480"/>
              <w:rPr>
                <w:rFonts w:ascii="宋体" w:hAnsi="宋体" w:cs="宋体"/>
                <w:kern w:val="0"/>
                <w:sz w:val="24"/>
              </w:rPr>
            </w:pPr>
          </w:p>
        </w:tc>
        <w:tc>
          <w:tcPr>
            <w:tcW w:w="1505" w:type="dxa"/>
            <w:vAlign w:val="center"/>
          </w:tcPr>
          <w:p>
            <w:pPr>
              <w:spacing w:line="360" w:lineRule="auto"/>
              <w:ind w:firstLine="480"/>
              <w:rPr>
                <w:rFonts w:ascii="宋体" w:hAnsi="宋体" w:cs="宋体"/>
                <w:kern w:val="0"/>
                <w:sz w:val="24"/>
              </w:rPr>
            </w:pPr>
          </w:p>
        </w:tc>
        <w:tc>
          <w:tcPr>
            <w:tcW w:w="1684" w:type="dxa"/>
          </w:tcPr>
          <w:p>
            <w:pPr>
              <w:spacing w:line="360" w:lineRule="auto"/>
              <w:ind w:firstLine="480"/>
              <w:rPr>
                <w:rFonts w:ascii="宋体" w:hAnsi="宋体" w:cs="宋体"/>
                <w:kern w:val="0"/>
                <w:sz w:val="24"/>
              </w:rPr>
            </w:pPr>
          </w:p>
        </w:tc>
        <w:tc>
          <w:tcPr>
            <w:tcW w:w="2039" w:type="dxa"/>
            <w:vAlign w:val="center"/>
          </w:tcPr>
          <w:p>
            <w:pPr>
              <w:spacing w:line="360" w:lineRule="auto"/>
              <w:ind w:firstLine="480"/>
              <w:rPr>
                <w:rFonts w:ascii="宋体" w:hAnsi="宋体" w:cs="宋体"/>
                <w:kern w:val="0"/>
                <w:sz w:val="24"/>
              </w:rPr>
            </w:pPr>
          </w:p>
        </w:tc>
        <w:tc>
          <w:tcPr>
            <w:tcW w:w="3057" w:type="dxa"/>
            <w:vAlign w:val="center"/>
          </w:tcPr>
          <w:p>
            <w:pPr>
              <w:spacing w:line="360" w:lineRule="auto"/>
              <w:ind w:firstLine="480"/>
              <w:rPr>
                <w:rFonts w:ascii="宋体" w:hAnsi="宋体" w:cs="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8" w:hRule="atLeast"/>
          <w:jc w:val="center"/>
        </w:trPr>
        <w:tc>
          <w:tcPr>
            <w:tcW w:w="1673" w:type="dxa"/>
            <w:vAlign w:val="center"/>
          </w:tcPr>
          <w:p>
            <w:pPr>
              <w:spacing w:line="360" w:lineRule="auto"/>
              <w:ind w:firstLine="480"/>
              <w:rPr>
                <w:rFonts w:ascii="宋体" w:hAnsi="宋体" w:cs="宋体"/>
                <w:kern w:val="0"/>
                <w:sz w:val="24"/>
              </w:rPr>
            </w:pPr>
          </w:p>
        </w:tc>
        <w:tc>
          <w:tcPr>
            <w:tcW w:w="1505" w:type="dxa"/>
            <w:vAlign w:val="center"/>
          </w:tcPr>
          <w:p>
            <w:pPr>
              <w:spacing w:line="360" w:lineRule="auto"/>
              <w:ind w:firstLine="480"/>
              <w:rPr>
                <w:rFonts w:ascii="宋体" w:hAnsi="宋体" w:cs="宋体"/>
                <w:kern w:val="0"/>
                <w:sz w:val="24"/>
              </w:rPr>
            </w:pPr>
          </w:p>
        </w:tc>
        <w:tc>
          <w:tcPr>
            <w:tcW w:w="1684" w:type="dxa"/>
          </w:tcPr>
          <w:p>
            <w:pPr>
              <w:spacing w:line="360" w:lineRule="auto"/>
              <w:ind w:firstLine="480"/>
              <w:rPr>
                <w:rFonts w:ascii="宋体" w:hAnsi="宋体" w:cs="宋体"/>
                <w:kern w:val="0"/>
                <w:sz w:val="24"/>
              </w:rPr>
            </w:pPr>
          </w:p>
        </w:tc>
        <w:tc>
          <w:tcPr>
            <w:tcW w:w="2039" w:type="dxa"/>
            <w:vAlign w:val="center"/>
          </w:tcPr>
          <w:p>
            <w:pPr>
              <w:spacing w:line="360" w:lineRule="auto"/>
              <w:ind w:firstLine="480"/>
              <w:rPr>
                <w:rFonts w:ascii="宋体" w:hAnsi="宋体" w:cs="宋体"/>
                <w:kern w:val="0"/>
                <w:sz w:val="24"/>
              </w:rPr>
            </w:pPr>
          </w:p>
        </w:tc>
        <w:tc>
          <w:tcPr>
            <w:tcW w:w="3057" w:type="dxa"/>
            <w:vAlign w:val="center"/>
          </w:tcPr>
          <w:p>
            <w:pPr>
              <w:spacing w:line="360" w:lineRule="auto"/>
              <w:ind w:firstLine="480"/>
              <w:rPr>
                <w:rFonts w:ascii="宋体" w:hAnsi="宋体" w:cs="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8" w:hRule="atLeast"/>
          <w:jc w:val="center"/>
        </w:trPr>
        <w:tc>
          <w:tcPr>
            <w:tcW w:w="1673" w:type="dxa"/>
            <w:vAlign w:val="center"/>
          </w:tcPr>
          <w:p>
            <w:pPr>
              <w:spacing w:line="360" w:lineRule="auto"/>
              <w:ind w:firstLine="480"/>
              <w:rPr>
                <w:rFonts w:ascii="宋体" w:hAnsi="宋体" w:cs="宋体"/>
                <w:kern w:val="0"/>
                <w:sz w:val="24"/>
              </w:rPr>
            </w:pPr>
          </w:p>
        </w:tc>
        <w:tc>
          <w:tcPr>
            <w:tcW w:w="1505" w:type="dxa"/>
            <w:vAlign w:val="center"/>
          </w:tcPr>
          <w:p>
            <w:pPr>
              <w:spacing w:line="360" w:lineRule="auto"/>
              <w:ind w:firstLine="480"/>
              <w:rPr>
                <w:rFonts w:ascii="宋体" w:hAnsi="宋体" w:cs="宋体"/>
                <w:kern w:val="0"/>
                <w:sz w:val="24"/>
              </w:rPr>
            </w:pPr>
          </w:p>
        </w:tc>
        <w:tc>
          <w:tcPr>
            <w:tcW w:w="1684" w:type="dxa"/>
          </w:tcPr>
          <w:p>
            <w:pPr>
              <w:spacing w:line="360" w:lineRule="auto"/>
              <w:ind w:firstLine="480"/>
              <w:rPr>
                <w:rFonts w:ascii="宋体" w:hAnsi="宋体" w:cs="宋体"/>
                <w:kern w:val="0"/>
                <w:sz w:val="24"/>
              </w:rPr>
            </w:pPr>
          </w:p>
        </w:tc>
        <w:tc>
          <w:tcPr>
            <w:tcW w:w="2039" w:type="dxa"/>
            <w:vAlign w:val="center"/>
          </w:tcPr>
          <w:p>
            <w:pPr>
              <w:spacing w:line="360" w:lineRule="auto"/>
              <w:ind w:firstLine="480"/>
              <w:rPr>
                <w:rFonts w:ascii="宋体" w:hAnsi="宋体" w:cs="宋体"/>
                <w:kern w:val="0"/>
                <w:sz w:val="24"/>
              </w:rPr>
            </w:pPr>
          </w:p>
        </w:tc>
        <w:tc>
          <w:tcPr>
            <w:tcW w:w="3057" w:type="dxa"/>
            <w:vAlign w:val="center"/>
          </w:tcPr>
          <w:p>
            <w:pPr>
              <w:spacing w:line="360" w:lineRule="auto"/>
              <w:ind w:firstLine="480"/>
              <w:rPr>
                <w:rFonts w:ascii="宋体" w:hAnsi="宋体" w:cs="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0" w:hRule="atLeast"/>
          <w:jc w:val="center"/>
        </w:trPr>
        <w:tc>
          <w:tcPr>
            <w:tcW w:w="1673" w:type="dxa"/>
            <w:vAlign w:val="center"/>
          </w:tcPr>
          <w:p>
            <w:pPr>
              <w:spacing w:line="360" w:lineRule="auto"/>
              <w:ind w:firstLine="480"/>
              <w:rPr>
                <w:rFonts w:ascii="宋体" w:hAnsi="宋体" w:cs="宋体"/>
                <w:kern w:val="0"/>
                <w:sz w:val="24"/>
              </w:rPr>
            </w:pPr>
            <w:r>
              <w:rPr>
                <w:rFonts w:hint="eastAsia" w:ascii="宋体" w:hAnsi="宋体" w:cs="宋体"/>
                <w:kern w:val="0"/>
                <w:sz w:val="24"/>
              </w:rPr>
              <w:t>……</w:t>
            </w:r>
          </w:p>
        </w:tc>
        <w:tc>
          <w:tcPr>
            <w:tcW w:w="1505" w:type="dxa"/>
            <w:vAlign w:val="center"/>
          </w:tcPr>
          <w:p>
            <w:pPr>
              <w:spacing w:line="360" w:lineRule="auto"/>
              <w:ind w:firstLine="480"/>
              <w:rPr>
                <w:rFonts w:ascii="宋体" w:hAnsi="宋体" w:cs="宋体"/>
                <w:kern w:val="0"/>
                <w:sz w:val="24"/>
              </w:rPr>
            </w:pPr>
          </w:p>
        </w:tc>
        <w:tc>
          <w:tcPr>
            <w:tcW w:w="1684" w:type="dxa"/>
          </w:tcPr>
          <w:p>
            <w:pPr>
              <w:spacing w:line="360" w:lineRule="auto"/>
              <w:ind w:firstLine="480"/>
              <w:rPr>
                <w:rFonts w:ascii="宋体" w:hAnsi="宋体" w:cs="宋体"/>
                <w:kern w:val="0"/>
                <w:sz w:val="24"/>
              </w:rPr>
            </w:pPr>
          </w:p>
        </w:tc>
        <w:tc>
          <w:tcPr>
            <w:tcW w:w="2039" w:type="dxa"/>
            <w:vAlign w:val="center"/>
          </w:tcPr>
          <w:p>
            <w:pPr>
              <w:spacing w:line="360" w:lineRule="auto"/>
              <w:ind w:firstLine="480"/>
              <w:rPr>
                <w:rFonts w:ascii="宋体" w:hAnsi="宋体" w:cs="宋体"/>
                <w:kern w:val="0"/>
                <w:sz w:val="24"/>
              </w:rPr>
            </w:pPr>
          </w:p>
        </w:tc>
        <w:tc>
          <w:tcPr>
            <w:tcW w:w="3057" w:type="dxa"/>
            <w:vAlign w:val="center"/>
          </w:tcPr>
          <w:p>
            <w:pPr>
              <w:spacing w:line="360" w:lineRule="auto"/>
              <w:ind w:firstLine="480"/>
              <w:rPr>
                <w:rFonts w:ascii="宋体" w:hAnsi="宋体" w:cs="宋体"/>
                <w:kern w:val="0"/>
                <w:sz w:val="24"/>
              </w:rPr>
            </w:pPr>
          </w:p>
        </w:tc>
      </w:tr>
    </w:tbl>
    <w:p>
      <w:pPr>
        <w:spacing w:line="360" w:lineRule="auto"/>
        <w:ind w:firstLine="480"/>
        <w:rPr>
          <w:rFonts w:ascii="宋体" w:hAnsi="宋体" w:cs="宋体"/>
          <w:kern w:val="0"/>
          <w:sz w:val="24"/>
        </w:rPr>
      </w:pPr>
      <w:r>
        <w:rPr>
          <w:rFonts w:hint="eastAsia" w:ascii="宋体" w:hAnsi="宋体" w:cs="宋体"/>
          <w:kern w:val="0"/>
          <w:sz w:val="24"/>
        </w:rPr>
        <w:t>注：</w:t>
      </w:r>
    </w:p>
    <w:p>
      <w:pPr>
        <w:numPr>
          <w:ilvl w:val="0"/>
          <w:numId w:val="4"/>
        </w:numPr>
        <w:spacing w:line="360" w:lineRule="auto"/>
        <w:ind w:firstLine="480"/>
        <w:rPr>
          <w:rFonts w:ascii="宋体" w:hAnsi="宋体" w:cs="宋体"/>
          <w:kern w:val="0"/>
          <w:sz w:val="24"/>
        </w:rPr>
      </w:pPr>
      <w:r>
        <w:rPr>
          <w:rFonts w:hint="eastAsia" w:ascii="宋体" w:hAnsi="宋体" w:cs="宋体"/>
          <w:kern w:val="0"/>
          <w:sz w:val="24"/>
        </w:rPr>
        <w:t>分别列入拟投入本项目的团队人员，排在第一位的为项目经理，项目经理需提供作为类似负责人的业绩及证明文件（</w:t>
      </w:r>
      <w:r>
        <w:rPr>
          <w:rFonts w:ascii="Times New Roman" w:hAnsi="Times New Roman" w:eastAsia="宋体" w:cs="Times New Roman"/>
          <w:b/>
          <w:bCs/>
          <w:sz w:val="24"/>
          <w:szCs w:val="24"/>
        </w:rPr>
        <w:t>业绩证明材料为：合同/订单（关键页）或中标通知书/成交通知书或竣工验收报告/验收证明（关键页）或业主证明，业绩证明材料无法体现项目经理（或设计总工程师）的还需出具</w:t>
      </w:r>
      <w:r>
        <w:rPr>
          <w:rFonts w:hint="eastAsia" w:ascii="Times New Roman" w:hAnsi="Times New Roman" w:eastAsia="宋体" w:cs="Times New Roman"/>
          <w:b/>
          <w:bCs/>
          <w:sz w:val="24"/>
          <w:szCs w:val="24"/>
        </w:rPr>
        <w:t>服务商</w:t>
      </w:r>
      <w:r>
        <w:rPr>
          <w:rFonts w:ascii="Times New Roman" w:hAnsi="Times New Roman" w:eastAsia="宋体" w:cs="Times New Roman"/>
          <w:b/>
          <w:bCs/>
          <w:sz w:val="24"/>
          <w:szCs w:val="24"/>
        </w:rPr>
        <w:t>自身公司任命文件</w:t>
      </w:r>
      <w:r>
        <w:rPr>
          <w:rFonts w:hint="eastAsia" w:ascii="宋体" w:hAnsi="宋体" w:cs="宋体"/>
          <w:kern w:val="0"/>
          <w:sz w:val="24"/>
        </w:rPr>
        <w:t>），未提供业绩证明文件的不予认可。</w:t>
      </w:r>
    </w:p>
    <w:p>
      <w:pPr>
        <w:numPr>
          <w:ilvl w:val="0"/>
          <w:numId w:val="4"/>
        </w:numPr>
        <w:spacing w:line="360" w:lineRule="auto"/>
        <w:ind w:firstLine="480"/>
        <w:rPr>
          <w:rFonts w:ascii="宋体" w:hAnsi="宋体" w:cs="宋体"/>
          <w:kern w:val="0"/>
          <w:sz w:val="24"/>
        </w:rPr>
      </w:pPr>
      <w:r>
        <w:rPr>
          <w:rFonts w:hint="eastAsia" w:ascii="宋体" w:hAnsi="宋体" w:cs="宋体"/>
          <w:kern w:val="0"/>
          <w:sz w:val="24"/>
        </w:rPr>
        <w:t>其他专业人员附相关证件复印件（包括毕业证、职称证书及注册执业资格证书等）。</w:t>
      </w:r>
    </w:p>
    <w:p>
      <w:pPr>
        <w:pStyle w:val="2"/>
        <w:sectPr>
          <w:pgSz w:w="11906" w:h="16838"/>
          <w:pgMar w:top="1440" w:right="1080" w:bottom="1440" w:left="1080" w:header="851" w:footer="851" w:gutter="0"/>
          <w:cols w:space="720" w:num="1"/>
          <w:docGrid w:linePitch="312" w:charSpace="0"/>
        </w:sectPr>
      </w:pPr>
    </w:p>
    <w:p>
      <w:pPr>
        <w:adjustRightInd w:val="0"/>
        <w:snapToGrid w:val="0"/>
        <w:spacing w:line="360" w:lineRule="auto"/>
        <w:jc w:val="left"/>
        <w:rPr>
          <w:rFonts w:ascii="宋体" w:hAnsi="宋体" w:eastAsia="宋体" w:cs="Times New Roman"/>
          <w:sz w:val="24"/>
          <w:szCs w:val="24"/>
        </w:rPr>
      </w:pPr>
    </w:p>
    <w:p>
      <w:pPr>
        <w:spacing w:line="360" w:lineRule="auto"/>
        <w:ind w:firstLine="643"/>
        <w:jc w:val="center"/>
        <w:rPr>
          <w:rFonts w:ascii="宋体" w:hAnsi="宋体" w:cs="宋体"/>
          <w:b/>
          <w:kern w:val="0"/>
          <w:sz w:val="32"/>
          <w:szCs w:val="32"/>
        </w:rPr>
      </w:pPr>
      <w:r>
        <w:rPr>
          <w:rFonts w:hint="eastAsia" w:ascii="宋体" w:hAnsi="宋体" w:cs="宋体"/>
          <w:b/>
          <w:kern w:val="0"/>
          <w:sz w:val="32"/>
          <w:szCs w:val="32"/>
        </w:rPr>
        <w:t>七、服务商应提供的其他资料</w:t>
      </w:r>
    </w:p>
    <w:p>
      <w:pPr>
        <w:spacing w:line="360" w:lineRule="auto"/>
        <w:ind w:firstLine="480"/>
        <w:rPr>
          <w:rFonts w:ascii="宋体" w:hAnsi="宋体" w:cs="宋体"/>
          <w:kern w:val="0"/>
        </w:rPr>
      </w:pPr>
    </w:p>
    <w:p>
      <w:pPr>
        <w:spacing w:line="360" w:lineRule="auto"/>
        <w:ind w:firstLine="480"/>
        <w:rPr>
          <w:rFonts w:ascii="宋体" w:hAnsi="宋体" w:cs="宋体"/>
          <w:kern w:val="0"/>
          <w:sz w:val="24"/>
        </w:rPr>
      </w:pPr>
      <w:r>
        <w:rPr>
          <w:rFonts w:hint="eastAsia" w:ascii="宋体" w:hAnsi="宋体" w:cs="宋体"/>
          <w:kern w:val="0"/>
          <w:sz w:val="24"/>
        </w:rPr>
        <w:t>竞争性谈判文件规定及服务商认为应提供的其他资料。</w:t>
      </w:r>
    </w:p>
    <w:p>
      <w:pPr>
        <w:sectPr>
          <w:pgSz w:w="11906" w:h="16838"/>
          <w:pgMar w:top="1440" w:right="1080" w:bottom="1440" w:left="1080" w:header="851" w:footer="851" w:gutter="0"/>
          <w:cols w:space="720" w:num="1"/>
          <w:docGrid w:linePitch="312" w:charSpace="0"/>
        </w:sectPr>
      </w:pPr>
    </w:p>
    <w:p>
      <w:pPr>
        <w:numPr>
          <w:ilvl w:val="0"/>
          <w:numId w:val="5"/>
        </w:numPr>
        <w:autoSpaceDE w:val="0"/>
        <w:autoSpaceDN w:val="0"/>
        <w:adjustRightInd w:val="0"/>
        <w:spacing w:line="360" w:lineRule="auto"/>
        <w:jc w:val="center"/>
        <w:outlineLvl w:val="0"/>
        <w:rPr>
          <w:rFonts w:ascii="宋体" w:hAnsi="宋体" w:eastAsia="宋体" w:cs="宋体"/>
          <w:b/>
          <w:bCs/>
          <w:color w:val="000000" w:themeColor="text1"/>
          <w:sz w:val="32"/>
          <w:szCs w:val="32"/>
          <w14:textFill>
            <w14:solidFill>
              <w14:schemeClr w14:val="tx1"/>
            </w14:solidFill>
          </w14:textFill>
        </w:rPr>
      </w:pPr>
      <w:bookmarkStart w:id="147" w:name="_Toc5991"/>
      <w:bookmarkStart w:id="148" w:name="_Toc78019950"/>
      <w:r>
        <w:rPr>
          <w:rFonts w:hint="eastAsia" w:ascii="宋体" w:hAnsi="宋体" w:eastAsia="宋体" w:cs="宋体"/>
          <w:b/>
          <w:bCs/>
          <w:color w:val="000000" w:themeColor="text1"/>
          <w:sz w:val="32"/>
          <w:szCs w:val="32"/>
          <w14:textFill>
            <w14:solidFill>
              <w14:schemeClr w14:val="tx1"/>
            </w14:solidFill>
          </w14:textFill>
        </w:rPr>
        <w:t>技术规范书</w:t>
      </w:r>
      <w:bookmarkEnd w:id="147"/>
    </w:p>
    <w:p>
      <w:pPr>
        <w:tabs>
          <w:tab w:val="left" w:pos="426"/>
        </w:tabs>
        <w:wordWrap w:val="0"/>
        <w:topLinePunct/>
        <w:spacing w:line="360" w:lineRule="auto"/>
        <w:outlineLvl w:val="0"/>
        <w:rPr>
          <w:rFonts w:ascii="Times New Roman" w:hAnsi="Times New Roman" w:eastAsia="宋体" w:cs="Times New Roman"/>
          <w:b/>
          <w:sz w:val="24"/>
          <w:szCs w:val="24"/>
        </w:rPr>
      </w:pPr>
      <w:bookmarkStart w:id="149" w:name="_Toc28462"/>
      <w:bookmarkStart w:id="150" w:name="_Toc17533"/>
      <w:bookmarkStart w:id="151" w:name="_Toc448024072"/>
      <w:bookmarkStart w:id="152" w:name="_Toc152165818"/>
      <w:bookmarkStart w:id="153" w:name="_Toc435511891"/>
      <w:bookmarkStart w:id="154" w:name="_Toc21540_WPSOffice_Level2"/>
      <w:bookmarkStart w:id="155" w:name="_Toc426801964"/>
      <w:bookmarkStart w:id="156" w:name="_Toc435159524"/>
      <w:r>
        <w:rPr>
          <w:rFonts w:hint="eastAsia" w:eastAsia="宋体" w:cs="Times New Roman"/>
          <w:b/>
          <w:sz w:val="24"/>
          <w:szCs w:val="24"/>
        </w:rPr>
        <w:t xml:space="preserve">1  </w:t>
      </w:r>
      <w:r>
        <w:rPr>
          <w:rFonts w:ascii="Times New Roman" w:hAnsi="Times New Roman" w:eastAsia="宋体" w:cs="Times New Roman"/>
          <w:b/>
          <w:sz w:val="24"/>
          <w:szCs w:val="24"/>
        </w:rPr>
        <w:t>总则</w:t>
      </w:r>
      <w:bookmarkEnd w:id="149"/>
      <w:bookmarkEnd w:id="150"/>
    </w:p>
    <w:p>
      <w:pPr>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1.1为加快推进曲靖电厂三期（</w:t>
      </w:r>
      <w:r>
        <w:rPr>
          <w:rFonts w:ascii="Times New Roman" w:hAnsi="Times New Roman" w:eastAsia="宋体" w:cs="Times New Roman"/>
          <w:sz w:val="24"/>
          <w:szCs w:val="24"/>
        </w:rPr>
        <w:t>2×</w:t>
      </w:r>
      <w:r>
        <w:rPr>
          <w:rFonts w:hint="eastAsia" w:eastAsia="宋体" w:cs="Times New Roman"/>
          <w:sz w:val="24"/>
          <w:szCs w:val="24"/>
        </w:rPr>
        <w:t>7</w:t>
      </w:r>
      <w:r>
        <w:rPr>
          <w:rFonts w:ascii="Times New Roman" w:hAnsi="Times New Roman" w:eastAsia="宋体" w:cs="Times New Roman"/>
          <w:sz w:val="24"/>
          <w:szCs w:val="24"/>
        </w:rPr>
        <w:t>00MW</w:t>
      </w:r>
      <w:r>
        <w:rPr>
          <w:rFonts w:hint="eastAsia" w:eastAsia="宋体" w:cs="Times New Roman"/>
          <w:sz w:val="24"/>
          <w:szCs w:val="24"/>
        </w:rPr>
        <w:t>燃煤发电机组）扩建项目前期工作</w:t>
      </w:r>
      <w:r>
        <w:rPr>
          <w:rFonts w:ascii="Times New Roman" w:hAnsi="Times New Roman" w:eastAsia="宋体" w:cs="Times New Roman"/>
          <w:sz w:val="24"/>
          <w:szCs w:val="24"/>
        </w:rPr>
        <w:t>，</w:t>
      </w:r>
      <w:r>
        <w:rPr>
          <w:rFonts w:hint="eastAsia" w:eastAsia="宋体" w:cs="Times New Roman"/>
          <w:sz w:val="24"/>
          <w:szCs w:val="24"/>
        </w:rPr>
        <w:t>云南能投曲靖发电有限公司（以下简称曲靖电厂）</w:t>
      </w:r>
      <w:r>
        <w:rPr>
          <w:rFonts w:ascii="Times New Roman" w:hAnsi="Times New Roman" w:eastAsia="宋体" w:cs="Times New Roman"/>
          <w:sz w:val="24"/>
          <w:szCs w:val="24"/>
        </w:rPr>
        <w:t>拟开展</w:t>
      </w:r>
      <w:r>
        <w:rPr>
          <w:rFonts w:hint="eastAsia" w:eastAsia="宋体" w:cs="Times New Roman"/>
          <w:sz w:val="24"/>
          <w:szCs w:val="24"/>
        </w:rPr>
        <w:t>曲靖电厂三期（</w:t>
      </w:r>
      <w:r>
        <w:rPr>
          <w:rFonts w:ascii="Times New Roman" w:hAnsi="Times New Roman" w:eastAsia="宋体" w:cs="Times New Roman"/>
          <w:sz w:val="24"/>
          <w:szCs w:val="24"/>
        </w:rPr>
        <w:t>2×</w:t>
      </w:r>
      <w:r>
        <w:rPr>
          <w:rFonts w:hint="eastAsia" w:eastAsia="宋体" w:cs="Times New Roman"/>
          <w:sz w:val="24"/>
          <w:szCs w:val="24"/>
        </w:rPr>
        <w:t>7</w:t>
      </w:r>
      <w:r>
        <w:rPr>
          <w:rFonts w:ascii="Times New Roman" w:hAnsi="Times New Roman" w:eastAsia="宋体" w:cs="Times New Roman"/>
          <w:sz w:val="24"/>
          <w:szCs w:val="24"/>
        </w:rPr>
        <w:t>00MW</w:t>
      </w:r>
      <w:r>
        <w:rPr>
          <w:rFonts w:hint="eastAsia" w:eastAsia="宋体" w:cs="Times New Roman"/>
          <w:sz w:val="24"/>
          <w:szCs w:val="24"/>
        </w:rPr>
        <w:t>燃煤发电机组）扩建项目</w:t>
      </w:r>
      <w:r>
        <w:rPr>
          <w:rFonts w:ascii="Times New Roman" w:hAnsi="Times New Roman" w:eastAsia="宋体" w:cs="Times New Roman"/>
          <w:sz w:val="24"/>
          <w:szCs w:val="24"/>
        </w:rPr>
        <w:t>可行性研究。</w:t>
      </w:r>
    </w:p>
    <w:p>
      <w:pPr>
        <w:wordWrap w:val="0"/>
        <w:topLinePunct/>
        <w:spacing w:line="360" w:lineRule="auto"/>
        <w:rPr>
          <w:rFonts w:ascii="Times New Roman" w:hAnsi="Times New Roman" w:eastAsia="宋体" w:cs="Times New Roman"/>
          <w:sz w:val="24"/>
          <w:szCs w:val="24"/>
        </w:rPr>
      </w:pPr>
      <w:bookmarkStart w:id="157" w:name="_Toc5264"/>
      <w:bookmarkStart w:id="158" w:name="_Toc5845"/>
      <w:r>
        <w:rPr>
          <w:rFonts w:hint="eastAsia" w:eastAsia="宋体" w:cs="Times New Roman"/>
          <w:sz w:val="24"/>
          <w:szCs w:val="24"/>
        </w:rPr>
        <w:t>1.2</w:t>
      </w:r>
      <w:r>
        <w:rPr>
          <w:rFonts w:ascii="Times New Roman" w:hAnsi="Times New Roman" w:eastAsia="宋体" w:cs="Times New Roman"/>
          <w:sz w:val="24"/>
          <w:szCs w:val="24"/>
        </w:rPr>
        <w:t>本技术规范提出了相关工作内容和要求，</w:t>
      </w:r>
      <w:r>
        <w:rPr>
          <w:rFonts w:hint="eastAsia" w:ascii="Times New Roman" w:hAnsi="Times New Roman" w:eastAsia="宋体" w:cs="Times New Roman"/>
          <w:sz w:val="24"/>
          <w:szCs w:val="24"/>
        </w:rPr>
        <w:t>服务商</w:t>
      </w:r>
      <w:r>
        <w:rPr>
          <w:rFonts w:hint="eastAsia" w:eastAsia="宋体" w:cs="Times New Roman"/>
          <w:sz w:val="24"/>
          <w:szCs w:val="24"/>
        </w:rPr>
        <w:t>根据情况</w:t>
      </w:r>
      <w:r>
        <w:rPr>
          <w:rFonts w:hint="eastAsia" w:ascii="Times New Roman" w:hAnsi="Times New Roman" w:eastAsia="宋体" w:cs="Times New Roman"/>
          <w:sz w:val="24"/>
          <w:szCs w:val="24"/>
        </w:rPr>
        <w:t>开展</w:t>
      </w:r>
      <w:r>
        <w:rPr>
          <w:rFonts w:ascii="Times New Roman" w:hAnsi="Times New Roman" w:eastAsia="宋体" w:cs="Times New Roman"/>
          <w:sz w:val="24"/>
          <w:szCs w:val="24"/>
        </w:rPr>
        <w:t>可行性研究涉及的踏勘、调研、相关必要试验等辅助性工作</w:t>
      </w:r>
      <w:r>
        <w:rPr>
          <w:rFonts w:hint="eastAsia" w:eastAsia="宋体" w:cs="Times New Roman"/>
          <w:sz w:val="24"/>
          <w:szCs w:val="24"/>
        </w:rPr>
        <w:t>，所有</w:t>
      </w:r>
      <w:r>
        <w:rPr>
          <w:rFonts w:ascii="Times New Roman" w:hAnsi="Times New Roman" w:eastAsia="宋体" w:cs="Times New Roman"/>
          <w:sz w:val="24"/>
          <w:szCs w:val="24"/>
        </w:rPr>
        <w:t>费用均含在</w:t>
      </w:r>
      <w:r>
        <w:rPr>
          <w:rFonts w:hint="eastAsia" w:eastAsia="宋体" w:cs="Times New Roman"/>
          <w:sz w:val="24"/>
          <w:szCs w:val="24"/>
        </w:rPr>
        <w:t>本服务</w:t>
      </w:r>
      <w:r>
        <w:rPr>
          <w:rFonts w:ascii="Times New Roman" w:hAnsi="Times New Roman" w:eastAsia="宋体" w:cs="Times New Roman"/>
          <w:sz w:val="24"/>
          <w:szCs w:val="24"/>
        </w:rPr>
        <w:t>项目合同总价中。</w:t>
      </w:r>
    </w:p>
    <w:p>
      <w:pPr>
        <w:wordWrap w:val="0"/>
        <w:topLinePunct/>
        <w:spacing w:line="360" w:lineRule="auto"/>
        <w:rPr>
          <w:rFonts w:ascii="Times New Roman" w:hAnsi="Times New Roman" w:eastAsia="宋体" w:cs="Times New Roman"/>
          <w:sz w:val="24"/>
          <w:szCs w:val="24"/>
        </w:rPr>
      </w:pPr>
      <w:r>
        <w:rPr>
          <w:rFonts w:hint="eastAsia" w:eastAsia="宋体" w:cs="Times New Roman"/>
          <w:b/>
          <w:bCs/>
          <w:sz w:val="24"/>
          <w:szCs w:val="24"/>
        </w:rPr>
        <w:t>1.3</w:t>
      </w:r>
      <w:r>
        <w:rPr>
          <w:rFonts w:hint="eastAsia" w:ascii="Times New Roman" w:hAnsi="Times New Roman" w:eastAsia="宋体" w:cs="Times New Roman"/>
          <w:b/>
          <w:bCs/>
          <w:sz w:val="24"/>
          <w:szCs w:val="24"/>
        </w:rPr>
        <w:t>服务商</w:t>
      </w:r>
      <w:r>
        <w:rPr>
          <w:rFonts w:hint="eastAsia" w:eastAsia="宋体" w:cs="Times New Roman"/>
          <w:b/>
          <w:bCs/>
          <w:sz w:val="24"/>
          <w:szCs w:val="24"/>
        </w:rPr>
        <w:t>需</w:t>
      </w:r>
      <w:r>
        <w:rPr>
          <w:rFonts w:ascii="Times New Roman" w:hAnsi="Times New Roman" w:eastAsia="宋体" w:cs="Times New Roman"/>
          <w:b/>
          <w:bCs/>
          <w:sz w:val="24"/>
          <w:szCs w:val="24"/>
        </w:rPr>
        <w:t>具有电力行业工程设计甲级及以上设计资质</w:t>
      </w:r>
      <w:r>
        <w:rPr>
          <w:rFonts w:hint="eastAsia" w:ascii="Times New Roman" w:hAnsi="Times New Roman" w:eastAsia="宋体" w:cs="Times New Roman"/>
          <w:b/>
          <w:bCs/>
          <w:sz w:val="24"/>
          <w:szCs w:val="24"/>
          <w:lang w:val="en-US" w:eastAsia="zh-CN"/>
        </w:rPr>
        <w:t>和工程勘察专业甲级及以上资质</w:t>
      </w:r>
      <w:r>
        <w:rPr>
          <w:rFonts w:hint="eastAsia" w:asciiTheme="minorEastAsia" w:hAnsiTheme="minorEastAsia" w:cstheme="minorEastAsia"/>
          <w:b/>
          <w:bCs/>
          <w:color w:val="171A1D"/>
          <w:sz w:val="24"/>
          <w:szCs w:val="24"/>
          <w:shd w:val="clear" w:color="auto" w:fill="FFFFFF"/>
        </w:rPr>
        <w:t>，并提供相关资质文件复印件</w:t>
      </w:r>
      <w:r>
        <w:rPr>
          <w:rFonts w:hint="eastAsia" w:eastAsia="宋体" w:cs="Times New Roman"/>
          <w:b/>
          <w:bCs/>
          <w:sz w:val="24"/>
          <w:szCs w:val="24"/>
        </w:rPr>
        <w:t>。</w:t>
      </w:r>
    </w:p>
    <w:p>
      <w:pPr>
        <w:widowControl/>
        <w:spacing w:line="360" w:lineRule="auto"/>
        <w:jc w:val="left"/>
        <w:rPr>
          <w:rFonts w:ascii="宋体" w:hAnsi="宋体" w:eastAsia="宋体" w:cs="宋体"/>
          <w:color w:val="000000"/>
          <w:kern w:val="0"/>
          <w:sz w:val="24"/>
          <w:szCs w:val="24"/>
        </w:rPr>
      </w:pPr>
      <w:r>
        <w:rPr>
          <w:rFonts w:hint="eastAsia" w:eastAsia="宋体" w:cs="Times New Roman"/>
          <w:b/>
          <w:bCs/>
          <w:sz w:val="24"/>
          <w:szCs w:val="24"/>
        </w:rPr>
        <w:t>1.4在近5年内（从2020年1月1日至今，以</w:t>
      </w:r>
      <w:r>
        <w:rPr>
          <w:rFonts w:hint="eastAsia" w:eastAsia="宋体" w:cs="Times New Roman"/>
          <w:b/>
          <w:bCs/>
          <w:sz w:val="24"/>
          <w:szCs w:val="24"/>
          <w:lang w:val="en-US" w:eastAsia="zh-CN"/>
        </w:rPr>
        <w:t>合同签订</w:t>
      </w:r>
      <w:r>
        <w:rPr>
          <w:rFonts w:hint="eastAsia" w:eastAsia="宋体" w:cs="Times New Roman"/>
          <w:b/>
          <w:bCs/>
          <w:sz w:val="24"/>
          <w:szCs w:val="24"/>
        </w:rPr>
        <w:t>时间为准）</w:t>
      </w:r>
      <w:r>
        <w:rPr>
          <w:rFonts w:ascii="Times New Roman" w:hAnsi="Times New Roman" w:eastAsia="宋体" w:cs="Times New Roman"/>
          <w:b/>
          <w:bCs/>
          <w:sz w:val="24"/>
          <w:szCs w:val="24"/>
        </w:rPr>
        <w:t>，</w:t>
      </w:r>
      <w:r>
        <w:rPr>
          <w:rFonts w:hint="eastAsia" w:eastAsia="宋体" w:cs="Times New Roman"/>
          <w:b/>
          <w:bCs/>
          <w:sz w:val="24"/>
          <w:szCs w:val="24"/>
        </w:rPr>
        <w:t>服务商应</w:t>
      </w:r>
      <w:r>
        <w:rPr>
          <w:rFonts w:ascii="Times New Roman" w:hAnsi="Times New Roman" w:eastAsia="宋体" w:cs="Times New Roman"/>
          <w:b/>
          <w:bCs/>
          <w:sz w:val="24"/>
          <w:szCs w:val="24"/>
        </w:rPr>
        <w:t>具有</w:t>
      </w:r>
      <w:r>
        <w:rPr>
          <w:rFonts w:hint="eastAsia" w:eastAsia="宋体" w:cs="Times New Roman"/>
          <w:b/>
          <w:bCs/>
          <w:sz w:val="24"/>
          <w:szCs w:val="24"/>
        </w:rPr>
        <w:t>独立完成</w:t>
      </w:r>
      <w:r>
        <w:rPr>
          <w:rFonts w:ascii="Times New Roman" w:hAnsi="Times New Roman" w:eastAsia="宋体" w:cs="Times New Roman"/>
          <w:b/>
          <w:bCs/>
          <w:sz w:val="24"/>
          <w:szCs w:val="24"/>
        </w:rPr>
        <w:t>至少</w:t>
      </w:r>
      <w:r>
        <w:rPr>
          <w:rFonts w:hint="eastAsia" w:eastAsia="宋体" w:cs="Times New Roman"/>
          <w:b/>
          <w:bCs/>
          <w:sz w:val="24"/>
          <w:szCs w:val="24"/>
        </w:rPr>
        <w:t>1项</w:t>
      </w:r>
      <w:r>
        <w:rPr>
          <w:rFonts w:hint="eastAsia" w:eastAsia="宋体" w:cs="Times New Roman"/>
          <w:b/>
          <w:bCs/>
          <w:sz w:val="24"/>
          <w:szCs w:val="24"/>
          <w:lang w:eastAsia="zh-CN"/>
        </w:rPr>
        <w:t>600MW（级）</w:t>
      </w:r>
      <w:r>
        <w:rPr>
          <w:rFonts w:hint="eastAsia" w:eastAsia="宋体" w:cs="Times New Roman"/>
          <w:b/>
          <w:bCs/>
          <w:sz w:val="24"/>
          <w:szCs w:val="24"/>
        </w:rPr>
        <w:t>及</w:t>
      </w:r>
      <w:r>
        <w:rPr>
          <w:rFonts w:ascii="Times New Roman" w:hAnsi="Times New Roman" w:eastAsia="宋体" w:cs="Times New Roman"/>
          <w:b/>
          <w:bCs/>
          <w:sz w:val="24"/>
          <w:szCs w:val="24"/>
        </w:rPr>
        <w:t>以上</w:t>
      </w:r>
      <w:r>
        <w:rPr>
          <w:rFonts w:hint="eastAsia" w:eastAsia="宋体" w:cs="Times New Roman"/>
          <w:b/>
          <w:bCs/>
          <w:sz w:val="24"/>
          <w:szCs w:val="24"/>
        </w:rPr>
        <w:t>超超临界发电机组主体</w:t>
      </w:r>
      <w:r>
        <w:rPr>
          <w:rFonts w:ascii="Times New Roman" w:hAnsi="Times New Roman" w:eastAsia="宋体" w:cs="Times New Roman"/>
          <w:b/>
          <w:bCs/>
          <w:sz w:val="24"/>
          <w:szCs w:val="24"/>
        </w:rPr>
        <w:t>的可行性研究或初步设计</w:t>
      </w:r>
      <w:r>
        <w:rPr>
          <w:rFonts w:hint="eastAsia" w:eastAsia="宋体" w:cs="Times New Roman"/>
          <w:b/>
          <w:bCs/>
          <w:sz w:val="24"/>
          <w:szCs w:val="24"/>
        </w:rPr>
        <w:t>或施工图或勘察设计项目的合同</w:t>
      </w:r>
      <w:r>
        <w:rPr>
          <w:rFonts w:ascii="Times New Roman" w:hAnsi="Times New Roman" w:eastAsia="宋体" w:cs="Times New Roman"/>
          <w:b/>
          <w:bCs/>
          <w:sz w:val="24"/>
          <w:szCs w:val="24"/>
        </w:rPr>
        <w:t>业绩（业绩证明材料为：合同/订单（关键页）或中标通知书/成交通知书或竣工验收报告/验收证明（关键页）或业主证明）</w:t>
      </w:r>
      <w:r>
        <w:rPr>
          <w:rFonts w:hint="eastAsia" w:ascii="宋体" w:hAnsi="宋体" w:eastAsia="宋体" w:cs="宋体"/>
          <w:color w:val="000000"/>
          <w:kern w:val="0"/>
          <w:sz w:val="24"/>
          <w:szCs w:val="24"/>
        </w:rPr>
        <w:t>。</w:t>
      </w:r>
    </w:p>
    <w:p>
      <w:pPr>
        <w:wordWrap w:val="0"/>
        <w:topLinePunct/>
        <w:spacing w:line="360" w:lineRule="auto"/>
        <w:rPr>
          <w:rFonts w:ascii="Times New Roman" w:hAnsi="Times New Roman" w:eastAsia="宋体" w:cs="Times New Roman"/>
          <w:sz w:val="24"/>
          <w:szCs w:val="24"/>
        </w:rPr>
      </w:pPr>
      <w:r>
        <w:rPr>
          <w:rFonts w:hint="eastAsia" w:eastAsia="宋体" w:cs="Times New Roman"/>
          <w:b/>
          <w:bCs/>
          <w:sz w:val="24"/>
          <w:szCs w:val="24"/>
        </w:rPr>
        <w:t>1.5</w:t>
      </w:r>
      <w:r>
        <w:rPr>
          <w:rFonts w:ascii="Times New Roman" w:hAnsi="Times New Roman" w:eastAsia="宋体" w:cs="Times New Roman"/>
          <w:b/>
          <w:bCs/>
          <w:sz w:val="24"/>
          <w:szCs w:val="24"/>
        </w:rPr>
        <w:t>拟委派本项目的项目经理</w:t>
      </w:r>
      <w:r>
        <w:rPr>
          <w:rFonts w:hint="eastAsia" w:eastAsia="宋体" w:cs="Times New Roman"/>
          <w:b/>
          <w:bCs/>
          <w:sz w:val="24"/>
          <w:szCs w:val="24"/>
        </w:rPr>
        <w:t>（或设计总工程师）</w:t>
      </w:r>
      <w:r>
        <w:rPr>
          <w:rFonts w:ascii="Times New Roman" w:hAnsi="Times New Roman" w:eastAsia="宋体" w:cs="Times New Roman"/>
          <w:b/>
          <w:bCs/>
          <w:sz w:val="24"/>
          <w:szCs w:val="24"/>
        </w:rPr>
        <w:t>，应具</w:t>
      </w:r>
      <w:r>
        <w:rPr>
          <w:rFonts w:hint="eastAsia" w:eastAsia="宋体" w:cs="Times New Roman"/>
          <w:b/>
          <w:bCs/>
          <w:sz w:val="24"/>
          <w:szCs w:val="24"/>
        </w:rPr>
        <w:t>备高级工程师及以上职称，具有承担过</w:t>
      </w:r>
      <w:r>
        <w:rPr>
          <w:rFonts w:ascii="Times New Roman" w:hAnsi="Times New Roman" w:eastAsia="宋体" w:cs="Times New Roman"/>
          <w:b/>
          <w:bCs/>
          <w:sz w:val="24"/>
          <w:szCs w:val="24"/>
        </w:rPr>
        <w:t>至少</w:t>
      </w:r>
      <w:r>
        <w:rPr>
          <w:rFonts w:hint="eastAsia" w:eastAsia="宋体" w:cs="Times New Roman"/>
          <w:b/>
          <w:bCs/>
          <w:sz w:val="24"/>
          <w:szCs w:val="24"/>
        </w:rPr>
        <w:t>1项</w:t>
      </w:r>
      <w:r>
        <w:rPr>
          <w:rFonts w:hint="eastAsia" w:eastAsia="宋体" w:cs="Times New Roman"/>
          <w:b/>
          <w:bCs/>
          <w:sz w:val="24"/>
          <w:szCs w:val="24"/>
          <w:lang w:eastAsia="zh-CN"/>
        </w:rPr>
        <w:t>600MW（级）</w:t>
      </w:r>
      <w:r>
        <w:rPr>
          <w:rFonts w:hint="eastAsia" w:eastAsia="宋体" w:cs="Times New Roman"/>
          <w:b/>
          <w:bCs/>
          <w:sz w:val="24"/>
          <w:szCs w:val="24"/>
        </w:rPr>
        <w:t>及</w:t>
      </w:r>
      <w:r>
        <w:rPr>
          <w:rFonts w:ascii="Times New Roman" w:hAnsi="Times New Roman" w:eastAsia="宋体" w:cs="Times New Roman"/>
          <w:b/>
          <w:bCs/>
          <w:sz w:val="24"/>
          <w:szCs w:val="24"/>
        </w:rPr>
        <w:t>以上超超临界燃煤发电机组的初步设计</w:t>
      </w:r>
      <w:r>
        <w:rPr>
          <w:rFonts w:hint="eastAsia" w:eastAsia="宋体" w:cs="Times New Roman"/>
          <w:b/>
          <w:bCs/>
          <w:sz w:val="24"/>
          <w:szCs w:val="24"/>
        </w:rPr>
        <w:t>或施工图设计</w:t>
      </w:r>
      <w:r>
        <w:rPr>
          <w:rFonts w:ascii="Times New Roman" w:hAnsi="Times New Roman" w:eastAsia="宋体" w:cs="Times New Roman"/>
          <w:b/>
          <w:bCs/>
          <w:sz w:val="24"/>
          <w:szCs w:val="24"/>
        </w:rPr>
        <w:t>项目经理</w:t>
      </w:r>
      <w:r>
        <w:rPr>
          <w:rFonts w:hint="eastAsia" w:eastAsia="宋体" w:cs="Times New Roman"/>
          <w:b/>
          <w:bCs/>
          <w:sz w:val="24"/>
          <w:szCs w:val="24"/>
        </w:rPr>
        <w:t>（或设计总工程师）的</w:t>
      </w:r>
      <w:r>
        <w:rPr>
          <w:rFonts w:ascii="Times New Roman" w:hAnsi="Times New Roman" w:eastAsia="宋体" w:cs="Times New Roman"/>
          <w:b/>
          <w:bCs/>
          <w:sz w:val="24"/>
          <w:szCs w:val="24"/>
        </w:rPr>
        <w:t>业绩（业绩证明材料为：合同/订单（关键页）或中标通知书/成交通知书或竣工验收报告/验收证明（关键页）或业主证明，业绩证明材料无法体现项目经理（或设计总工程师）的还需出具</w:t>
      </w:r>
      <w:r>
        <w:rPr>
          <w:rFonts w:hint="eastAsia" w:ascii="Times New Roman" w:hAnsi="Times New Roman" w:eastAsia="宋体" w:cs="Times New Roman"/>
          <w:b/>
          <w:bCs/>
          <w:sz w:val="24"/>
          <w:szCs w:val="24"/>
        </w:rPr>
        <w:t>服务商</w:t>
      </w:r>
      <w:r>
        <w:rPr>
          <w:rFonts w:ascii="Times New Roman" w:hAnsi="Times New Roman" w:eastAsia="宋体" w:cs="Times New Roman"/>
          <w:b/>
          <w:bCs/>
          <w:sz w:val="24"/>
          <w:szCs w:val="24"/>
        </w:rPr>
        <w:t>自身公司任命文件）。</w:t>
      </w:r>
    </w:p>
    <w:p>
      <w:pPr>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1.6</w:t>
      </w:r>
      <w:r>
        <w:rPr>
          <w:rFonts w:ascii="Times New Roman" w:hAnsi="Times New Roman" w:eastAsia="宋体" w:cs="Times New Roman"/>
          <w:sz w:val="24"/>
          <w:szCs w:val="24"/>
        </w:rPr>
        <w:t>本次可行性研究报告的深度至少达到《火力发电厂可行性研究报告内容深度规定》（DL/T 5375-2018）要求。</w:t>
      </w:r>
    </w:p>
    <w:p>
      <w:pPr>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1.7</w:t>
      </w:r>
      <w:r>
        <w:rPr>
          <w:rFonts w:ascii="Times New Roman" w:hAnsi="Times New Roman" w:eastAsia="宋体" w:cs="Times New Roman"/>
          <w:sz w:val="24"/>
          <w:szCs w:val="24"/>
        </w:rPr>
        <w:t>本技术规范书提出的是最低限度的要求，并未对一切细节作出规定，也并未规定所有的技术要求和适用的标准，</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应保证按照本技术规范书和相关规范的要求进行服务。对国家、地方及行业有关强制性标准，必须满足其要求。</w:t>
      </w:r>
    </w:p>
    <w:p>
      <w:pPr>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1.8</w:t>
      </w:r>
      <w:r>
        <w:rPr>
          <w:rFonts w:ascii="Times New Roman" w:hAnsi="Times New Roman" w:eastAsia="宋体" w:cs="Times New Roman"/>
          <w:sz w:val="24"/>
          <w:szCs w:val="24"/>
        </w:rPr>
        <w:t>如果本技术规范前后出现有不一致的描述，</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应在投标前提出澄清，未提出澄清的则以</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 xml:space="preserve">的解释为准。 </w:t>
      </w:r>
    </w:p>
    <w:p>
      <w:pPr>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1.9</w:t>
      </w:r>
      <w:r>
        <w:rPr>
          <w:rFonts w:ascii="Times New Roman" w:hAnsi="Times New Roman" w:eastAsia="宋体" w:cs="Times New Roman"/>
          <w:sz w:val="24"/>
          <w:szCs w:val="24"/>
        </w:rPr>
        <w:t>本技术规范书使用的标准，如遇与</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所执行的标准不一致时，按较高的标准执行。在合同生效后，</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有权提出因规范标准发生变化而产生的一些补充修改要求，</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 xml:space="preserve">应遵守这个要求。 </w:t>
      </w:r>
    </w:p>
    <w:p>
      <w:pPr>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1.9</w:t>
      </w:r>
      <w:r>
        <w:rPr>
          <w:rFonts w:ascii="Times New Roman" w:hAnsi="Times New Roman" w:eastAsia="宋体" w:cs="Times New Roman"/>
          <w:sz w:val="24"/>
          <w:szCs w:val="24"/>
        </w:rPr>
        <w:t>本技术规范书可能存在未能全面反映现场实际状况的微小偏差，</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应根据规范要求、行业标准，结合自身经验和收集的相关信息综合考虑项目工作内容。</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不得拒绝完成本项目任务</w:t>
      </w:r>
      <w:r>
        <w:rPr>
          <w:rFonts w:hint="eastAsia" w:eastAsia="宋体" w:cs="Times New Roman"/>
          <w:sz w:val="24"/>
          <w:szCs w:val="24"/>
        </w:rPr>
        <w:t>所必需的工作</w:t>
      </w:r>
      <w:r>
        <w:rPr>
          <w:rFonts w:ascii="Times New Roman" w:hAnsi="Times New Roman" w:eastAsia="宋体" w:cs="Times New Roman"/>
          <w:sz w:val="24"/>
          <w:szCs w:val="24"/>
        </w:rPr>
        <w:t>，相关费用包含在</w:t>
      </w:r>
      <w:r>
        <w:rPr>
          <w:rFonts w:hint="eastAsia" w:eastAsia="宋体" w:cs="Times New Roman"/>
          <w:sz w:val="24"/>
          <w:szCs w:val="24"/>
        </w:rPr>
        <w:t>本服务</w:t>
      </w:r>
      <w:r>
        <w:rPr>
          <w:rFonts w:ascii="Times New Roman" w:hAnsi="Times New Roman" w:eastAsia="宋体" w:cs="Times New Roman"/>
          <w:sz w:val="24"/>
          <w:szCs w:val="24"/>
        </w:rPr>
        <w:t>项目合同总价中。</w:t>
      </w:r>
    </w:p>
    <w:p>
      <w:pPr>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1.10</w:t>
      </w:r>
      <w:r>
        <w:rPr>
          <w:rFonts w:ascii="Times New Roman" w:hAnsi="Times New Roman" w:eastAsia="宋体" w:cs="Times New Roman"/>
          <w:sz w:val="24"/>
          <w:szCs w:val="24"/>
        </w:rPr>
        <w:t>本项目</w:t>
      </w:r>
      <w:r>
        <w:rPr>
          <w:rFonts w:hint="eastAsia" w:eastAsia="宋体" w:cs="Times New Roman"/>
          <w:sz w:val="24"/>
          <w:szCs w:val="24"/>
        </w:rPr>
        <w:t>涉及的</w:t>
      </w:r>
      <w:r>
        <w:rPr>
          <w:rFonts w:ascii="Times New Roman" w:hAnsi="Times New Roman" w:eastAsia="宋体" w:cs="Times New Roman"/>
          <w:sz w:val="24"/>
          <w:szCs w:val="24"/>
        </w:rPr>
        <w:t>知识产权费用均已包含在</w:t>
      </w:r>
      <w:r>
        <w:rPr>
          <w:rFonts w:hint="eastAsia" w:eastAsia="宋体" w:cs="Times New Roman"/>
          <w:sz w:val="24"/>
          <w:szCs w:val="24"/>
        </w:rPr>
        <w:t>本服务</w:t>
      </w:r>
      <w:r>
        <w:rPr>
          <w:rFonts w:ascii="Times New Roman" w:hAnsi="Times New Roman" w:eastAsia="宋体" w:cs="Times New Roman"/>
          <w:sz w:val="24"/>
          <w:szCs w:val="24"/>
        </w:rPr>
        <w:t>项目合同总价中，因知识产权产生的纠纷由</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自行承担或解决，</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不承担相应责任。</w:t>
      </w:r>
    </w:p>
    <w:p>
      <w:pPr>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1.11中标方与采购人根据本技术规范书签订技术协议</w:t>
      </w:r>
      <w:r>
        <w:rPr>
          <w:rFonts w:ascii="Times New Roman" w:hAnsi="Times New Roman" w:eastAsia="宋体" w:cs="Times New Roman"/>
          <w:sz w:val="24"/>
          <w:szCs w:val="24"/>
        </w:rPr>
        <w:t>，</w:t>
      </w:r>
      <w:r>
        <w:rPr>
          <w:rFonts w:hint="eastAsia" w:eastAsia="宋体" w:cs="Times New Roman"/>
          <w:sz w:val="24"/>
          <w:szCs w:val="24"/>
        </w:rPr>
        <w:t>技术协议</w:t>
      </w:r>
      <w:r>
        <w:rPr>
          <w:rFonts w:ascii="Times New Roman" w:hAnsi="Times New Roman" w:eastAsia="宋体" w:cs="Times New Roman"/>
          <w:sz w:val="24"/>
          <w:szCs w:val="24"/>
        </w:rPr>
        <w:t>与合同正文具有同等效力。</w:t>
      </w:r>
    </w:p>
    <w:p>
      <w:pPr>
        <w:tabs>
          <w:tab w:val="left" w:pos="426"/>
        </w:tabs>
        <w:wordWrap w:val="0"/>
        <w:topLinePunct/>
        <w:spacing w:line="360" w:lineRule="auto"/>
        <w:outlineLvl w:val="0"/>
        <w:rPr>
          <w:rFonts w:ascii="Times New Roman" w:hAnsi="Times New Roman" w:eastAsia="宋体" w:cs="Times New Roman"/>
          <w:b/>
          <w:sz w:val="24"/>
          <w:szCs w:val="24"/>
        </w:rPr>
      </w:pPr>
      <w:bookmarkStart w:id="159" w:name="_Toc30796"/>
      <w:bookmarkStart w:id="160" w:name="_Toc17128"/>
      <w:bookmarkStart w:id="161" w:name="_Toc15953"/>
      <w:bookmarkStart w:id="162" w:name="_Toc15141"/>
      <w:bookmarkStart w:id="163" w:name="_Toc7099"/>
      <w:bookmarkStart w:id="164" w:name="_Toc1327_WPSOffice_Level1"/>
      <w:bookmarkStart w:id="165" w:name="_Toc901"/>
      <w:bookmarkStart w:id="166" w:name="_Toc16269"/>
      <w:bookmarkStart w:id="167" w:name="_Toc12238"/>
      <w:bookmarkStart w:id="168" w:name="_Toc11390"/>
      <w:bookmarkStart w:id="169" w:name="_Toc1021"/>
      <w:bookmarkStart w:id="170" w:name="_Toc31108"/>
      <w:bookmarkStart w:id="171" w:name="_Toc32715"/>
      <w:bookmarkStart w:id="172" w:name="_Toc560"/>
      <w:bookmarkStart w:id="173" w:name="_Toc25778_WPSOffice_Level1"/>
      <w:bookmarkStart w:id="174" w:name="_Toc10015_WPSOffice_Level1"/>
      <w:r>
        <w:rPr>
          <w:rFonts w:hint="eastAsia" w:eastAsia="宋体" w:cs="Times New Roman"/>
          <w:b/>
          <w:sz w:val="24"/>
          <w:szCs w:val="24"/>
        </w:rPr>
        <w:t xml:space="preserve">2  </w:t>
      </w:r>
      <w:r>
        <w:rPr>
          <w:rFonts w:ascii="Times New Roman" w:hAnsi="Times New Roman" w:eastAsia="宋体" w:cs="Times New Roman"/>
          <w:b/>
          <w:sz w:val="24"/>
          <w:szCs w:val="24"/>
        </w:rPr>
        <w:t>项目概况</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pPr>
        <w:wordWrap w:val="0"/>
        <w:topLinePunct/>
        <w:spacing w:line="360" w:lineRule="auto"/>
        <w:rPr>
          <w:rFonts w:ascii="Times New Roman" w:hAnsi="Times New Roman" w:eastAsia="宋体" w:cs="Times New Roman"/>
          <w:b/>
          <w:bCs/>
          <w:sz w:val="24"/>
          <w:szCs w:val="24"/>
        </w:rPr>
      </w:pPr>
      <w:bookmarkStart w:id="175" w:name="_Toc22907"/>
      <w:bookmarkStart w:id="176" w:name="_Toc3213"/>
      <w:bookmarkStart w:id="177" w:name="_Toc17571"/>
      <w:bookmarkStart w:id="178" w:name="_Toc4864"/>
      <w:bookmarkStart w:id="179" w:name="_Toc32053"/>
      <w:bookmarkStart w:id="180" w:name="_Toc21763"/>
      <w:bookmarkStart w:id="181" w:name="_Toc26831"/>
      <w:bookmarkStart w:id="182" w:name="_Toc14218"/>
      <w:bookmarkStart w:id="183" w:name="_Toc26899"/>
      <w:bookmarkStart w:id="184" w:name="_Toc429"/>
      <w:bookmarkStart w:id="185" w:name="_Toc31021"/>
      <w:bookmarkStart w:id="186" w:name="_Toc21021"/>
      <w:bookmarkStart w:id="187" w:name="_Toc3292"/>
      <w:r>
        <w:rPr>
          <w:rFonts w:hint="eastAsia" w:eastAsia="宋体" w:cs="Times New Roman"/>
          <w:b/>
          <w:bCs/>
          <w:sz w:val="24"/>
          <w:szCs w:val="24"/>
        </w:rPr>
        <w:t>2.1</w:t>
      </w:r>
      <w:r>
        <w:rPr>
          <w:rFonts w:ascii="Times New Roman" w:hAnsi="Times New Roman" w:eastAsia="宋体" w:cs="Times New Roman"/>
          <w:b/>
          <w:bCs/>
          <w:sz w:val="24"/>
          <w:szCs w:val="24"/>
        </w:rPr>
        <w:t>项目简介</w:t>
      </w:r>
      <w:bookmarkEnd w:id="175"/>
      <w:bookmarkEnd w:id="176"/>
      <w:bookmarkEnd w:id="177"/>
      <w:bookmarkEnd w:id="178"/>
      <w:bookmarkEnd w:id="179"/>
      <w:bookmarkEnd w:id="180"/>
      <w:bookmarkEnd w:id="181"/>
      <w:bookmarkEnd w:id="182"/>
      <w:bookmarkEnd w:id="183"/>
      <w:bookmarkEnd w:id="184"/>
      <w:bookmarkEnd w:id="185"/>
    </w:p>
    <w:p>
      <w:pPr>
        <w:adjustRightInd w:val="0"/>
        <w:snapToGrid w:val="0"/>
        <w:spacing w:line="360" w:lineRule="auto"/>
        <w:ind w:firstLine="560"/>
        <w:rPr>
          <w:rFonts w:ascii="Times New Roman" w:hAnsi="Times New Roman" w:eastAsia="宋体" w:cs="Times New Roman"/>
          <w:sz w:val="24"/>
          <w:szCs w:val="24"/>
        </w:rPr>
      </w:pPr>
      <w:r>
        <w:rPr>
          <w:rFonts w:hint="eastAsia" w:eastAsia="宋体" w:cs="Times New Roman"/>
          <w:sz w:val="24"/>
          <w:szCs w:val="24"/>
        </w:rPr>
        <w:t>曲靖电厂现有4</w:t>
      </w:r>
      <w:r>
        <w:rPr>
          <w:rFonts w:ascii="Times New Roman" w:hAnsi="Times New Roman" w:eastAsia="宋体" w:cs="Times New Roman"/>
          <w:sz w:val="24"/>
          <w:szCs w:val="24"/>
        </w:rPr>
        <w:t>×</w:t>
      </w:r>
      <w:r>
        <w:rPr>
          <w:rFonts w:hint="eastAsia" w:eastAsia="宋体" w:cs="Times New Roman"/>
          <w:sz w:val="24"/>
          <w:szCs w:val="24"/>
        </w:rPr>
        <w:t>3</w:t>
      </w:r>
      <w:r>
        <w:rPr>
          <w:rFonts w:ascii="Times New Roman" w:hAnsi="Times New Roman" w:eastAsia="宋体" w:cs="Times New Roman"/>
          <w:sz w:val="24"/>
          <w:szCs w:val="24"/>
        </w:rPr>
        <w:t>00MW</w:t>
      </w:r>
      <w:r>
        <w:rPr>
          <w:rFonts w:hint="eastAsia" w:eastAsia="宋体" w:cs="Times New Roman"/>
          <w:sz w:val="24"/>
          <w:szCs w:val="24"/>
        </w:rPr>
        <w:t>燃煤发电机组，一期2</w:t>
      </w:r>
      <w:r>
        <w:rPr>
          <w:rFonts w:ascii="Times New Roman" w:hAnsi="Times New Roman" w:eastAsia="宋体" w:cs="Times New Roman"/>
          <w:sz w:val="24"/>
          <w:szCs w:val="24"/>
        </w:rPr>
        <w:t>×</w:t>
      </w:r>
      <w:r>
        <w:rPr>
          <w:rFonts w:hint="eastAsia" w:eastAsia="宋体" w:cs="Times New Roman"/>
          <w:sz w:val="24"/>
          <w:szCs w:val="24"/>
        </w:rPr>
        <w:t>3</w:t>
      </w:r>
      <w:r>
        <w:rPr>
          <w:rFonts w:ascii="Times New Roman" w:hAnsi="Times New Roman" w:eastAsia="宋体" w:cs="Times New Roman"/>
          <w:sz w:val="24"/>
          <w:szCs w:val="24"/>
        </w:rPr>
        <w:t>00MW</w:t>
      </w:r>
      <w:r>
        <w:rPr>
          <w:rFonts w:hint="eastAsia" w:eastAsia="宋体" w:cs="Times New Roman"/>
          <w:sz w:val="24"/>
          <w:szCs w:val="24"/>
        </w:rPr>
        <w:t>机组于1998年建成投产，二期2</w:t>
      </w:r>
      <w:r>
        <w:rPr>
          <w:rFonts w:ascii="Times New Roman" w:hAnsi="Times New Roman" w:eastAsia="宋体" w:cs="Times New Roman"/>
          <w:sz w:val="24"/>
          <w:szCs w:val="24"/>
        </w:rPr>
        <w:t>×</w:t>
      </w:r>
      <w:r>
        <w:rPr>
          <w:rFonts w:hint="eastAsia" w:eastAsia="宋体" w:cs="Times New Roman"/>
          <w:sz w:val="24"/>
          <w:szCs w:val="24"/>
        </w:rPr>
        <w:t>3</w:t>
      </w:r>
      <w:r>
        <w:rPr>
          <w:rFonts w:ascii="Times New Roman" w:hAnsi="Times New Roman" w:eastAsia="宋体" w:cs="Times New Roman"/>
          <w:sz w:val="24"/>
          <w:szCs w:val="24"/>
        </w:rPr>
        <w:t>00MW</w:t>
      </w:r>
      <w:r>
        <w:rPr>
          <w:rFonts w:hint="eastAsia" w:eastAsia="宋体" w:cs="Times New Roman"/>
          <w:sz w:val="24"/>
          <w:szCs w:val="24"/>
        </w:rPr>
        <w:t>机组于2004年建成投产。</w:t>
      </w:r>
      <w:r>
        <w:rPr>
          <w:rFonts w:ascii="Times New Roman" w:hAnsi="Times New Roman" w:eastAsia="宋体" w:cs="Times New Roman"/>
          <w:sz w:val="24"/>
          <w:szCs w:val="24"/>
        </w:rPr>
        <w:t>曲靖电厂三期扩建</w:t>
      </w:r>
      <w:r>
        <w:rPr>
          <w:rFonts w:hint="eastAsia" w:eastAsia="宋体" w:cs="Times New Roman"/>
          <w:sz w:val="24"/>
          <w:szCs w:val="24"/>
        </w:rPr>
        <w:t>项目厂址位于云南省曲靖市沾益区白水镇，</w:t>
      </w:r>
      <w:r>
        <w:rPr>
          <w:rFonts w:ascii="Times New Roman" w:hAnsi="Times New Roman" w:eastAsia="宋体" w:cs="Times New Roman"/>
          <w:sz w:val="24"/>
          <w:szCs w:val="24"/>
        </w:rPr>
        <w:t>规划建设2×700MW高效超超临界燃煤发电机组，分两期实施，同步建设脱硫、脱硝等环保设施，机组按照深度调峰和超低排放设计。</w:t>
      </w:r>
    </w:p>
    <w:p>
      <w:pPr>
        <w:wordWrap w:val="0"/>
        <w:topLinePunct/>
        <w:spacing w:line="360" w:lineRule="auto"/>
        <w:rPr>
          <w:rFonts w:ascii="Times New Roman" w:hAnsi="Times New Roman" w:eastAsia="宋体" w:cs="Times New Roman"/>
          <w:sz w:val="24"/>
          <w:szCs w:val="24"/>
        </w:rPr>
      </w:pPr>
      <w:bookmarkStart w:id="188" w:name="_Toc5258"/>
      <w:bookmarkStart w:id="189" w:name="_Toc20901"/>
      <w:bookmarkStart w:id="190" w:name="_Toc11531"/>
      <w:bookmarkStart w:id="191" w:name="_Toc12072"/>
      <w:bookmarkStart w:id="192" w:name="_Toc10452"/>
      <w:bookmarkStart w:id="193" w:name="_Toc20091"/>
      <w:bookmarkStart w:id="194" w:name="_Toc27286"/>
      <w:bookmarkStart w:id="195" w:name="_Toc28612"/>
      <w:bookmarkStart w:id="196" w:name="_Toc27747"/>
      <w:bookmarkStart w:id="197" w:name="_Toc28019"/>
      <w:bookmarkStart w:id="198" w:name="_Toc8852"/>
      <w:r>
        <w:rPr>
          <w:rFonts w:hint="eastAsia" w:eastAsia="宋体" w:cs="Times New Roman"/>
          <w:b/>
          <w:bCs/>
          <w:sz w:val="24"/>
          <w:szCs w:val="24"/>
        </w:rPr>
        <w:t>2.2</w:t>
      </w:r>
      <w:r>
        <w:rPr>
          <w:rFonts w:ascii="Times New Roman" w:hAnsi="Times New Roman" w:eastAsia="宋体" w:cs="Times New Roman"/>
          <w:b/>
          <w:bCs/>
          <w:sz w:val="24"/>
          <w:szCs w:val="24"/>
        </w:rPr>
        <w:t>项目概况</w:t>
      </w:r>
      <w:bookmarkEnd w:id="188"/>
      <w:bookmarkEnd w:id="189"/>
      <w:bookmarkEnd w:id="190"/>
      <w:bookmarkEnd w:id="191"/>
      <w:bookmarkEnd w:id="192"/>
      <w:bookmarkEnd w:id="193"/>
      <w:bookmarkEnd w:id="194"/>
      <w:bookmarkEnd w:id="195"/>
      <w:bookmarkEnd w:id="196"/>
      <w:bookmarkEnd w:id="197"/>
      <w:bookmarkEnd w:id="198"/>
    </w:p>
    <w:p>
      <w:pPr>
        <w:wordWrap w:val="0"/>
        <w:topLinePunct/>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项目名称：曲靖电厂三期扩建</w:t>
      </w:r>
      <w:r>
        <w:rPr>
          <w:rFonts w:hint="eastAsia" w:eastAsia="宋体" w:cs="Times New Roman"/>
          <w:sz w:val="24"/>
          <w:szCs w:val="24"/>
        </w:rPr>
        <w:t>项目</w:t>
      </w:r>
      <w:r>
        <w:rPr>
          <w:rFonts w:ascii="Times New Roman" w:hAnsi="Times New Roman" w:eastAsia="宋体" w:cs="Times New Roman"/>
          <w:sz w:val="24"/>
          <w:szCs w:val="24"/>
        </w:rPr>
        <w:t>。</w:t>
      </w:r>
    </w:p>
    <w:p>
      <w:pPr>
        <w:wordWrap w:val="0"/>
        <w:topLinePunct/>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项目承办单位：</w:t>
      </w:r>
      <w:r>
        <w:rPr>
          <w:rFonts w:hint="eastAsia" w:eastAsia="宋体" w:cs="Times New Roman"/>
          <w:sz w:val="24"/>
          <w:szCs w:val="24"/>
        </w:rPr>
        <w:t>云南能投曲靖发电有限公司</w:t>
      </w:r>
      <w:r>
        <w:rPr>
          <w:rFonts w:ascii="Times New Roman" w:hAnsi="Times New Roman" w:eastAsia="宋体" w:cs="Times New Roman"/>
          <w:sz w:val="24"/>
          <w:szCs w:val="24"/>
        </w:rPr>
        <w:t>。</w:t>
      </w:r>
    </w:p>
    <w:p>
      <w:pPr>
        <w:wordWrap w:val="0"/>
        <w:topLinePunct/>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建设地点：</w:t>
      </w:r>
      <w:r>
        <w:rPr>
          <w:rFonts w:hint="eastAsia" w:eastAsia="宋体" w:cs="Times New Roman"/>
          <w:sz w:val="24"/>
          <w:szCs w:val="24"/>
        </w:rPr>
        <w:t>云南省曲靖市沾益区白水镇</w:t>
      </w:r>
      <w:r>
        <w:rPr>
          <w:rFonts w:ascii="Times New Roman" w:hAnsi="Times New Roman" w:eastAsia="宋体" w:cs="Times New Roman"/>
          <w:sz w:val="24"/>
          <w:szCs w:val="24"/>
        </w:rPr>
        <w:t>。</w:t>
      </w:r>
    </w:p>
    <w:p>
      <w:pPr>
        <w:wordWrap w:val="0"/>
        <w:topLinePunct/>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建设规模：2</w:t>
      </w:r>
      <w:r>
        <w:rPr>
          <w:rFonts w:ascii="Times New Roman" w:hAnsi="Times New Roman" w:eastAsia="宋体" w:cs="Times New Roman"/>
          <w:sz w:val="24"/>
          <w:szCs w:val="24"/>
        </w:rPr>
        <w:t>×</w:t>
      </w:r>
      <w:r>
        <w:rPr>
          <w:rFonts w:hint="eastAsia" w:eastAsia="宋体" w:cs="Times New Roman"/>
          <w:sz w:val="24"/>
          <w:szCs w:val="24"/>
        </w:rPr>
        <w:t>7</w:t>
      </w:r>
      <w:r>
        <w:rPr>
          <w:rFonts w:hint="eastAsia" w:ascii="Times New Roman" w:hAnsi="Times New Roman" w:eastAsia="宋体" w:cs="Times New Roman"/>
          <w:sz w:val="24"/>
          <w:szCs w:val="24"/>
        </w:rPr>
        <w:t>00MW</w:t>
      </w:r>
      <w:r>
        <w:rPr>
          <w:rFonts w:ascii="Times New Roman" w:hAnsi="Times New Roman" w:eastAsia="宋体" w:cs="Times New Roman"/>
          <w:sz w:val="24"/>
          <w:szCs w:val="24"/>
        </w:rPr>
        <w:t>燃煤</w:t>
      </w:r>
      <w:r>
        <w:rPr>
          <w:rFonts w:hint="eastAsia" w:ascii="Times New Roman" w:hAnsi="Times New Roman" w:eastAsia="宋体" w:cs="Times New Roman"/>
          <w:sz w:val="24"/>
          <w:szCs w:val="24"/>
        </w:rPr>
        <w:t>发电</w:t>
      </w:r>
      <w:r>
        <w:rPr>
          <w:rFonts w:ascii="Times New Roman" w:hAnsi="Times New Roman" w:eastAsia="宋体" w:cs="Times New Roman"/>
          <w:sz w:val="24"/>
          <w:szCs w:val="24"/>
        </w:rPr>
        <w:t>机组</w:t>
      </w:r>
      <w:r>
        <w:rPr>
          <w:rFonts w:hint="eastAsia" w:eastAsia="宋体" w:cs="Times New Roman"/>
          <w:sz w:val="24"/>
          <w:szCs w:val="24"/>
        </w:rPr>
        <w:t>（分两期实施）</w:t>
      </w:r>
      <w:r>
        <w:rPr>
          <w:rFonts w:hint="eastAsia" w:ascii="Times New Roman" w:hAnsi="Times New Roman" w:eastAsia="宋体" w:cs="Times New Roman"/>
          <w:sz w:val="24"/>
          <w:szCs w:val="24"/>
        </w:rPr>
        <w:t>。</w:t>
      </w:r>
    </w:p>
    <w:p>
      <w:pPr>
        <w:wordWrap w:val="0"/>
        <w:topLinePunct/>
        <w:spacing w:line="360" w:lineRule="auto"/>
        <w:rPr>
          <w:rFonts w:ascii="Times New Roman" w:hAnsi="Times New Roman" w:eastAsia="宋体" w:cs="Times New Roman"/>
          <w:b/>
          <w:bCs/>
          <w:sz w:val="24"/>
          <w:szCs w:val="24"/>
        </w:rPr>
      </w:pPr>
      <w:bookmarkStart w:id="199" w:name="_Toc5270"/>
      <w:bookmarkStart w:id="200" w:name="_Toc19409"/>
      <w:bookmarkStart w:id="201" w:name="_Toc11100"/>
      <w:bookmarkStart w:id="202" w:name="_Toc18243"/>
      <w:bookmarkStart w:id="203" w:name="_Toc11499"/>
      <w:bookmarkStart w:id="204" w:name="_Toc26299"/>
      <w:bookmarkStart w:id="205" w:name="_Toc32115"/>
      <w:bookmarkStart w:id="206" w:name="_Toc8321"/>
      <w:bookmarkStart w:id="207" w:name="_Toc26304"/>
      <w:bookmarkStart w:id="208" w:name="_Toc5401"/>
      <w:bookmarkStart w:id="209" w:name="_Toc31485"/>
      <w:r>
        <w:rPr>
          <w:rFonts w:hint="eastAsia" w:eastAsia="宋体" w:cs="Times New Roman"/>
          <w:b/>
          <w:bCs/>
          <w:sz w:val="24"/>
          <w:szCs w:val="24"/>
        </w:rPr>
        <w:t>2.3</w:t>
      </w:r>
      <w:r>
        <w:rPr>
          <w:rFonts w:ascii="Times New Roman" w:hAnsi="Times New Roman" w:eastAsia="宋体" w:cs="Times New Roman"/>
          <w:b/>
          <w:bCs/>
          <w:sz w:val="24"/>
          <w:szCs w:val="24"/>
        </w:rPr>
        <w:t>研究目的</w:t>
      </w:r>
      <w:bookmarkEnd w:id="199"/>
      <w:bookmarkEnd w:id="200"/>
      <w:bookmarkEnd w:id="201"/>
      <w:bookmarkEnd w:id="202"/>
      <w:bookmarkEnd w:id="203"/>
      <w:bookmarkEnd w:id="204"/>
      <w:bookmarkEnd w:id="205"/>
      <w:bookmarkEnd w:id="206"/>
      <w:bookmarkEnd w:id="207"/>
      <w:bookmarkEnd w:id="208"/>
      <w:bookmarkEnd w:id="209"/>
    </w:p>
    <w:p>
      <w:pPr>
        <w:wordWrap w:val="0"/>
        <w:topLinePunct/>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本次可行性研究的目的为：选择最佳投资方案、提高投资效益、避免投资决策的失误；同时，根据</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的具体情况和实际条件，通过对拟建项目的技术可行性、经济合理性和项目可实施性等方面问题进行科学合理、周密论证，向</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推荐有针对性的，以适用、实用、先进为原则的方案，以达到如下目标：</w:t>
      </w:r>
    </w:p>
    <w:p>
      <w:pPr>
        <w:wordWrap w:val="0"/>
        <w:topLinePunct/>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（1）对项目的决策提供可靠的技术依据；</w:t>
      </w:r>
    </w:p>
    <w:p>
      <w:pPr>
        <w:wordWrap w:val="0"/>
        <w:topLinePunct/>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（2）为项目建设立项批准提供依据；</w:t>
      </w:r>
    </w:p>
    <w:p>
      <w:pPr>
        <w:wordWrap w:val="0"/>
        <w:topLinePunct/>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（3）为项目建设设计提供技术依据；</w:t>
      </w:r>
    </w:p>
    <w:p>
      <w:pPr>
        <w:wordWrap w:val="0"/>
        <w:topLinePunct/>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（4）为项目建设采购和初步设计工作提供依据。</w:t>
      </w:r>
      <w:bookmarkStart w:id="210" w:name="_Toc24124"/>
      <w:bookmarkStart w:id="211" w:name="_Toc21001_WPSOffice_Level1"/>
      <w:bookmarkStart w:id="212" w:name="_Toc27234_WPSOffice_Level1"/>
      <w:bookmarkStart w:id="213" w:name="_Toc28978"/>
      <w:bookmarkStart w:id="214" w:name="_Toc2688"/>
      <w:bookmarkStart w:id="215" w:name="_Toc12255"/>
      <w:bookmarkStart w:id="216" w:name="_Toc28323"/>
      <w:bookmarkStart w:id="217" w:name="_Toc4274"/>
      <w:bookmarkStart w:id="218" w:name="_Toc7909"/>
      <w:bookmarkStart w:id="219" w:name="_Toc14726"/>
      <w:bookmarkStart w:id="220" w:name="_Toc12081"/>
      <w:bookmarkStart w:id="221" w:name="_Toc27226_WPSOffice_Level1"/>
      <w:bookmarkStart w:id="222" w:name="_Toc18857"/>
      <w:bookmarkStart w:id="223" w:name="_Toc547"/>
    </w:p>
    <w:p>
      <w:pPr>
        <w:tabs>
          <w:tab w:val="left" w:pos="426"/>
        </w:tabs>
        <w:wordWrap w:val="0"/>
        <w:topLinePunct/>
        <w:spacing w:line="360" w:lineRule="auto"/>
        <w:outlineLvl w:val="0"/>
        <w:rPr>
          <w:rFonts w:ascii="Times New Roman" w:hAnsi="Times New Roman" w:eastAsia="宋体" w:cs="Times New Roman"/>
          <w:b/>
          <w:sz w:val="24"/>
          <w:szCs w:val="24"/>
        </w:rPr>
      </w:pPr>
      <w:bookmarkStart w:id="224" w:name="_Toc18586"/>
      <w:bookmarkStart w:id="225" w:name="_Toc14675"/>
      <w:r>
        <w:rPr>
          <w:rFonts w:hint="eastAsia" w:eastAsia="宋体" w:cs="Times New Roman"/>
          <w:b/>
          <w:sz w:val="24"/>
          <w:szCs w:val="24"/>
        </w:rPr>
        <w:t xml:space="preserve">3  </w:t>
      </w:r>
      <w:r>
        <w:rPr>
          <w:rFonts w:ascii="Times New Roman" w:hAnsi="Times New Roman" w:eastAsia="宋体" w:cs="Times New Roman"/>
          <w:b/>
          <w:sz w:val="24"/>
          <w:szCs w:val="24"/>
        </w:rPr>
        <w:t>工作范围</w:t>
      </w:r>
      <w:bookmarkEnd w:id="186"/>
      <w:bookmarkEnd w:id="187"/>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pPr>
        <w:wordWrap w:val="0"/>
        <w:topLinePunct/>
        <w:spacing w:line="360" w:lineRule="auto"/>
        <w:rPr>
          <w:rFonts w:ascii="Times New Roman" w:hAnsi="Times New Roman" w:eastAsia="宋体" w:cs="Times New Roman"/>
          <w:b/>
          <w:bCs/>
          <w:sz w:val="24"/>
          <w:szCs w:val="24"/>
        </w:rPr>
      </w:pPr>
      <w:bookmarkStart w:id="226" w:name="_Toc28381"/>
      <w:bookmarkStart w:id="227" w:name="_Toc21201"/>
      <w:bookmarkStart w:id="228" w:name="_Toc10775"/>
      <w:bookmarkStart w:id="229" w:name="_Toc27607"/>
      <w:bookmarkStart w:id="230" w:name="_Toc14940"/>
      <w:bookmarkStart w:id="231" w:name="_Toc10015_WPSOffice_Level2"/>
      <w:bookmarkStart w:id="232" w:name="_Toc78"/>
      <w:bookmarkStart w:id="233" w:name="_Toc31246"/>
      <w:bookmarkStart w:id="234" w:name="_Toc18245"/>
      <w:bookmarkStart w:id="235" w:name="_Toc23970"/>
      <w:bookmarkStart w:id="236" w:name="_Toc31075"/>
      <w:bookmarkStart w:id="237" w:name="_Toc20187"/>
      <w:bookmarkStart w:id="238" w:name="_Toc151_WPSOffice_Level2"/>
      <w:bookmarkStart w:id="239" w:name="_Toc6022"/>
      <w:bookmarkStart w:id="240" w:name="_Toc17953_WPSOffice_Level2"/>
      <w:r>
        <w:rPr>
          <w:rFonts w:hint="eastAsia" w:eastAsia="宋体" w:cs="Times New Roman"/>
          <w:b/>
          <w:bCs/>
          <w:sz w:val="24"/>
          <w:szCs w:val="24"/>
        </w:rPr>
        <w:t>3.1</w:t>
      </w:r>
      <w:r>
        <w:rPr>
          <w:rFonts w:ascii="Times New Roman" w:hAnsi="Times New Roman" w:eastAsia="宋体" w:cs="Times New Roman"/>
          <w:b/>
          <w:bCs/>
          <w:sz w:val="24"/>
          <w:szCs w:val="24"/>
        </w:rPr>
        <w:t>服务范围</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Start w:id="241" w:name="_Toc18314"/>
      <w:bookmarkStart w:id="242" w:name="_Toc5475"/>
    </w:p>
    <w:p>
      <w:pPr>
        <w:wordWrap w:val="0"/>
        <w:topLinePunct/>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对</w:t>
      </w:r>
      <w:r>
        <w:rPr>
          <w:rFonts w:hint="eastAsia" w:eastAsia="宋体" w:cs="Times New Roman"/>
          <w:sz w:val="24"/>
          <w:szCs w:val="24"/>
        </w:rPr>
        <w:t>曲靖电厂三期（</w:t>
      </w:r>
      <w:r>
        <w:rPr>
          <w:rFonts w:ascii="Times New Roman" w:hAnsi="Times New Roman" w:eastAsia="宋体" w:cs="Times New Roman"/>
          <w:sz w:val="24"/>
          <w:szCs w:val="24"/>
        </w:rPr>
        <w:t>2×</w:t>
      </w:r>
      <w:r>
        <w:rPr>
          <w:rFonts w:hint="eastAsia" w:eastAsia="宋体" w:cs="Times New Roman"/>
          <w:sz w:val="24"/>
          <w:szCs w:val="24"/>
        </w:rPr>
        <w:t>7</w:t>
      </w:r>
      <w:r>
        <w:rPr>
          <w:rFonts w:ascii="Times New Roman" w:hAnsi="Times New Roman" w:eastAsia="宋体" w:cs="Times New Roman"/>
          <w:sz w:val="24"/>
          <w:szCs w:val="24"/>
        </w:rPr>
        <w:t>00MW燃煤发电</w:t>
      </w:r>
      <w:r>
        <w:rPr>
          <w:rFonts w:hint="eastAsia" w:eastAsia="宋体" w:cs="Times New Roman"/>
          <w:sz w:val="24"/>
          <w:szCs w:val="24"/>
        </w:rPr>
        <w:t>机组）扩建</w:t>
      </w:r>
      <w:r>
        <w:rPr>
          <w:rFonts w:ascii="Times New Roman" w:hAnsi="Times New Roman" w:eastAsia="宋体" w:cs="Times New Roman"/>
          <w:sz w:val="24"/>
          <w:szCs w:val="24"/>
        </w:rPr>
        <w:t>项目进行可行性研究。</w:t>
      </w:r>
      <w:r>
        <w:rPr>
          <w:rFonts w:ascii="Times New Roman" w:hAnsi="Times New Roman" w:eastAsia="宋体" w:cs="Times New Roman"/>
          <w:b/>
          <w:bCs/>
          <w:sz w:val="24"/>
          <w:szCs w:val="24"/>
        </w:rPr>
        <w:t>包括但不限于可行性研究现场</w:t>
      </w:r>
      <w:r>
        <w:rPr>
          <w:rFonts w:hint="eastAsia" w:ascii="Times New Roman" w:hAnsi="Times New Roman" w:eastAsia="宋体" w:cs="Times New Roman"/>
          <w:b/>
          <w:bCs/>
          <w:sz w:val="24"/>
          <w:szCs w:val="24"/>
        </w:rPr>
        <w:t>踏勘及</w:t>
      </w:r>
      <w:r>
        <w:rPr>
          <w:rFonts w:ascii="Times New Roman" w:hAnsi="Times New Roman" w:eastAsia="宋体" w:cs="Times New Roman"/>
          <w:b/>
          <w:bCs/>
          <w:sz w:val="24"/>
          <w:szCs w:val="24"/>
        </w:rPr>
        <w:t>收资、可行性研究报告编制</w:t>
      </w:r>
      <w:r>
        <w:rPr>
          <w:rFonts w:hint="eastAsia" w:ascii="Times New Roman" w:hAnsi="Times New Roman" w:eastAsia="宋体" w:cs="Times New Roman"/>
          <w:b/>
          <w:bCs/>
          <w:sz w:val="24"/>
          <w:szCs w:val="24"/>
        </w:rPr>
        <w:t>及相关服务</w:t>
      </w:r>
      <w:r>
        <w:rPr>
          <w:rFonts w:hint="eastAsia" w:eastAsia="宋体" w:cs="Times New Roman"/>
          <w:b/>
          <w:bCs/>
          <w:sz w:val="24"/>
          <w:szCs w:val="24"/>
        </w:rPr>
        <w:t>，</w:t>
      </w:r>
      <w:r>
        <w:rPr>
          <w:rFonts w:ascii="Times New Roman" w:hAnsi="Times New Roman" w:eastAsia="宋体" w:cs="Times New Roman"/>
          <w:b/>
          <w:bCs/>
          <w:sz w:val="24"/>
          <w:szCs w:val="24"/>
        </w:rPr>
        <w:t>具体见工作内容</w:t>
      </w:r>
      <w:r>
        <w:rPr>
          <w:rFonts w:ascii="Times New Roman" w:hAnsi="Times New Roman" w:eastAsia="宋体" w:cs="Times New Roman"/>
          <w:sz w:val="24"/>
          <w:szCs w:val="24"/>
        </w:rPr>
        <w:t>。</w:t>
      </w:r>
    </w:p>
    <w:p>
      <w:pPr>
        <w:wordWrap w:val="0"/>
        <w:topLinePunct/>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w:t>
      </w:r>
      <w:r>
        <w:rPr>
          <w:rFonts w:hint="eastAsia" w:ascii="Times New Roman" w:hAnsi="Times New Roman" w:eastAsia="宋体" w:cs="Times New Roman"/>
          <w:sz w:val="24"/>
          <w:szCs w:val="24"/>
        </w:rPr>
        <w:t>次</w:t>
      </w:r>
      <w:r>
        <w:rPr>
          <w:rFonts w:ascii="Times New Roman" w:hAnsi="Times New Roman" w:eastAsia="宋体" w:cs="Times New Roman"/>
          <w:sz w:val="24"/>
          <w:szCs w:val="24"/>
        </w:rPr>
        <w:t>项目可行性研究内容及深度应符合国家、行业相关规范要求。</w:t>
      </w:r>
    </w:p>
    <w:bookmarkEnd w:id="241"/>
    <w:bookmarkEnd w:id="242"/>
    <w:p>
      <w:pPr>
        <w:wordWrap w:val="0"/>
        <w:topLinePunct/>
        <w:spacing w:line="360" w:lineRule="auto"/>
        <w:rPr>
          <w:rFonts w:ascii="Times New Roman" w:hAnsi="Times New Roman" w:eastAsia="宋体" w:cs="Times New Roman"/>
          <w:b/>
          <w:bCs/>
          <w:sz w:val="24"/>
          <w:szCs w:val="24"/>
        </w:rPr>
      </w:pPr>
      <w:bookmarkStart w:id="243" w:name="_Toc25325"/>
      <w:bookmarkStart w:id="244" w:name="_Toc25447"/>
      <w:bookmarkStart w:id="245" w:name="_Toc25601"/>
      <w:bookmarkStart w:id="246" w:name="_Toc13003"/>
      <w:bookmarkStart w:id="247" w:name="_Toc18929"/>
      <w:bookmarkStart w:id="248" w:name="_Toc22328"/>
      <w:bookmarkStart w:id="249" w:name="_Toc21359"/>
      <w:bookmarkStart w:id="250" w:name="_Toc24568"/>
      <w:bookmarkStart w:id="251" w:name="_Toc28823"/>
      <w:bookmarkStart w:id="252" w:name="_Toc30240"/>
      <w:bookmarkStart w:id="253" w:name="_Toc119_WPSOffice_Level2"/>
      <w:bookmarkStart w:id="254" w:name="_Toc1373_WPSOffice_Level2"/>
      <w:bookmarkStart w:id="255" w:name="_Toc10087"/>
      <w:bookmarkStart w:id="256" w:name="_Toc15836_WPSOffice_Level2"/>
      <w:r>
        <w:rPr>
          <w:rFonts w:hint="eastAsia" w:eastAsia="宋体" w:cs="Times New Roman"/>
          <w:b/>
          <w:bCs/>
          <w:sz w:val="24"/>
          <w:szCs w:val="24"/>
        </w:rPr>
        <w:t>3.2</w:t>
      </w:r>
      <w:r>
        <w:rPr>
          <w:rFonts w:ascii="Times New Roman" w:hAnsi="Times New Roman" w:eastAsia="宋体" w:cs="Times New Roman"/>
          <w:b/>
          <w:bCs/>
          <w:sz w:val="24"/>
          <w:szCs w:val="24"/>
        </w:rPr>
        <w:t>服务期限</w:t>
      </w:r>
      <w:bookmarkEnd w:id="243"/>
      <w:bookmarkEnd w:id="244"/>
      <w:bookmarkEnd w:id="245"/>
      <w:bookmarkEnd w:id="246"/>
      <w:bookmarkEnd w:id="247"/>
      <w:bookmarkEnd w:id="248"/>
      <w:bookmarkEnd w:id="249"/>
      <w:bookmarkEnd w:id="250"/>
      <w:bookmarkEnd w:id="251"/>
      <w:bookmarkEnd w:id="252"/>
    </w:p>
    <w:p>
      <w:pPr>
        <w:wordWrap w:val="0"/>
        <w:topLinePunct/>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合同签订后60日内完成可行性研究报告初稿编制（并组织完成内部评审）</w:t>
      </w:r>
      <w:r>
        <w:rPr>
          <w:rFonts w:hint="eastAsia" w:eastAsia="宋体" w:cs="Times New Roman"/>
          <w:sz w:val="24"/>
          <w:szCs w:val="24"/>
        </w:rPr>
        <w:t>；</w:t>
      </w:r>
      <w:r>
        <w:rPr>
          <w:rFonts w:ascii="Times New Roman" w:hAnsi="Times New Roman" w:eastAsia="宋体" w:cs="Times New Roman"/>
          <w:sz w:val="24"/>
          <w:szCs w:val="24"/>
        </w:rPr>
        <w:t>合同签订后</w:t>
      </w:r>
      <w:r>
        <w:rPr>
          <w:rFonts w:hint="eastAsia" w:eastAsia="宋体" w:cs="Times New Roman"/>
          <w:sz w:val="24"/>
          <w:szCs w:val="24"/>
        </w:rPr>
        <w:t>75</w:t>
      </w:r>
      <w:r>
        <w:rPr>
          <w:rFonts w:ascii="Times New Roman" w:hAnsi="Times New Roman" w:eastAsia="宋体" w:cs="Times New Roman"/>
          <w:sz w:val="24"/>
          <w:szCs w:val="24"/>
        </w:rPr>
        <w:t>日内完成送审稿编制</w:t>
      </w:r>
      <w:r>
        <w:rPr>
          <w:rFonts w:hint="eastAsia" w:eastAsia="宋体" w:cs="Times New Roman"/>
          <w:sz w:val="24"/>
          <w:szCs w:val="24"/>
        </w:rPr>
        <w:t>；</w:t>
      </w:r>
      <w:r>
        <w:rPr>
          <w:rFonts w:hint="eastAsia" w:ascii="Times New Roman" w:hAnsi="Times New Roman" w:eastAsia="宋体" w:cs="Times New Roman"/>
          <w:sz w:val="24"/>
          <w:szCs w:val="24"/>
        </w:rPr>
        <w:t>按</w:t>
      </w:r>
      <w:r>
        <w:rPr>
          <w:rFonts w:hint="eastAsia" w:eastAsia="宋体" w:cs="Times New Roman"/>
          <w:sz w:val="24"/>
          <w:szCs w:val="24"/>
        </w:rPr>
        <w:t>项目前期工作</w:t>
      </w:r>
      <w:r>
        <w:rPr>
          <w:rFonts w:hint="eastAsia" w:ascii="Times New Roman" w:hAnsi="Times New Roman" w:eastAsia="宋体" w:cs="Times New Roman"/>
          <w:sz w:val="24"/>
          <w:szCs w:val="24"/>
        </w:rPr>
        <w:t>进展</w:t>
      </w:r>
      <w:r>
        <w:rPr>
          <w:rFonts w:hint="eastAsia" w:eastAsia="宋体" w:cs="Times New Roman"/>
          <w:sz w:val="24"/>
          <w:szCs w:val="24"/>
        </w:rPr>
        <w:t>要求</w:t>
      </w:r>
      <w:r>
        <w:rPr>
          <w:rFonts w:hint="eastAsia" w:ascii="Times New Roman" w:hAnsi="Times New Roman" w:eastAsia="宋体" w:cs="Times New Roman"/>
          <w:sz w:val="24"/>
          <w:szCs w:val="24"/>
        </w:rPr>
        <w:t>，配合完成外部审查及可行性研究终版报告出版，做好可行性研究收口</w:t>
      </w:r>
      <w:r>
        <w:rPr>
          <w:rFonts w:hint="eastAsia" w:eastAsia="宋体" w:cs="Times New Roman"/>
          <w:sz w:val="24"/>
          <w:szCs w:val="24"/>
        </w:rPr>
        <w:t>（含图纸）、核准报告（核准申请）编制、项目用地范围矢量数据制作等</w:t>
      </w:r>
      <w:r>
        <w:rPr>
          <w:rFonts w:hint="eastAsia" w:ascii="Times New Roman" w:hAnsi="Times New Roman" w:eastAsia="宋体" w:cs="Times New Roman"/>
          <w:sz w:val="24"/>
          <w:szCs w:val="24"/>
        </w:rPr>
        <w:t>其他相关配合工作</w:t>
      </w:r>
      <w:r>
        <w:rPr>
          <w:rFonts w:hint="eastAsia" w:eastAsia="宋体" w:cs="Times New Roman"/>
          <w:sz w:val="24"/>
          <w:szCs w:val="24"/>
        </w:rPr>
        <w:t>，直至项目获得核准审批</w:t>
      </w:r>
      <w:r>
        <w:rPr>
          <w:rFonts w:hint="eastAsia" w:ascii="Times New Roman" w:hAnsi="Times New Roman" w:eastAsia="宋体" w:cs="Times New Roman"/>
          <w:sz w:val="24"/>
          <w:szCs w:val="24"/>
        </w:rPr>
        <w:t>。</w:t>
      </w:r>
    </w:p>
    <w:bookmarkEnd w:id="253"/>
    <w:bookmarkEnd w:id="254"/>
    <w:bookmarkEnd w:id="255"/>
    <w:bookmarkEnd w:id="256"/>
    <w:p>
      <w:pPr>
        <w:wordWrap w:val="0"/>
        <w:topLinePunct/>
        <w:spacing w:line="360" w:lineRule="auto"/>
        <w:rPr>
          <w:rFonts w:ascii="Times New Roman" w:hAnsi="Times New Roman" w:eastAsia="宋体" w:cs="Times New Roman"/>
          <w:b/>
          <w:bCs/>
          <w:sz w:val="24"/>
          <w:szCs w:val="24"/>
        </w:rPr>
      </w:pPr>
      <w:bookmarkStart w:id="257" w:name="_Toc3866"/>
      <w:bookmarkStart w:id="258" w:name="_Toc19990"/>
      <w:bookmarkStart w:id="259" w:name="_Toc26952"/>
      <w:bookmarkStart w:id="260" w:name="_Toc14149"/>
      <w:bookmarkStart w:id="261" w:name="_Toc29686_WPSOffice_Level2"/>
      <w:bookmarkStart w:id="262" w:name="_Toc2920"/>
      <w:bookmarkStart w:id="263" w:name="_Toc11143"/>
      <w:bookmarkStart w:id="264" w:name="_Toc18221"/>
      <w:bookmarkStart w:id="265" w:name="_Toc5155"/>
      <w:bookmarkStart w:id="266" w:name="_Toc1787"/>
      <w:bookmarkStart w:id="267" w:name="_Toc3654_WPSOffice_Level2"/>
      <w:bookmarkStart w:id="268" w:name="_Toc16694"/>
      <w:bookmarkStart w:id="269" w:name="_Toc3174_WPSOffice_Level2"/>
      <w:bookmarkStart w:id="270" w:name="_Toc5278"/>
      <w:bookmarkStart w:id="271" w:name="_Toc11254"/>
      <w:r>
        <w:rPr>
          <w:rFonts w:hint="eastAsia" w:eastAsia="宋体" w:cs="Times New Roman"/>
          <w:b/>
          <w:bCs/>
          <w:sz w:val="24"/>
          <w:szCs w:val="24"/>
        </w:rPr>
        <w:t>3.3</w:t>
      </w:r>
      <w:r>
        <w:rPr>
          <w:rFonts w:ascii="Times New Roman" w:hAnsi="Times New Roman" w:eastAsia="宋体" w:cs="Times New Roman"/>
          <w:b/>
          <w:bCs/>
          <w:sz w:val="24"/>
          <w:szCs w:val="24"/>
        </w:rPr>
        <w:t>工作内容</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pPr>
        <w:wordWrap w:val="0"/>
        <w:topLinePunct/>
        <w:spacing w:line="360" w:lineRule="auto"/>
        <w:ind w:firstLine="480" w:firstLineChars="200"/>
        <w:rPr>
          <w:rFonts w:ascii="Times New Roman" w:hAnsi="Times New Roman" w:eastAsia="宋体" w:cs="Times New Roman"/>
          <w:b/>
          <w:bCs/>
          <w:sz w:val="24"/>
          <w:szCs w:val="24"/>
        </w:rPr>
      </w:pP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负责本</w:t>
      </w:r>
      <w:r>
        <w:rPr>
          <w:rFonts w:hint="eastAsia" w:ascii="Times New Roman" w:hAnsi="Times New Roman" w:eastAsia="宋体" w:cs="Times New Roman"/>
          <w:sz w:val="24"/>
          <w:szCs w:val="24"/>
        </w:rPr>
        <w:t>次</w:t>
      </w:r>
      <w:r>
        <w:rPr>
          <w:rFonts w:ascii="Times New Roman" w:hAnsi="Times New Roman" w:eastAsia="宋体" w:cs="Times New Roman"/>
          <w:sz w:val="24"/>
          <w:szCs w:val="24"/>
        </w:rPr>
        <w:t>项目可行性研究报告编制。可行性研究报告应符合《火力发电厂可行性研究报告内容深度规定》（DL/T5375-2018）的要求。</w:t>
      </w:r>
      <w:r>
        <w:rPr>
          <w:rFonts w:ascii="Times New Roman" w:hAnsi="Times New Roman" w:eastAsia="宋体" w:cs="Times New Roman"/>
          <w:b/>
          <w:bCs/>
          <w:sz w:val="24"/>
          <w:szCs w:val="24"/>
        </w:rPr>
        <w:t>主要工作内容包括（但不限于此）：</w:t>
      </w:r>
    </w:p>
    <w:p>
      <w:pPr>
        <w:widowControl/>
        <w:numPr>
          <w:ilvl w:val="255"/>
          <w:numId w:val="0"/>
        </w:numPr>
        <w:spacing w:line="360" w:lineRule="auto"/>
        <w:ind w:firstLine="482" w:firstLineChars="200"/>
        <w:jc w:val="left"/>
        <w:rPr>
          <w:rFonts w:eastAsia="宋体" w:cs="Times New Roman"/>
          <w:b/>
          <w:bCs/>
          <w:sz w:val="24"/>
          <w:szCs w:val="24"/>
        </w:rPr>
      </w:pPr>
      <w:r>
        <w:rPr>
          <w:rFonts w:hint="eastAsia" w:asciiTheme="minorEastAsia" w:hAnsiTheme="minorEastAsia" w:cstheme="minorEastAsia"/>
          <w:b/>
          <w:bCs/>
          <w:color w:val="000000"/>
          <w:kern w:val="0"/>
          <w:sz w:val="24"/>
          <w:szCs w:val="24"/>
        </w:rPr>
        <w:t>(1)组织专业团队对曲靖电厂三期扩建项目的建厂内外部条件进行现场踏勘，对拟选厂址及贮灰场进行勘察、勘探及勘测等工作，包括但不限于以下内容：工程场地及地质情况、生态环境限制因素、取退水限制因素、燃料及交通运输、热（冷）负荷分析等。提出可行性研究需要收资的清单，采购人负责配合。</w:t>
      </w:r>
    </w:p>
    <w:p>
      <w:pPr>
        <w:wordWrap w:val="0"/>
        <w:topLinePunct/>
        <w:spacing w:line="360" w:lineRule="auto"/>
        <w:ind w:firstLine="482" w:firstLineChars="200"/>
        <w:rPr>
          <w:rFonts w:ascii="Times New Roman" w:hAnsi="Times New Roman" w:eastAsia="宋体" w:cs="Times New Roman"/>
          <w:b/>
          <w:bCs/>
          <w:sz w:val="24"/>
          <w:szCs w:val="24"/>
        </w:rPr>
      </w:pPr>
      <w:r>
        <w:rPr>
          <w:rFonts w:hint="eastAsia" w:eastAsia="宋体" w:cs="Times New Roman"/>
          <w:b/>
          <w:bCs/>
          <w:sz w:val="24"/>
          <w:szCs w:val="24"/>
        </w:rPr>
        <w:t>（2）</w:t>
      </w:r>
      <w:r>
        <w:rPr>
          <w:rFonts w:ascii="Times New Roman" w:hAnsi="Times New Roman" w:eastAsia="宋体" w:cs="Times New Roman"/>
          <w:b/>
          <w:bCs/>
          <w:sz w:val="24"/>
          <w:szCs w:val="24"/>
        </w:rPr>
        <w:t>负责可行性研究全过程设计任务的勘测工作</w:t>
      </w:r>
      <w:r>
        <w:rPr>
          <w:rFonts w:hint="eastAsia" w:eastAsia="宋体" w:cs="Times New Roman"/>
          <w:b/>
          <w:bCs/>
          <w:sz w:val="24"/>
          <w:szCs w:val="24"/>
        </w:rPr>
        <w:t>（含地形图测绘）</w:t>
      </w:r>
      <w:r>
        <w:rPr>
          <w:rFonts w:ascii="Times New Roman" w:hAnsi="Times New Roman" w:eastAsia="宋体" w:cs="Times New Roman"/>
          <w:b/>
          <w:bCs/>
          <w:sz w:val="24"/>
          <w:szCs w:val="24"/>
        </w:rPr>
        <w:t>和服务工作，按照国家、电力行业有关标准和内容深度要求完成设计工作，完成可行性研究阶段勘测报告。</w:t>
      </w:r>
    </w:p>
    <w:p>
      <w:pPr>
        <w:wordWrap w:val="0"/>
        <w:topLinePunct/>
        <w:spacing w:line="360" w:lineRule="auto"/>
        <w:ind w:firstLine="482" w:firstLineChars="200"/>
        <w:rPr>
          <w:rFonts w:ascii="Times New Roman" w:hAnsi="Times New Roman" w:eastAsia="宋体" w:cs="Times New Roman"/>
          <w:b/>
          <w:bCs/>
          <w:sz w:val="24"/>
          <w:szCs w:val="24"/>
        </w:rPr>
      </w:pPr>
      <w:r>
        <w:rPr>
          <w:rFonts w:hint="eastAsia" w:eastAsia="宋体" w:cs="Times New Roman"/>
          <w:b/>
          <w:bCs/>
          <w:sz w:val="24"/>
          <w:szCs w:val="24"/>
        </w:rPr>
        <w:t>（3）</w:t>
      </w:r>
      <w:r>
        <w:rPr>
          <w:rFonts w:ascii="Times New Roman" w:hAnsi="Times New Roman" w:eastAsia="宋体" w:cs="Times New Roman"/>
          <w:b/>
          <w:bCs/>
          <w:sz w:val="24"/>
          <w:szCs w:val="24"/>
        </w:rPr>
        <w:t>根据本项目</w:t>
      </w:r>
      <w:r>
        <w:rPr>
          <w:rFonts w:hint="eastAsia" w:eastAsia="宋体" w:cs="Times New Roman"/>
          <w:b/>
          <w:bCs/>
          <w:sz w:val="24"/>
          <w:szCs w:val="24"/>
        </w:rPr>
        <w:t>前期工作</w:t>
      </w:r>
      <w:r>
        <w:rPr>
          <w:rFonts w:ascii="Times New Roman" w:hAnsi="Times New Roman" w:eastAsia="宋体" w:cs="Times New Roman"/>
          <w:b/>
          <w:bCs/>
          <w:sz w:val="24"/>
          <w:szCs w:val="24"/>
        </w:rPr>
        <w:t>进展</w:t>
      </w:r>
      <w:r>
        <w:rPr>
          <w:rFonts w:hint="eastAsia" w:eastAsia="宋体" w:cs="Times New Roman"/>
          <w:b/>
          <w:bCs/>
          <w:sz w:val="24"/>
          <w:szCs w:val="24"/>
        </w:rPr>
        <w:t>要求</w:t>
      </w:r>
      <w:r>
        <w:rPr>
          <w:rFonts w:ascii="Times New Roman" w:hAnsi="Times New Roman" w:eastAsia="宋体" w:cs="Times New Roman"/>
          <w:b/>
          <w:bCs/>
          <w:sz w:val="24"/>
          <w:szCs w:val="24"/>
        </w:rPr>
        <w:t>，配合</w:t>
      </w:r>
      <w:r>
        <w:rPr>
          <w:rFonts w:hint="eastAsia" w:eastAsia="宋体" w:cs="Times New Roman"/>
          <w:b/>
          <w:bCs/>
          <w:sz w:val="24"/>
          <w:szCs w:val="24"/>
        </w:rPr>
        <w:t>提交用地预审、节能审查、社稳、</w:t>
      </w:r>
      <w:r>
        <w:rPr>
          <w:rFonts w:ascii="Times New Roman" w:hAnsi="Times New Roman" w:eastAsia="宋体" w:cs="Times New Roman"/>
          <w:b/>
          <w:bCs/>
          <w:sz w:val="24"/>
          <w:szCs w:val="24"/>
        </w:rPr>
        <w:t>安评、环评</w:t>
      </w:r>
      <w:r>
        <w:rPr>
          <w:rFonts w:hint="eastAsia" w:eastAsia="宋体" w:cs="Times New Roman"/>
          <w:b/>
          <w:bCs/>
          <w:sz w:val="24"/>
          <w:szCs w:val="24"/>
        </w:rPr>
        <w:t>等专题论证</w:t>
      </w:r>
      <w:r>
        <w:rPr>
          <w:rFonts w:ascii="Times New Roman" w:hAnsi="Times New Roman" w:eastAsia="宋体" w:cs="Times New Roman"/>
          <w:b/>
          <w:bCs/>
          <w:sz w:val="24"/>
          <w:szCs w:val="24"/>
        </w:rPr>
        <w:t>所需全部资料，保证所提资料满足</w:t>
      </w:r>
      <w:r>
        <w:rPr>
          <w:rFonts w:hint="eastAsia" w:eastAsia="宋体" w:cs="Times New Roman"/>
          <w:b/>
          <w:bCs/>
          <w:sz w:val="24"/>
          <w:szCs w:val="24"/>
        </w:rPr>
        <w:t>报批</w:t>
      </w:r>
      <w:r>
        <w:rPr>
          <w:rFonts w:ascii="Times New Roman" w:hAnsi="Times New Roman" w:eastAsia="宋体" w:cs="Times New Roman"/>
          <w:b/>
          <w:bCs/>
          <w:sz w:val="24"/>
          <w:szCs w:val="24"/>
        </w:rPr>
        <w:t>要求。</w:t>
      </w:r>
    </w:p>
    <w:p>
      <w:pPr>
        <w:wordWrap w:val="0"/>
        <w:topLinePunct/>
        <w:spacing w:line="360" w:lineRule="auto"/>
        <w:ind w:firstLine="482" w:firstLineChars="200"/>
        <w:rPr>
          <w:rFonts w:ascii="Times New Roman" w:hAnsi="Times New Roman" w:eastAsia="宋体" w:cs="Times New Roman"/>
          <w:b/>
          <w:bCs/>
          <w:sz w:val="24"/>
          <w:szCs w:val="24"/>
        </w:rPr>
      </w:pPr>
      <w:r>
        <w:rPr>
          <w:rFonts w:hint="eastAsia" w:eastAsia="宋体" w:cs="Times New Roman"/>
          <w:b/>
          <w:bCs/>
          <w:sz w:val="24"/>
          <w:szCs w:val="24"/>
        </w:rPr>
        <w:t>（4）</w:t>
      </w:r>
      <w:r>
        <w:rPr>
          <w:rFonts w:ascii="Times New Roman" w:hAnsi="Times New Roman" w:eastAsia="宋体" w:cs="Times New Roman"/>
          <w:b/>
          <w:bCs/>
          <w:sz w:val="24"/>
          <w:szCs w:val="24"/>
        </w:rPr>
        <w:t>负责可行性研究报告编制，并提供审查可行性研究报告、供</w:t>
      </w:r>
      <w:r>
        <w:rPr>
          <w:rFonts w:hint="eastAsia" w:ascii="Times New Roman" w:hAnsi="Times New Roman" w:eastAsia="宋体" w:cs="Times New Roman"/>
          <w:b/>
          <w:bCs/>
          <w:sz w:val="24"/>
          <w:szCs w:val="24"/>
        </w:rPr>
        <w:t>采购人</w:t>
      </w:r>
      <w:r>
        <w:rPr>
          <w:rFonts w:ascii="Times New Roman" w:hAnsi="Times New Roman" w:eastAsia="宋体" w:cs="Times New Roman"/>
          <w:b/>
          <w:bCs/>
          <w:sz w:val="24"/>
          <w:szCs w:val="24"/>
        </w:rPr>
        <w:t>审查及其他专题论证的基础资料。在可行性研究报告编制过程中，如果因为国家产业政策、装机方案、技术先进性、总平面布置以及燃料等发生重大变化，</w:t>
      </w:r>
      <w:r>
        <w:rPr>
          <w:rFonts w:hint="eastAsia" w:eastAsia="宋体" w:cs="Times New Roman"/>
          <w:b/>
          <w:bCs/>
          <w:sz w:val="24"/>
          <w:szCs w:val="24"/>
        </w:rPr>
        <w:t>服务商</w:t>
      </w:r>
      <w:r>
        <w:rPr>
          <w:rFonts w:ascii="Times New Roman" w:hAnsi="Times New Roman" w:eastAsia="宋体" w:cs="Times New Roman"/>
          <w:b/>
          <w:bCs/>
          <w:sz w:val="24"/>
          <w:szCs w:val="24"/>
        </w:rPr>
        <w:t>应</w:t>
      </w:r>
      <w:r>
        <w:rPr>
          <w:rFonts w:hint="eastAsia" w:eastAsia="宋体" w:cs="Times New Roman"/>
          <w:b/>
          <w:bCs/>
          <w:sz w:val="24"/>
          <w:szCs w:val="24"/>
        </w:rPr>
        <w:t>按照采购人的时间要求</w:t>
      </w:r>
      <w:r>
        <w:rPr>
          <w:rFonts w:ascii="Times New Roman" w:hAnsi="Times New Roman" w:eastAsia="宋体" w:cs="Times New Roman"/>
          <w:b/>
          <w:bCs/>
          <w:sz w:val="24"/>
          <w:szCs w:val="24"/>
        </w:rPr>
        <w:t>对可行性研究报告进行修编</w:t>
      </w:r>
      <w:r>
        <w:rPr>
          <w:rFonts w:hint="eastAsia" w:eastAsia="宋体" w:cs="Times New Roman"/>
          <w:b/>
          <w:bCs/>
          <w:sz w:val="24"/>
          <w:szCs w:val="24"/>
        </w:rPr>
        <w:t>。</w:t>
      </w:r>
    </w:p>
    <w:p>
      <w:pPr>
        <w:wordWrap w:val="0"/>
        <w:topLinePunct/>
        <w:spacing w:line="360" w:lineRule="auto"/>
        <w:ind w:firstLine="482" w:firstLineChars="200"/>
        <w:rPr>
          <w:rFonts w:ascii="Times New Roman" w:hAnsi="Times New Roman" w:eastAsia="宋体" w:cs="Times New Roman"/>
          <w:b/>
          <w:bCs/>
          <w:sz w:val="24"/>
          <w:szCs w:val="24"/>
        </w:rPr>
      </w:pPr>
      <w:r>
        <w:rPr>
          <w:rFonts w:hint="eastAsia" w:eastAsia="宋体" w:cs="Times New Roman"/>
          <w:b/>
          <w:bCs/>
          <w:sz w:val="24"/>
          <w:szCs w:val="24"/>
        </w:rPr>
        <w:t>（5）</w:t>
      </w:r>
      <w:r>
        <w:rPr>
          <w:rFonts w:hint="eastAsia" w:ascii="Times New Roman" w:hAnsi="Times New Roman" w:eastAsia="宋体" w:cs="Times New Roman"/>
          <w:b/>
          <w:bCs/>
          <w:sz w:val="24"/>
          <w:szCs w:val="24"/>
        </w:rPr>
        <w:t>服务商</w:t>
      </w:r>
      <w:r>
        <w:rPr>
          <w:rFonts w:ascii="Times New Roman" w:hAnsi="Times New Roman" w:eastAsia="宋体" w:cs="Times New Roman"/>
          <w:b/>
          <w:bCs/>
          <w:sz w:val="24"/>
          <w:szCs w:val="24"/>
        </w:rPr>
        <w:t>进行可研设计（包括经济技术分析），可研设计方案应遵照执行国家、地方、行业的各项环保、节能政策，符合法律法规及最新标准的要求，且应结合项目实际，选择先进、成熟、适当的工艺。</w:t>
      </w:r>
    </w:p>
    <w:p>
      <w:pPr>
        <w:wordWrap w:val="0"/>
        <w:topLinePunct/>
        <w:spacing w:line="360" w:lineRule="auto"/>
        <w:ind w:firstLine="482" w:firstLineChars="200"/>
        <w:rPr>
          <w:rFonts w:ascii="Times New Roman" w:hAnsi="Times New Roman" w:eastAsia="宋体" w:cs="Times New Roman"/>
          <w:b/>
          <w:bCs/>
          <w:sz w:val="24"/>
          <w:szCs w:val="24"/>
        </w:rPr>
      </w:pPr>
      <w:r>
        <w:rPr>
          <w:rFonts w:hint="eastAsia" w:eastAsia="宋体" w:cs="Times New Roman"/>
          <w:b/>
          <w:bCs/>
          <w:sz w:val="24"/>
          <w:szCs w:val="24"/>
        </w:rPr>
        <w:t>（6）</w:t>
      </w:r>
      <w:r>
        <w:rPr>
          <w:rFonts w:ascii="Times New Roman" w:hAnsi="Times New Roman" w:eastAsia="宋体" w:cs="Times New Roman"/>
          <w:b/>
          <w:bCs/>
          <w:sz w:val="24"/>
          <w:szCs w:val="24"/>
        </w:rPr>
        <w:t>编制可行性研究报告送审稿，可行性研究报告包括但不限于方案设计、图纸、估算等。</w:t>
      </w:r>
    </w:p>
    <w:p>
      <w:pPr>
        <w:wordWrap w:val="0"/>
        <w:topLinePunct/>
        <w:spacing w:line="360" w:lineRule="auto"/>
        <w:ind w:firstLine="482" w:firstLineChars="200"/>
        <w:rPr>
          <w:rFonts w:ascii="Times New Roman" w:hAnsi="Times New Roman" w:eastAsia="宋体" w:cs="Times New Roman"/>
          <w:b/>
          <w:bCs/>
          <w:sz w:val="24"/>
          <w:szCs w:val="24"/>
        </w:rPr>
      </w:pPr>
      <w:r>
        <w:rPr>
          <w:rFonts w:hint="eastAsia" w:eastAsia="宋体" w:cs="Times New Roman"/>
          <w:b/>
          <w:bCs/>
          <w:sz w:val="24"/>
          <w:szCs w:val="24"/>
        </w:rPr>
        <w:t>（7）</w:t>
      </w:r>
      <w:r>
        <w:rPr>
          <w:rFonts w:ascii="Times New Roman" w:hAnsi="Times New Roman" w:eastAsia="宋体" w:cs="Times New Roman"/>
          <w:b/>
          <w:bCs/>
          <w:sz w:val="24"/>
          <w:szCs w:val="24"/>
        </w:rPr>
        <w:t>根据可行性研究阶段的进展和需要组织召开技术联络会，参加可行性研究报告审查会，并按照审查批复意见完成可行性研究报告的修编和收口工作，最终形成可行性研究收口报告。</w:t>
      </w:r>
    </w:p>
    <w:p>
      <w:pPr>
        <w:wordWrap w:val="0"/>
        <w:topLinePunct/>
        <w:spacing w:line="360" w:lineRule="auto"/>
        <w:ind w:firstLine="482" w:firstLineChars="200"/>
        <w:rPr>
          <w:rFonts w:ascii="Times New Roman" w:hAnsi="Times New Roman" w:eastAsia="宋体" w:cs="Times New Roman"/>
          <w:b/>
          <w:bCs/>
          <w:sz w:val="24"/>
          <w:szCs w:val="24"/>
        </w:rPr>
      </w:pPr>
      <w:r>
        <w:rPr>
          <w:rFonts w:hint="eastAsia" w:eastAsia="宋体" w:cs="Times New Roman"/>
          <w:b/>
          <w:bCs/>
          <w:sz w:val="24"/>
          <w:szCs w:val="24"/>
        </w:rPr>
        <w:t>（8）协助采购人完成项目立项需要的补正资料，包括但不限于技术方案比选、不同边界条件下经济指标评价等</w:t>
      </w:r>
      <w:r>
        <w:rPr>
          <w:rFonts w:ascii="Times New Roman" w:hAnsi="Times New Roman" w:eastAsia="宋体" w:cs="Times New Roman"/>
          <w:b/>
          <w:bCs/>
          <w:sz w:val="24"/>
          <w:szCs w:val="24"/>
        </w:rPr>
        <w:t>。</w:t>
      </w:r>
    </w:p>
    <w:p>
      <w:pPr>
        <w:tabs>
          <w:tab w:val="left" w:pos="426"/>
        </w:tabs>
        <w:wordWrap w:val="0"/>
        <w:topLinePunct/>
        <w:spacing w:line="360" w:lineRule="auto"/>
        <w:ind w:firstLine="482" w:firstLineChars="200"/>
        <w:outlineLvl w:val="0"/>
        <w:rPr>
          <w:rFonts w:eastAsia="宋体" w:cs="Times New Roman"/>
          <w:b/>
          <w:bCs/>
          <w:sz w:val="24"/>
          <w:szCs w:val="24"/>
        </w:rPr>
      </w:pPr>
      <w:bookmarkStart w:id="272" w:name="_Toc30035"/>
      <w:bookmarkStart w:id="273" w:name="_Toc25769"/>
      <w:r>
        <w:rPr>
          <w:rFonts w:hint="eastAsia" w:eastAsia="宋体" w:cs="Times New Roman"/>
          <w:b/>
          <w:bCs/>
          <w:sz w:val="24"/>
          <w:szCs w:val="24"/>
        </w:rPr>
        <w:t>（9）</w:t>
      </w:r>
      <w:r>
        <w:rPr>
          <w:rFonts w:hint="eastAsia" w:asciiTheme="minorEastAsia" w:hAnsiTheme="minorEastAsia" w:cstheme="minorEastAsia"/>
          <w:b/>
          <w:bCs/>
          <w:sz w:val="24"/>
          <w:szCs w:val="24"/>
        </w:rPr>
        <w:t>智慧电厂建设总体构想，</w:t>
      </w:r>
      <w:r>
        <w:rPr>
          <w:rFonts w:hint="eastAsia" w:eastAsia="宋体" w:cs="Times New Roman"/>
          <w:b/>
          <w:bCs/>
          <w:sz w:val="24"/>
          <w:szCs w:val="24"/>
        </w:rPr>
        <w:t>智慧化电厂设计方案。</w:t>
      </w:r>
      <w:bookmarkEnd w:id="272"/>
    </w:p>
    <w:p>
      <w:pPr>
        <w:tabs>
          <w:tab w:val="left" w:pos="426"/>
        </w:tabs>
        <w:wordWrap w:val="0"/>
        <w:topLinePunct/>
        <w:spacing w:line="360" w:lineRule="auto"/>
        <w:ind w:firstLine="482" w:firstLineChars="200"/>
        <w:outlineLvl w:val="0"/>
        <w:rPr>
          <w:rFonts w:asciiTheme="minorEastAsia" w:hAnsiTheme="minorEastAsia" w:cstheme="minorEastAsia"/>
          <w:b/>
          <w:bCs/>
          <w:sz w:val="24"/>
          <w:szCs w:val="24"/>
        </w:rPr>
      </w:pPr>
      <w:bookmarkStart w:id="274" w:name="_Toc18124"/>
      <w:r>
        <w:rPr>
          <w:rFonts w:hint="eastAsia" w:asciiTheme="minorEastAsia" w:hAnsiTheme="minorEastAsia" w:cstheme="minorEastAsia"/>
          <w:b/>
          <w:bCs/>
          <w:sz w:val="24"/>
          <w:szCs w:val="24"/>
        </w:rPr>
        <w:t>（10）复核已有设备设施、预留场地和已完成部分专题初步研究成果。</w:t>
      </w:r>
      <w:bookmarkEnd w:id="274"/>
    </w:p>
    <w:p>
      <w:pPr>
        <w:tabs>
          <w:tab w:val="left" w:pos="426"/>
        </w:tabs>
        <w:wordWrap w:val="0"/>
        <w:topLinePunct/>
        <w:spacing w:line="360" w:lineRule="auto"/>
        <w:ind w:firstLine="482" w:firstLineChars="200"/>
        <w:outlineLvl w:val="0"/>
        <w:rPr>
          <w:rFonts w:asciiTheme="minorEastAsia" w:hAnsiTheme="minorEastAsia" w:cstheme="minorEastAsia"/>
          <w:b/>
          <w:bCs/>
          <w:sz w:val="24"/>
          <w:szCs w:val="24"/>
        </w:rPr>
      </w:pPr>
      <w:bookmarkStart w:id="275" w:name="_Toc32161"/>
      <w:r>
        <w:rPr>
          <w:rFonts w:hint="eastAsia" w:asciiTheme="minorEastAsia" w:hAnsiTheme="minorEastAsia" w:cstheme="minorEastAsia"/>
          <w:b/>
          <w:bCs/>
          <w:sz w:val="24"/>
          <w:szCs w:val="24"/>
        </w:rPr>
        <w:t>（11）完成曲靖电厂三期扩建项目的配套贮灰场选址。</w:t>
      </w:r>
      <w:bookmarkEnd w:id="275"/>
    </w:p>
    <w:p>
      <w:pPr>
        <w:tabs>
          <w:tab w:val="left" w:pos="426"/>
        </w:tabs>
        <w:wordWrap w:val="0"/>
        <w:topLinePunct/>
        <w:spacing w:line="360" w:lineRule="auto"/>
        <w:ind w:firstLine="482" w:firstLineChars="200"/>
        <w:outlineLvl w:val="0"/>
        <w:rPr>
          <w:rFonts w:hint="eastAsia" w:asciiTheme="minorEastAsia" w:hAnsiTheme="minorEastAsia" w:cstheme="minorEastAsia"/>
          <w:b/>
          <w:bCs/>
          <w:sz w:val="24"/>
          <w:szCs w:val="24"/>
        </w:rPr>
      </w:pPr>
      <w:bookmarkStart w:id="276" w:name="_Toc25686"/>
      <w:r>
        <w:rPr>
          <w:rFonts w:hint="eastAsia" w:asciiTheme="minorEastAsia" w:hAnsiTheme="minorEastAsia" w:cstheme="minorEastAsia"/>
          <w:b/>
          <w:bCs/>
          <w:sz w:val="24"/>
          <w:szCs w:val="24"/>
        </w:rPr>
        <w:t>（12）提出项目可持续发展路径及建议。“双碳”目标下，结合云南省以水电为主的非化石电源结构特点，提出本项目按“风光火储”一体化模式建设的可行性，并提出需配置的新能源装机规模。</w:t>
      </w:r>
      <w:bookmarkEnd w:id="276"/>
    </w:p>
    <w:p>
      <w:pPr>
        <w:tabs>
          <w:tab w:val="left" w:pos="426"/>
        </w:tabs>
        <w:wordWrap w:val="0"/>
        <w:topLinePunct/>
        <w:spacing w:line="360" w:lineRule="auto"/>
        <w:ind w:firstLine="482" w:firstLineChars="200"/>
        <w:outlineLvl w:val="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（13）对本项目建设一台机组与建设两台机组（分期实施）的经济性进行对比分析。</w:t>
      </w:r>
    </w:p>
    <w:p>
      <w:pPr>
        <w:tabs>
          <w:tab w:val="left" w:pos="426"/>
        </w:tabs>
        <w:wordWrap w:val="0"/>
        <w:topLinePunct/>
        <w:spacing w:line="360" w:lineRule="auto"/>
        <w:ind w:firstLine="482" w:firstLineChars="200"/>
        <w:outlineLvl w:val="0"/>
        <w:rPr>
          <w:rFonts w:hint="eastAsia" w:asciiTheme="minorEastAsia" w:hAnsi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14）结合国家、云南省对新型电力系统要求，以及国家发改委、能源局关于印发《新一代煤电升级专项行动实施方案（2025-2027）》的通知要求，策划（挖掘）本项目科技创新项目及路径，在可行性研究报告中增加科技创新专篇。</w:t>
      </w:r>
    </w:p>
    <w:p>
      <w:pPr>
        <w:tabs>
          <w:tab w:val="left" w:pos="426"/>
        </w:tabs>
        <w:wordWrap w:val="0"/>
        <w:topLinePunct/>
        <w:spacing w:line="360" w:lineRule="auto"/>
        <w:outlineLvl w:val="0"/>
        <w:rPr>
          <w:rFonts w:ascii="Times New Roman" w:hAnsi="Times New Roman" w:eastAsia="宋体" w:cs="Times New Roman"/>
          <w:b/>
          <w:bCs/>
          <w:sz w:val="24"/>
          <w:szCs w:val="24"/>
        </w:rPr>
      </w:pPr>
      <w:bookmarkStart w:id="277" w:name="_Toc10186"/>
      <w:r>
        <w:rPr>
          <w:rFonts w:hint="eastAsia" w:eastAsia="宋体" w:cs="Times New Roman"/>
          <w:b/>
          <w:bCs/>
          <w:sz w:val="24"/>
          <w:szCs w:val="24"/>
        </w:rPr>
        <w:t xml:space="preserve">4  </w:t>
      </w:r>
      <w:r>
        <w:rPr>
          <w:rFonts w:ascii="Times New Roman" w:hAnsi="Times New Roman" w:eastAsia="宋体" w:cs="Times New Roman"/>
          <w:b/>
          <w:bCs/>
          <w:sz w:val="24"/>
          <w:szCs w:val="24"/>
        </w:rPr>
        <w:t>技术要求</w:t>
      </w:r>
      <w:bookmarkEnd w:id="273"/>
      <w:bookmarkEnd w:id="277"/>
    </w:p>
    <w:p>
      <w:pPr>
        <w:wordWrap w:val="0"/>
        <w:topLinePunct/>
        <w:spacing w:line="360" w:lineRule="auto"/>
        <w:rPr>
          <w:rFonts w:ascii="Times New Roman" w:hAnsi="Times New Roman" w:eastAsia="宋体" w:cs="Times New Roman"/>
          <w:b/>
          <w:bCs/>
          <w:sz w:val="24"/>
          <w:szCs w:val="24"/>
        </w:rPr>
      </w:pPr>
      <w:bookmarkStart w:id="278" w:name="_Toc30102"/>
      <w:bookmarkStart w:id="279" w:name="_Toc29828"/>
      <w:bookmarkStart w:id="280" w:name="_Toc22290_WPSOffice_Level2"/>
      <w:bookmarkStart w:id="281" w:name="_Toc11626"/>
      <w:bookmarkStart w:id="282" w:name="_Toc27001"/>
      <w:bookmarkStart w:id="283" w:name="_Toc7929"/>
      <w:bookmarkStart w:id="284" w:name="_Toc30571"/>
      <w:bookmarkStart w:id="285" w:name="_Toc7873"/>
      <w:bookmarkStart w:id="286" w:name="_Toc29888"/>
      <w:bookmarkStart w:id="287" w:name="_Toc26293_WPSOffice_Level2"/>
      <w:bookmarkStart w:id="288" w:name="_Toc31006"/>
      <w:bookmarkStart w:id="289" w:name="_Toc31806"/>
      <w:bookmarkStart w:id="290" w:name="_Toc13868_WPSOffice_Level2"/>
      <w:bookmarkStart w:id="291" w:name="_Toc22145"/>
      <w:bookmarkStart w:id="292" w:name="_Toc15640_WPSOffice_Level2"/>
      <w:bookmarkStart w:id="293" w:name="_Toc24725_WPSOffice_Level2"/>
      <w:bookmarkStart w:id="294" w:name="_Toc11029"/>
      <w:bookmarkStart w:id="295" w:name="_Toc23926"/>
      <w:r>
        <w:rPr>
          <w:rFonts w:hint="eastAsia" w:eastAsia="宋体" w:cs="Times New Roman"/>
          <w:b/>
          <w:bCs/>
          <w:sz w:val="24"/>
          <w:szCs w:val="24"/>
        </w:rPr>
        <w:t>4.1</w:t>
      </w:r>
      <w:r>
        <w:rPr>
          <w:rFonts w:ascii="Times New Roman" w:hAnsi="Times New Roman" w:eastAsia="宋体" w:cs="Times New Roman"/>
          <w:b/>
          <w:bCs/>
          <w:sz w:val="24"/>
          <w:szCs w:val="24"/>
        </w:rPr>
        <w:t>服务标准和规范</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4.1.1</w:t>
      </w:r>
      <w:r>
        <w:rPr>
          <w:rFonts w:ascii="Times New Roman" w:hAnsi="Times New Roman" w:eastAsia="宋体" w:cs="Times New Roman"/>
          <w:sz w:val="24"/>
          <w:szCs w:val="24"/>
        </w:rPr>
        <w:t>本</w:t>
      </w:r>
      <w:r>
        <w:rPr>
          <w:rFonts w:hint="eastAsia" w:ascii="Times New Roman" w:hAnsi="Times New Roman" w:eastAsia="宋体" w:cs="Times New Roman"/>
          <w:sz w:val="24"/>
          <w:szCs w:val="24"/>
        </w:rPr>
        <w:t>服务</w:t>
      </w:r>
      <w:r>
        <w:rPr>
          <w:rFonts w:ascii="Times New Roman" w:hAnsi="Times New Roman" w:eastAsia="宋体" w:cs="Times New Roman"/>
          <w:sz w:val="24"/>
          <w:szCs w:val="24"/>
        </w:rPr>
        <w:t>项目所适用的法律、标准、规范为国家、地方及行业现行的法律、标准、规范，以及在合同实施期间国家、地方及行业对相应法律、标准或规范的修改，以及新颁布的法律、标准和规范。具体法律、标准和规范见专用部分，如专用部分未单独列出法律、规范和标准，则按国家、地方及行业相应最高要求实施。</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4.1.2</w:t>
      </w:r>
      <w:r>
        <w:rPr>
          <w:rFonts w:ascii="Times New Roman" w:hAnsi="Times New Roman" w:eastAsia="宋体" w:cs="Times New Roman"/>
          <w:sz w:val="24"/>
          <w:szCs w:val="24"/>
        </w:rPr>
        <w:t>本</w:t>
      </w:r>
      <w:r>
        <w:rPr>
          <w:rFonts w:hint="eastAsia" w:ascii="Times New Roman" w:hAnsi="Times New Roman" w:eastAsia="宋体" w:cs="Times New Roman"/>
          <w:sz w:val="24"/>
          <w:szCs w:val="24"/>
        </w:rPr>
        <w:t>服务</w:t>
      </w:r>
      <w:r>
        <w:rPr>
          <w:rFonts w:ascii="Times New Roman" w:hAnsi="Times New Roman" w:eastAsia="宋体" w:cs="Times New Roman"/>
          <w:sz w:val="24"/>
          <w:szCs w:val="24"/>
        </w:rPr>
        <w:t>项目在执行上述要求外，还须执行</w:t>
      </w:r>
      <w:r>
        <w:rPr>
          <w:rFonts w:hint="eastAsia" w:eastAsia="宋体" w:cs="Times New Roman"/>
          <w:sz w:val="24"/>
          <w:szCs w:val="24"/>
        </w:rPr>
        <w:t>云南</w:t>
      </w:r>
      <w:r>
        <w:rPr>
          <w:rFonts w:ascii="Times New Roman" w:hAnsi="Times New Roman" w:eastAsia="宋体" w:cs="Times New Roman"/>
          <w:sz w:val="24"/>
          <w:szCs w:val="24"/>
        </w:rPr>
        <w:t>省</w:t>
      </w:r>
      <w:r>
        <w:rPr>
          <w:rFonts w:hint="eastAsia" w:eastAsia="宋体" w:cs="Times New Roman"/>
          <w:sz w:val="24"/>
          <w:szCs w:val="24"/>
        </w:rPr>
        <w:t>能源</w:t>
      </w:r>
      <w:r>
        <w:rPr>
          <w:rFonts w:ascii="Times New Roman" w:hAnsi="Times New Roman" w:eastAsia="宋体" w:cs="Times New Roman"/>
          <w:sz w:val="24"/>
          <w:szCs w:val="24"/>
        </w:rPr>
        <w:t>投资集团有限公司、</w:t>
      </w:r>
      <w:r>
        <w:rPr>
          <w:rFonts w:hint="eastAsia" w:eastAsia="宋体" w:cs="Times New Roman"/>
          <w:sz w:val="24"/>
          <w:szCs w:val="24"/>
        </w:rPr>
        <w:t>云南省电力投资有限公司及</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的相关管理文件要求。</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4.1.3</w:t>
      </w:r>
      <w:r>
        <w:rPr>
          <w:rFonts w:ascii="Times New Roman" w:hAnsi="Times New Roman" w:eastAsia="宋体" w:cs="Times New Roman"/>
          <w:sz w:val="24"/>
          <w:szCs w:val="24"/>
        </w:rPr>
        <w:t>本</w:t>
      </w:r>
      <w:r>
        <w:rPr>
          <w:rFonts w:hint="eastAsia" w:ascii="Times New Roman" w:hAnsi="Times New Roman" w:eastAsia="宋体" w:cs="Times New Roman"/>
          <w:sz w:val="24"/>
          <w:szCs w:val="24"/>
        </w:rPr>
        <w:t>项目</w:t>
      </w:r>
      <w:r>
        <w:rPr>
          <w:rFonts w:ascii="Times New Roman" w:hAnsi="Times New Roman" w:eastAsia="宋体" w:cs="Times New Roman"/>
          <w:sz w:val="24"/>
          <w:szCs w:val="24"/>
        </w:rPr>
        <w:t>可行性研究</w:t>
      </w:r>
      <w:r>
        <w:rPr>
          <w:rFonts w:hint="eastAsia" w:ascii="Times New Roman" w:hAnsi="Times New Roman" w:eastAsia="宋体" w:cs="Times New Roman"/>
          <w:sz w:val="24"/>
          <w:szCs w:val="24"/>
        </w:rPr>
        <w:t>服务</w:t>
      </w:r>
      <w:r>
        <w:rPr>
          <w:rFonts w:ascii="Times New Roman" w:hAnsi="Times New Roman" w:eastAsia="宋体" w:cs="Times New Roman"/>
          <w:sz w:val="24"/>
          <w:szCs w:val="24"/>
        </w:rPr>
        <w:t>的委托合同及补充合同。</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4.1.4</w:t>
      </w:r>
      <w:r>
        <w:rPr>
          <w:rFonts w:ascii="Times New Roman" w:hAnsi="Times New Roman" w:eastAsia="宋体" w:cs="Times New Roman"/>
          <w:sz w:val="24"/>
          <w:szCs w:val="24"/>
        </w:rPr>
        <w:t>合同履行中与设计服务有关的来往函件。</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4.1.5</w:t>
      </w:r>
      <w:r>
        <w:rPr>
          <w:rFonts w:ascii="Times New Roman" w:hAnsi="Times New Roman" w:eastAsia="宋体" w:cs="Times New Roman"/>
          <w:sz w:val="24"/>
          <w:szCs w:val="24"/>
        </w:rPr>
        <w:t>本项目初步可行性研究报告</w:t>
      </w:r>
      <w:r>
        <w:rPr>
          <w:rFonts w:hint="eastAsia" w:eastAsia="宋体" w:cs="Times New Roman"/>
          <w:sz w:val="24"/>
          <w:szCs w:val="24"/>
        </w:rPr>
        <w:t>及</w:t>
      </w:r>
      <w:r>
        <w:rPr>
          <w:rFonts w:ascii="Times New Roman" w:hAnsi="Times New Roman" w:eastAsia="宋体" w:cs="Times New Roman"/>
          <w:sz w:val="24"/>
          <w:szCs w:val="24"/>
        </w:rPr>
        <w:t>其他设计依据。</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4.1.6</w:t>
      </w:r>
      <w:r>
        <w:rPr>
          <w:rFonts w:ascii="Times New Roman" w:hAnsi="Times New Roman" w:eastAsia="宋体" w:cs="Times New Roman"/>
          <w:sz w:val="24"/>
          <w:szCs w:val="24"/>
        </w:rPr>
        <w:t>本</w:t>
      </w:r>
      <w:r>
        <w:rPr>
          <w:rFonts w:hint="eastAsia" w:ascii="Times New Roman" w:hAnsi="Times New Roman" w:eastAsia="宋体" w:cs="Times New Roman"/>
          <w:sz w:val="24"/>
          <w:szCs w:val="24"/>
        </w:rPr>
        <w:t>服务</w:t>
      </w:r>
      <w:r>
        <w:rPr>
          <w:rFonts w:ascii="Times New Roman" w:hAnsi="Times New Roman" w:eastAsia="宋体" w:cs="Times New Roman"/>
          <w:sz w:val="24"/>
          <w:szCs w:val="24"/>
        </w:rPr>
        <w:t>项目所适用标准和规范如下（包括但不限于，其中没有标注日期的标准，其最新版本适用于本项目）：</w:t>
      </w:r>
    </w:p>
    <w:p>
      <w:pPr>
        <w:numPr>
          <w:ilvl w:val="0"/>
          <w:numId w:val="6"/>
        </w:numPr>
        <w:adjustRightInd w:val="0"/>
        <w:snapToGrid w:val="0"/>
        <w:spacing w:line="360" w:lineRule="auto"/>
        <w:ind w:firstLine="560"/>
        <w:rPr>
          <w:rFonts w:ascii="Times New Roman" w:hAnsi="Times New Roman" w:eastAsia="宋体" w:cs="Times New Roman"/>
          <w:sz w:val="24"/>
          <w:szCs w:val="24"/>
        </w:rPr>
      </w:pPr>
      <w:r>
        <w:rPr>
          <w:rFonts w:ascii="Times New Roman" w:hAnsi="Times New Roman" w:eastAsia="宋体" w:cs="Times New Roman"/>
          <w:sz w:val="24"/>
          <w:szCs w:val="24"/>
        </w:rPr>
        <w:t>《大中型火力发电厂设计规范》（GB 50660-2011）；</w:t>
      </w:r>
    </w:p>
    <w:p>
      <w:pPr>
        <w:numPr>
          <w:ilvl w:val="0"/>
          <w:numId w:val="6"/>
        </w:numPr>
        <w:adjustRightInd w:val="0"/>
        <w:snapToGrid w:val="0"/>
        <w:spacing w:line="360" w:lineRule="auto"/>
        <w:ind w:firstLine="560"/>
        <w:rPr>
          <w:rFonts w:ascii="Times New Roman" w:hAnsi="Times New Roman" w:eastAsia="宋体" w:cs="Times New Roman"/>
          <w:sz w:val="24"/>
          <w:szCs w:val="24"/>
        </w:rPr>
      </w:pPr>
      <w:r>
        <w:rPr>
          <w:rFonts w:ascii="Times New Roman" w:hAnsi="Times New Roman" w:eastAsia="宋体" w:cs="Times New Roman"/>
          <w:sz w:val="24"/>
          <w:szCs w:val="24"/>
        </w:rPr>
        <w:t>《火力发电厂岩土工程勘察规范》（GB/T 51031-2014）</w:t>
      </w:r>
      <w:r>
        <w:rPr>
          <w:rFonts w:hint="eastAsia" w:eastAsia="宋体" w:cs="Times New Roman"/>
          <w:sz w:val="24"/>
          <w:szCs w:val="24"/>
        </w:rPr>
        <w:t>；</w:t>
      </w:r>
    </w:p>
    <w:p>
      <w:pPr>
        <w:numPr>
          <w:ilvl w:val="0"/>
          <w:numId w:val="6"/>
        </w:numPr>
        <w:adjustRightInd w:val="0"/>
        <w:snapToGrid w:val="0"/>
        <w:spacing w:line="360" w:lineRule="auto"/>
        <w:ind w:firstLine="560"/>
        <w:rPr>
          <w:rFonts w:ascii="Times New Roman" w:hAnsi="Times New Roman" w:eastAsia="宋体" w:cs="Times New Roman"/>
          <w:sz w:val="24"/>
          <w:szCs w:val="24"/>
        </w:rPr>
      </w:pPr>
      <w:r>
        <w:rPr>
          <w:rFonts w:ascii="Times New Roman" w:hAnsi="Times New Roman" w:eastAsia="宋体" w:cs="Times New Roman"/>
          <w:sz w:val="24"/>
          <w:szCs w:val="24"/>
        </w:rPr>
        <w:t>《建设项目竣工环境保护验收技术规范 火力发电厂》（HJ/T 255）；</w:t>
      </w:r>
    </w:p>
    <w:p>
      <w:pPr>
        <w:numPr>
          <w:ilvl w:val="0"/>
          <w:numId w:val="6"/>
        </w:numPr>
        <w:adjustRightInd w:val="0"/>
        <w:snapToGrid w:val="0"/>
        <w:spacing w:line="360" w:lineRule="auto"/>
        <w:ind w:firstLine="560"/>
        <w:rPr>
          <w:rFonts w:ascii="Times New Roman" w:hAnsi="Times New Roman" w:eastAsia="宋体" w:cs="Times New Roman"/>
          <w:sz w:val="24"/>
          <w:szCs w:val="24"/>
        </w:rPr>
      </w:pPr>
      <w:r>
        <w:rPr>
          <w:rFonts w:hint="eastAsia" w:eastAsia="宋体" w:cs="Times New Roman"/>
          <w:sz w:val="24"/>
          <w:szCs w:val="24"/>
        </w:rPr>
        <w:t>《</w:t>
      </w:r>
      <w:r>
        <w:rPr>
          <w:rFonts w:ascii="Times New Roman" w:hAnsi="Times New Roman" w:eastAsia="宋体" w:cs="Times New Roman"/>
          <w:sz w:val="24"/>
          <w:szCs w:val="24"/>
        </w:rPr>
        <w:t>火力发电厂职业安全设计规程</w:t>
      </w:r>
      <w:r>
        <w:rPr>
          <w:rFonts w:hint="eastAsia" w:eastAsia="宋体" w:cs="Times New Roman"/>
          <w:sz w:val="24"/>
          <w:szCs w:val="24"/>
        </w:rPr>
        <w:t>》（</w:t>
      </w:r>
      <w:r>
        <w:rPr>
          <w:rFonts w:ascii="Times New Roman" w:hAnsi="Times New Roman" w:eastAsia="宋体" w:cs="Times New Roman"/>
          <w:sz w:val="24"/>
          <w:szCs w:val="24"/>
        </w:rPr>
        <w:t>DL 5053-2012</w:t>
      </w:r>
      <w:r>
        <w:rPr>
          <w:rFonts w:hint="eastAsia" w:eastAsia="宋体" w:cs="Times New Roman"/>
          <w:sz w:val="24"/>
          <w:szCs w:val="24"/>
        </w:rPr>
        <w:t>）；</w:t>
      </w:r>
    </w:p>
    <w:p>
      <w:pPr>
        <w:numPr>
          <w:ilvl w:val="0"/>
          <w:numId w:val="6"/>
        </w:numPr>
        <w:adjustRightInd w:val="0"/>
        <w:snapToGrid w:val="0"/>
        <w:spacing w:line="360" w:lineRule="auto"/>
        <w:ind w:firstLine="560"/>
        <w:rPr>
          <w:rFonts w:ascii="Times New Roman" w:hAnsi="Times New Roman" w:eastAsia="宋体" w:cs="Times New Roman"/>
          <w:sz w:val="24"/>
          <w:szCs w:val="24"/>
        </w:rPr>
      </w:pPr>
      <w:r>
        <w:rPr>
          <w:rFonts w:ascii="Times New Roman" w:hAnsi="Times New Roman" w:eastAsia="宋体" w:cs="Times New Roman"/>
          <w:sz w:val="24"/>
          <w:szCs w:val="24"/>
        </w:rPr>
        <w:t>《火力发电厂可行性研究报告内容深度规定》（DL/T 5374-2018）；</w:t>
      </w:r>
    </w:p>
    <w:p>
      <w:pPr>
        <w:numPr>
          <w:ilvl w:val="0"/>
          <w:numId w:val="6"/>
        </w:numPr>
        <w:adjustRightInd w:val="0"/>
        <w:snapToGrid w:val="0"/>
        <w:spacing w:line="360" w:lineRule="auto"/>
        <w:ind w:firstLine="560"/>
        <w:rPr>
          <w:rFonts w:ascii="Times New Roman" w:hAnsi="Times New Roman" w:eastAsia="宋体" w:cs="Times New Roman"/>
          <w:sz w:val="24"/>
          <w:szCs w:val="24"/>
        </w:rPr>
      </w:pPr>
      <w:r>
        <w:rPr>
          <w:rFonts w:ascii="Times New Roman" w:hAnsi="Times New Roman" w:eastAsia="宋体" w:cs="Times New Roman"/>
          <w:sz w:val="24"/>
          <w:szCs w:val="24"/>
        </w:rPr>
        <w:t>其他有关设计标准、规范。</w:t>
      </w:r>
    </w:p>
    <w:p>
      <w:pPr>
        <w:wordWrap w:val="0"/>
        <w:topLinePunct/>
        <w:spacing w:line="360" w:lineRule="auto"/>
        <w:rPr>
          <w:rFonts w:ascii="Times New Roman" w:hAnsi="Times New Roman" w:eastAsia="宋体" w:cs="Times New Roman"/>
          <w:b/>
          <w:bCs/>
          <w:sz w:val="24"/>
          <w:szCs w:val="24"/>
        </w:rPr>
      </w:pPr>
      <w:bookmarkStart w:id="296" w:name="_Toc6013"/>
      <w:bookmarkStart w:id="297" w:name="_Toc10704"/>
      <w:bookmarkStart w:id="298" w:name="_Toc4293"/>
      <w:bookmarkStart w:id="299" w:name="_Toc25558"/>
      <w:bookmarkStart w:id="300" w:name="_Toc26906"/>
      <w:bookmarkStart w:id="301" w:name="_Toc29576"/>
      <w:bookmarkStart w:id="302" w:name="_Toc16142"/>
      <w:bookmarkStart w:id="303" w:name="_Toc30123_WPSOffice_Level2"/>
      <w:bookmarkStart w:id="304" w:name="_Toc9786"/>
      <w:bookmarkStart w:id="305" w:name="_Toc99"/>
      <w:bookmarkStart w:id="306" w:name="_Toc345"/>
      <w:bookmarkStart w:id="307" w:name="_Toc13341"/>
      <w:r>
        <w:rPr>
          <w:rFonts w:hint="eastAsia" w:eastAsia="宋体" w:cs="Times New Roman"/>
          <w:b/>
          <w:bCs/>
          <w:sz w:val="24"/>
          <w:szCs w:val="24"/>
        </w:rPr>
        <w:t>4.2</w:t>
      </w:r>
      <w:r>
        <w:rPr>
          <w:rFonts w:ascii="Times New Roman" w:hAnsi="Times New Roman" w:eastAsia="宋体" w:cs="Times New Roman"/>
          <w:b/>
          <w:bCs/>
          <w:sz w:val="24"/>
          <w:szCs w:val="24"/>
        </w:rPr>
        <w:t>资源配置及组织要求</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4.2.1</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应投入充足的、具有多年勘测设计经验的优秀设计骨干力量，组成强有力的项目工程组组织机构设置和人员配置，满足本次工作任务要求，保证按照投标书承诺的工期完成勘测设计工作。其中须指定人员作为本服务项目团队的负责人。</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4.2.2</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的工作人员应具有与本</w:t>
      </w:r>
      <w:r>
        <w:rPr>
          <w:rFonts w:hint="eastAsia" w:ascii="Times New Roman" w:hAnsi="Times New Roman" w:eastAsia="宋体" w:cs="Times New Roman"/>
          <w:sz w:val="24"/>
          <w:szCs w:val="24"/>
        </w:rPr>
        <w:t>服务</w:t>
      </w:r>
      <w:r>
        <w:rPr>
          <w:rFonts w:ascii="Times New Roman" w:hAnsi="Times New Roman" w:eastAsia="宋体" w:cs="Times New Roman"/>
          <w:sz w:val="24"/>
          <w:szCs w:val="24"/>
        </w:rPr>
        <w:t>项目技术要求相适应的技术水平、管理水平和相应资质。</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4.2.3</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应保持服务人员的稳定性。除非</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另行书面同意，否则，</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不得更换主设人员。如果由于非</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正常控制的原因而需替换该类人员，</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应在取得</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书面同意后，以同等或更高条件的人员取代前述人员。若因人员更换影响本服务工作的，由</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承担所有损失责任。</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4.2.4</w:t>
      </w:r>
      <w:r>
        <w:rPr>
          <w:rFonts w:ascii="Times New Roman" w:hAnsi="Times New Roman" w:eastAsia="宋体" w:cs="Times New Roman"/>
          <w:sz w:val="24"/>
          <w:szCs w:val="24"/>
        </w:rPr>
        <w:t>如</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服务人员不能满足要求，</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有权要求</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增加或更换服务人员，</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应无条件配合。</w:t>
      </w:r>
    </w:p>
    <w:p>
      <w:pPr>
        <w:tabs>
          <w:tab w:val="left" w:pos="840"/>
        </w:tabs>
        <w:wordWrap w:val="0"/>
        <w:topLinePunct/>
        <w:spacing w:line="360" w:lineRule="auto"/>
        <w:rPr>
          <w:rFonts w:ascii="Times New Roman" w:hAnsi="Times New Roman" w:eastAsia="宋体" w:cs="Times New Roman"/>
          <w:sz w:val="24"/>
          <w:szCs w:val="24"/>
        </w:rPr>
      </w:pPr>
      <w:bookmarkStart w:id="308" w:name="_Toc5558"/>
      <w:bookmarkStart w:id="309" w:name="_Toc28365"/>
      <w:r>
        <w:rPr>
          <w:rFonts w:hint="eastAsia" w:eastAsia="宋体" w:cs="Times New Roman"/>
          <w:sz w:val="24"/>
          <w:szCs w:val="24"/>
        </w:rPr>
        <w:t>4.2.5</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应按照本技术规范书规定进行勘测设计的组织和实施，保证设计质量。</w:t>
      </w:r>
    </w:p>
    <w:bookmarkEnd w:id="308"/>
    <w:bookmarkEnd w:id="309"/>
    <w:p>
      <w:pPr>
        <w:wordWrap w:val="0"/>
        <w:topLinePunct/>
        <w:spacing w:line="360" w:lineRule="auto"/>
        <w:rPr>
          <w:rFonts w:ascii="Times New Roman" w:hAnsi="Times New Roman" w:eastAsia="宋体" w:cs="Times New Roman"/>
          <w:b/>
          <w:bCs/>
          <w:sz w:val="24"/>
          <w:szCs w:val="24"/>
        </w:rPr>
      </w:pPr>
      <w:bookmarkStart w:id="310" w:name="_Toc12277"/>
      <w:bookmarkStart w:id="311" w:name="_Toc30454"/>
      <w:bookmarkStart w:id="312" w:name="_Toc13409"/>
      <w:bookmarkStart w:id="313" w:name="_Toc24637"/>
      <w:bookmarkStart w:id="314" w:name="_Toc25566"/>
      <w:bookmarkStart w:id="315" w:name="_Toc7842"/>
      <w:bookmarkStart w:id="316" w:name="_Toc29984"/>
      <w:bookmarkStart w:id="317" w:name="_Toc3665"/>
      <w:bookmarkStart w:id="318" w:name="_Toc32705"/>
      <w:bookmarkStart w:id="319" w:name="_Toc4033"/>
      <w:bookmarkStart w:id="320" w:name="_Toc6716_WPSOffice_Level2"/>
      <w:bookmarkStart w:id="321" w:name="_Toc28655"/>
      <w:bookmarkStart w:id="322" w:name="_Toc7665_WPSOffice_Level2"/>
      <w:bookmarkStart w:id="323" w:name="_Toc29364_WPSOffice_Level2"/>
      <w:bookmarkStart w:id="324" w:name="_Toc1879"/>
      <w:bookmarkStart w:id="325" w:name="_Toc23493"/>
      <w:r>
        <w:rPr>
          <w:rFonts w:hint="eastAsia" w:eastAsia="宋体" w:cs="Times New Roman"/>
          <w:b/>
          <w:bCs/>
          <w:sz w:val="24"/>
          <w:szCs w:val="24"/>
        </w:rPr>
        <w:t>4.3</w:t>
      </w:r>
      <w:r>
        <w:rPr>
          <w:rFonts w:ascii="Times New Roman" w:hAnsi="Times New Roman" w:eastAsia="宋体" w:cs="Times New Roman"/>
          <w:b/>
          <w:bCs/>
          <w:sz w:val="24"/>
          <w:szCs w:val="24"/>
        </w:rPr>
        <w:t>服务方式及工作要求</w:t>
      </w:r>
      <w:bookmarkEnd w:id="310"/>
      <w:bookmarkEnd w:id="311"/>
      <w:bookmarkEnd w:id="312"/>
      <w:bookmarkEnd w:id="313"/>
      <w:bookmarkEnd w:id="314"/>
      <w:bookmarkEnd w:id="315"/>
      <w:bookmarkEnd w:id="316"/>
      <w:bookmarkEnd w:id="317"/>
      <w:bookmarkEnd w:id="318"/>
      <w:bookmarkEnd w:id="319"/>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4.3.1</w:t>
      </w:r>
      <w:r>
        <w:rPr>
          <w:rFonts w:ascii="Times New Roman" w:hAnsi="Times New Roman" w:eastAsia="宋体" w:cs="Times New Roman"/>
          <w:sz w:val="24"/>
          <w:szCs w:val="24"/>
        </w:rPr>
        <w:t>根据现行有效的国家、地方有关法律、法规、技术规范和各级行政主管部门具体要求，完成现场查勘。</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4.3.2</w:t>
      </w:r>
      <w:r>
        <w:rPr>
          <w:rFonts w:ascii="Times New Roman" w:hAnsi="Times New Roman" w:eastAsia="宋体" w:cs="Times New Roman"/>
          <w:sz w:val="24"/>
          <w:szCs w:val="24"/>
        </w:rPr>
        <w:t>按照国家及行业现行最新的标准、规程、规范、技术条例开展服务工作，严格掌握服务标准，控制工程造价。</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应在服务过程中采用优化措施降低工程造价、缩短工期以提高工程整体经济性。</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4.3.3</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的服务应根据</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场地实际情况，选用国家和行业规定的技术标准，采用系统精简、可靠性高的技术，降低工程造价。如果国家与相关行业对项目某些设备或部件没有规定技术标准，则可采用供应商提供的标准。如果</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要求</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采用国外标准和规范的，则</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应按要求执行。</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4.3.4</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应根据业主需要，实时调整计划，安排相应人力、物力资源满足工程进度要求。</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4.3.5</w:t>
      </w:r>
      <w:r>
        <w:rPr>
          <w:rFonts w:ascii="Times New Roman" w:hAnsi="Times New Roman" w:eastAsia="宋体" w:cs="Times New Roman"/>
          <w:sz w:val="24"/>
          <w:szCs w:val="24"/>
        </w:rPr>
        <w:t>除另有约定外，</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的服务不得选用试验阶段的技术。</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4.3.6</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应坚持科学可靠，并借鉴同项目实践经验，确保项目实施达到国家相关要求。</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4.3.7</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的服务应贯彻 ISO9000/GBT19000系列质量体系标准，并满足国家有关环保、消防等方面的要求。</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4.3.8</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应根据项目需要，按照</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要求及时派遣具有相关经验的专业技术人员，对项目可行性研究及相关急需解决的问题进行现场服务。</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4.3.9在服务期限内，</w:t>
      </w:r>
      <w:r>
        <w:rPr>
          <w:rFonts w:ascii="Times New Roman" w:hAnsi="Times New Roman" w:eastAsia="宋体" w:cs="Times New Roman"/>
          <w:sz w:val="24"/>
          <w:szCs w:val="24"/>
        </w:rPr>
        <w:t>为</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提供24小时项目咨询服务。</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4.3.10</w:t>
      </w:r>
      <w:r>
        <w:rPr>
          <w:rFonts w:ascii="Times New Roman" w:hAnsi="Times New Roman" w:eastAsia="宋体" w:cs="Times New Roman"/>
          <w:sz w:val="24"/>
          <w:szCs w:val="24"/>
        </w:rPr>
        <w:t>本项目可研报告编制过程中须对项目实施的可能性、有效性、技术方案及技术政策进行具体、深入、细致的技术论证和经济评价。</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4.3.11</w:t>
      </w:r>
      <w:r>
        <w:rPr>
          <w:rFonts w:ascii="Times New Roman" w:hAnsi="Times New Roman" w:eastAsia="宋体" w:cs="Times New Roman"/>
          <w:sz w:val="24"/>
          <w:szCs w:val="24"/>
        </w:rPr>
        <w:t>本项目可研报告应为建设项目论证、审查、决策提供准确依据</w:t>
      </w:r>
      <w:r>
        <w:rPr>
          <w:rFonts w:hint="eastAsia" w:eastAsia="宋体" w:cs="Times New Roman"/>
          <w:sz w:val="24"/>
          <w:szCs w:val="24"/>
        </w:rPr>
        <w:t>。</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4.3.12</w:t>
      </w:r>
      <w:r>
        <w:rPr>
          <w:rFonts w:ascii="Times New Roman" w:hAnsi="Times New Roman" w:eastAsia="宋体" w:cs="Times New Roman"/>
          <w:sz w:val="24"/>
          <w:szCs w:val="24"/>
        </w:rPr>
        <w:t>本项目可研报告应为编制设计任务书和初步设计提供依据</w:t>
      </w:r>
      <w:r>
        <w:rPr>
          <w:rFonts w:hint="eastAsia" w:eastAsia="宋体" w:cs="Times New Roman"/>
          <w:sz w:val="24"/>
          <w:szCs w:val="24"/>
        </w:rPr>
        <w:t>。</w:t>
      </w:r>
      <w:r>
        <w:rPr>
          <w:rFonts w:ascii="Times New Roman" w:hAnsi="Times New Roman" w:eastAsia="宋体" w:cs="Times New Roman"/>
          <w:sz w:val="24"/>
          <w:szCs w:val="24"/>
        </w:rPr>
        <w:t> </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4.3.14</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的技术服务应确保</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的项目通过国家相关部门的核准。</w:t>
      </w:r>
    </w:p>
    <w:p>
      <w:pPr>
        <w:wordWrap w:val="0"/>
        <w:topLinePunct/>
        <w:spacing w:line="360" w:lineRule="auto"/>
        <w:rPr>
          <w:rFonts w:ascii="Times New Roman" w:hAnsi="Times New Roman" w:eastAsia="宋体" w:cs="Times New Roman"/>
          <w:b/>
          <w:bCs/>
          <w:sz w:val="24"/>
          <w:szCs w:val="24"/>
        </w:rPr>
      </w:pPr>
      <w:bookmarkStart w:id="326" w:name="_Toc20389"/>
      <w:bookmarkStart w:id="327" w:name="_Toc9960"/>
      <w:bookmarkStart w:id="328" w:name="_Toc4637"/>
      <w:bookmarkStart w:id="329" w:name="_Toc723"/>
      <w:bookmarkStart w:id="330" w:name="_Toc11797"/>
      <w:bookmarkStart w:id="331" w:name="_Toc1800"/>
      <w:bookmarkStart w:id="332" w:name="_Toc729"/>
      <w:bookmarkStart w:id="333" w:name="_Toc26178"/>
      <w:bookmarkStart w:id="334" w:name="_Toc31699"/>
      <w:bookmarkStart w:id="335" w:name="_Toc25257"/>
      <w:bookmarkStart w:id="336" w:name="_Toc14303"/>
      <w:bookmarkStart w:id="337" w:name="_Toc8593"/>
      <w:r>
        <w:rPr>
          <w:rFonts w:hint="eastAsia" w:eastAsia="宋体" w:cs="Times New Roman"/>
          <w:b/>
          <w:bCs/>
          <w:sz w:val="24"/>
          <w:szCs w:val="24"/>
        </w:rPr>
        <w:t>4.4</w:t>
      </w:r>
      <w:r>
        <w:rPr>
          <w:rFonts w:ascii="Times New Roman" w:hAnsi="Times New Roman" w:eastAsia="宋体" w:cs="Times New Roman"/>
          <w:b/>
          <w:bCs/>
          <w:sz w:val="24"/>
          <w:szCs w:val="24"/>
        </w:rPr>
        <w:t>文件审查要求</w:t>
      </w:r>
      <w:bookmarkEnd w:id="326"/>
      <w:bookmarkEnd w:id="327"/>
      <w:bookmarkEnd w:id="328"/>
      <w:bookmarkEnd w:id="329"/>
      <w:bookmarkEnd w:id="330"/>
      <w:bookmarkEnd w:id="331"/>
      <w:bookmarkEnd w:id="332"/>
      <w:bookmarkEnd w:id="333"/>
      <w:bookmarkEnd w:id="334"/>
      <w:bookmarkEnd w:id="335"/>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4.4.1</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将负责根据国家及行业的有关规定安排文件审查。</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4.4.2</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应参加</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组织的对文件的审查，并根据审查结论负责文件的必要修改、调整和补充。</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4.4.3</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对文件的审查、确认、批准均不减轻或免除</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本应承担的任何责任。</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4.4.5</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提供相应的可行性研究报告文件，并承担自身参与审查的费用。</w:t>
      </w:r>
    </w:p>
    <w:p>
      <w:pPr>
        <w:wordWrap w:val="0"/>
        <w:topLinePunct/>
        <w:spacing w:line="360" w:lineRule="auto"/>
        <w:rPr>
          <w:rFonts w:ascii="Times New Roman" w:hAnsi="Times New Roman" w:eastAsia="宋体" w:cs="Times New Roman"/>
          <w:b/>
          <w:bCs/>
          <w:sz w:val="24"/>
          <w:szCs w:val="24"/>
        </w:rPr>
      </w:pPr>
      <w:bookmarkStart w:id="338" w:name="_Toc32110"/>
      <w:bookmarkStart w:id="339" w:name="_Toc17660"/>
      <w:bookmarkStart w:id="340" w:name="_Toc9060"/>
      <w:bookmarkStart w:id="341" w:name="_Toc13834"/>
      <w:bookmarkStart w:id="342" w:name="_Toc26966"/>
      <w:bookmarkStart w:id="343" w:name="_Toc28591"/>
      <w:bookmarkStart w:id="344" w:name="_Toc11278"/>
      <w:bookmarkStart w:id="345" w:name="_Toc16902"/>
      <w:r>
        <w:rPr>
          <w:rFonts w:hint="eastAsia" w:eastAsia="宋体" w:cs="Times New Roman"/>
          <w:b/>
          <w:bCs/>
          <w:sz w:val="24"/>
          <w:szCs w:val="24"/>
        </w:rPr>
        <w:t>4.5</w:t>
      </w:r>
      <w:r>
        <w:rPr>
          <w:rFonts w:ascii="Times New Roman" w:hAnsi="Times New Roman" w:eastAsia="宋体" w:cs="Times New Roman"/>
          <w:b/>
          <w:bCs/>
          <w:sz w:val="24"/>
          <w:szCs w:val="24"/>
        </w:rPr>
        <w:t>知识产权及保密要求</w:t>
      </w:r>
      <w:bookmarkEnd w:id="320"/>
      <w:bookmarkEnd w:id="321"/>
      <w:bookmarkEnd w:id="322"/>
      <w:bookmarkEnd w:id="323"/>
      <w:bookmarkEnd w:id="324"/>
      <w:bookmarkEnd w:id="325"/>
      <w:bookmarkEnd w:id="336"/>
      <w:bookmarkEnd w:id="337"/>
      <w:bookmarkEnd w:id="338"/>
      <w:bookmarkEnd w:id="339"/>
      <w:bookmarkEnd w:id="340"/>
      <w:bookmarkEnd w:id="341"/>
      <w:bookmarkEnd w:id="342"/>
      <w:bookmarkEnd w:id="343"/>
      <w:bookmarkEnd w:id="344"/>
      <w:bookmarkEnd w:id="345"/>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4.5.1</w:t>
      </w:r>
      <w:r>
        <w:rPr>
          <w:rFonts w:ascii="Times New Roman" w:hAnsi="Times New Roman" w:eastAsia="宋体" w:cs="Times New Roman"/>
          <w:sz w:val="24"/>
          <w:szCs w:val="24"/>
        </w:rPr>
        <w:t>双方均应保护对方的知识产权，未经对方同意，任何一方均不得擅自修改、复制或向第三方转让从对方取得的资料及文件，也不得将上述资料或文件用于本项目以外的其他项目。</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4.5.2</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应保证其向</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提供的文件或其他资料未侵犯第三方的专利权、商标权、</w:t>
      </w:r>
      <w:r>
        <w:rPr>
          <w:rFonts w:hint="eastAsia" w:eastAsia="宋体" w:cs="Times New Roman"/>
          <w:sz w:val="24"/>
          <w:szCs w:val="24"/>
        </w:rPr>
        <w:t>著作</w:t>
      </w:r>
      <w:r>
        <w:rPr>
          <w:rFonts w:ascii="Times New Roman" w:hAnsi="Times New Roman" w:eastAsia="宋体" w:cs="Times New Roman"/>
          <w:sz w:val="24"/>
          <w:szCs w:val="24"/>
        </w:rPr>
        <w:t>等知识产权，因</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或其代表提供或指定的文件或资料导致任何专利权、商标权、</w:t>
      </w:r>
      <w:r>
        <w:rPr>
          <w:rFonts w:hint="eastAsia" w:eastAsia="宋体" w:cs="Times New Roman"/>
          <w:sz w:val="24"/>
          <w:szCs w:val="24"/>
        </w:rPr>
        <w:t>著作或其他</w:t>
      </w:r>
      <w:r>
        <w:rPr>
          <w:rFonts w:ascii="Times New Roman" w:hAnsi="Times New Roman" w:eastAsia="宋体" w:cs="Times New Roman"/>
          <w:sz w:val="24"/>
          <w:szCs w:val="24"/>
        </w:rPr>
        <w:t>知识产权受到侵犯或据称受到侵犯时，</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应负责处理由此引起的一切事务（包括进行相关的谈判、参与索赔程序等），</w:t>
      </w:r>
      <w:r>
        <w:rPr>
          <w:rFonts w:hint="eastAsia" w:eastAsia="宋体" w:cs="Times New Roman"/>
          <w:sz w:val="24"/>
          <w:szCs w:val="24"/>
        </w:rPr>
        <w:t>承担由此产生的一切费用，</w:t>
      </w:r>
      <w:r>
        <w:rPr>
          <w:rFonts w:ascii="Times New Roman" w:hAnsi="Times New Roman" w:eastAsia="宋体" w:cs="Times New Roman"/>
          <w:sz w:val="24"/>
          <w:szCs w:val="24"/>
        </w:rPr>
        <w:t>保证</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、其雇员、管理人员和其他相关方免于遭受由此产生的任何起诉、索赔、要求、损失、费用(包括可能发生的律师费)的损害。</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4.5.3</w:t>
      </w:r>
      <w:r>
        <w:rPr>
          <w:rFonts w:ascii="Times New Roman" w:hAnsi="Times New Roman" w:eastAsia="宋体" w:cs="Times New Roman"/>
          <w:sz w:val="24"/>
          <w:szCs w:val="24"/>
        </w:rPr>
        <w:t>因</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提供的文件或资料侵犯第三方的专利权、商标权、</w:t>
      </w:r>
      <w:r>
        <w:rPr>
          <w:rFonts w:hint="eastAsia" w:eastAsia="宋体" w:cs="Times New Roman"/>
          <w:sz w:val="24"/>
          <w:szCs w:val="24"/>
        </w:rPr>
        <w:t>著作权</w:t>
      </w:r>
      <w:r>
        <w:rPr>
          <w:rFonts w:ascii="Times New Roman" w:hAnsi="Times New Roman" w:eastAsia="宋体" w:cs="Times New Roman"/>
          <w:sz w:val="24"/>
          <w:szCs w:val="24"/>
        </w:rPr>
        <w:t>等知识产权而导致</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遭受侵权索赔时，</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将立即就此向</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发出书面通知，</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在接到</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的书面通知后应自费并以</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的名义处理该索赔，包括为解决此类索赔而进行谈判、仲裁或诉讼。</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4.5.4</w:t>
      </w:r>
      <w:r>
        <w:rPr>
          <w:rFonts w:ascii="Times New Roman" w:hAnsi="Times New Roman" w:eastAsia="宋体" w:cs="Times New Roman"/>
          <w:sz w:val="24"/>
          <w:szCs w:val="24"/>
        </w:rPr>
        <w:t>如果</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在收到</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发出的上述通知后在规定的时间内未能通知</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其打算处理此类索赔或未按照其承诺处理索赔，</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可自行出面处理，由此产生的一切费用（包括</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需承担的赔偿责任）由</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承担。</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4.5.5</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和</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双方保证对在讨论、签订、执行本合同过程中所获悉的属于对方的且无法自公开渠道获得的文件及资料(包括公司计划、运营活动、财务信息、技术信息、经营信息及其他商业秘密)予以保密。未经该资料和文件的原提供方同意，另一方不得向任何第三方泄露该商业秘密的全部或部分内容。但法律、法规另有规定或双方另有约定的除外。</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4.5.6</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需执行</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所在单位的保密规定。</w:t>
      </w:r>
    </w:p>
    <w:p>
      <w:pPr>
        <w:tabs>
          <w:tab w:val="left" w:pos="840"/>
        </w:tabs>
        <w:wordWrap w:val="0"/>
        <w:topLinePunct/>
        <w:spacing w:line="360" w:lineRule="auto"/>
        <w:rPr>
          <w:rFonts w:ascii="Times New Roman" w:hAnsi="Times New Roman" w:eastAsia="宋体" w:cs="Times New Roman"/>
          <w:sz w:val="24"/>
          <w:szCs w:val="24"/>
        </w:rPr>
      </w:pPr>
      <w:bookmarkStart w:id="346" w:name="_Toc17785"/>
      <w:bookmarkStart w:id="347" w:name="_Toc659"/>
      <w:r>
        <w:rPr>
          <w:rFonts w:hint="eastAsia" w:eastAsia="宋体" w:cs="Times New Roman"/>
          <w:sz w:val="24"/>
          <w:szCs w:val="24"/>
        </w:rPr>
        <w:t>4.5.7</w:t>
      </w:r>
      <w:r>
        <w:rPr>
          <w:rFonts w:hint="eastAsia" w:ascii="Times New Roman" w:hAnsi="Times New Roman" w:eastAsia="宋体" w:cs="Times New Roman"/>
          <w:sz w:val="24"/>
          <w:szCs w:val="24"/>
        </w:rPr>
        <w:t>服务商</w:t>
      </w:r>
      <w:r>
        <w:rPr>
          <w:rFonts w:hint="eastAsia" w:eastAsia="宋体" w:cs="Times New Roman"/>
          <w:sz w:val="24"/>
          <w:szCs w:val="24"/>
        </w:rPr>
        <w:t>应建立</w:t>
      </w:r>
      <w:r>
        <w:rPr>
          <w:rFonts w:ascii="Times New Roman" w:hAnsi="Times New Roman" w:eastAsia="宋体" w:cs="Times New Roman"/>
          <w:sz w:val="24"/>
          <w:szCs w:val="24"/>
        </w:rPr>
        <w:t>内部严格保密制度，无关人员不得接触</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要求保密的内容。</w:t>
      </w:r>
    </w:p>
    <w:p>
      <w:pPr>
        <w:wordWrap w:val="0"/>
        <w:topLinePunct/>
        <w:spacing w:line="360" w:lineRule="auto"/>
        <w:rPr>
          <w:rFonts w:ascii="Times New Roman" w:hAnsi="Times New Roman" w:eastAsia="宋体" w:cs="Times New Roman"/>
          <w:b/>
          <w:bCs/>
          <w:sz w:val="24"/>
          <w:szCs w:val="24"/>
        </w:rPr>
      </w:pPr>
      <w:bookmarkStart w:id="348" w:name="_Toc11992_WPSOffice_Level2"/>
      <w:bookmarkStart w:id="349" w:name="_Toc31419"/>
      <w:bookmarkStart w:id="350" w:name="_Toc3531"/>
      <w:bookmarkStart w:id="351" w:name="_Toc20799"/>
      <w:bookmarkStart w:id="352" w:name="_Toc6303"/>
      <w:bookmarkStart w:id="353" w:name="_Toc2747"/>
      <w:bookmarkStart w:id="354" w:name="_Toc1190"/>
      <w:bookmarkStart w:id="355" w:name="_Toc2844"/>
      <w:bookmarkStart w:id="356" w:name="_Toc6324"/>
      <w:bookmarkStart w:id="357" w:name="_Toc19862"/>
      <w:bookmarkStart w:id="358" w:name="_Toc31645_WPSOffice_Level2"/>
      <w:bookmarkStart w:id="359" w:name="_Toc30901"/>
      <w:bookmarkStart w:id="360" w:name="_Toc8966_WPSOffice_Level2"/>
      <w:r>
        <w:rPr>
          <w:rFonts w:hint="eastAsia" w:eastAsia="宋体" w:cs="Times New Roman"/>
          <w:b/>
          <w:bCs/>
          <w:sz w:val="24"/>
          <w:szCs w:val="24"/>
        </w:rPr>
        <w:t>4.6</w:t>
      </w:r>
      <w:r>
        <w:rPr>
          <w:rFonts w:ascii="Times New Roman" w:hAnsi="Times New Roman" w:eastAsia="宋体" w:cs="Times New Roman"/>
          <w:b/>
          <w:bCs/>
          <w:sz w:val="24"/>
          <w:szCs w:val="24"/>
        </w:rPr>
        <w:t>安全文明管理</w:t>
      </w:r>
      <w:bookmarkEnd w:id="348"/>
      <w:bookmarkEnd w:id="349"/>
      <w:bookmarkEnd w:id="350"/>
      <w:bookmarkEnd w:id="351"/>
      <w:bookmarkEnd w:id="352"/>
      <w:bookmarkEnd w:id="353"/>
      <w:bookmarkEnd w:id="354"/>
      <w:bookmarkEnd w:id="355"/>
      <w:bookmarkEnd w:id="356"/>
      <w:bookmarkEnd w:id="357"/>
      <w:bookmarkEnd w:id="358"/>
      <w:bookmarkEnd w:id="359"/>
      <w:bookmarkEnd w:id="360"/>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4.6.1</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在项目实施过程中，必须遵守国家及行业的各项安全规程、规定，并严格遵守</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的各项安全生产管理制度，确保不发生人身及设备事故。</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4.6.2</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应加强安全教育培训，现场作业应按照相关安全规定要求进行，穿戴好必要的个体防护用具。</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4.6.3</w:t>
      </w:r>
      <w:r>
        <w:rPr>
          <w:rFonts w:ascii="Times New Roman" w:hAnsi="Times New Roman" w:eastAsia="宋体" w:cs="Times New Roman"/>
          <w:sz w:val="24"/>
          <w:szCs w:val="24"/>
        </w:rPr>
        <w:t>由于</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违反有关安全工作的规定、规程，造成人员伤亡和设备设施损坏事故，责任由</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独立承担。对</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造成的经济损失，</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负责赔偿。</w:t>
      </w:r>
    </w:p>
    <w:p>
      <w:pPr>
        <w:wordWrap w:val="0"/>
        <w:topLinePunct/>
        <w:spacing w:line="360" w:lineRule="auto"/>
        <w:rPr>
          <w:rFonts w:ascii="Times New Roman" w:hAnsi="Times New Roman" w:eastAsia="宋体" w:cs="Times New Roman"/>
          <w:b/>
          <w:bCs/>
          <w:sz w:val="24"/>
          <w:szCs w:val="24"/>
        </w:rPr>
      </w:pPr>
      <w:bookmarkStart w:id="361" w:name="_Toc5584"/>
      <w:bookmarkStart w:id="362" w:name="_Toc31487"/>
      <w:bookmarkStart w:id="363" w:name="_Toc22298"/>
      <w:bookmarkStart w:id="364" w:name="_Toc3457"/>
      <w:bookmarkStart w:id="365" w:name="_Toc16106"/>
      <w:bookmarkStart w:id="366" w:name="_Toc5745"/>
      <w:bookmarkStart w:id="367" w:name="_Toc29636"/>
      <w:bookmarkStart w:id="368" w:name="_Toc13820"/>
      <w:bookmarkStart w:id="369" w:name="_Toc30976"/>
      <w:bookmarkStart w:id="370" w:name="_Toc1081"/>
      <w:r>
        <w:rPr>
          <w:rFonts w:hint="eastAsia" w:eastAsia="宋体" w:cs="Times New Roman"/>
          <w:b/>
          <w:bCs/>
          <w:sz w:val="24"/>
          <w:szCs w:val="24"/>
        </w:rPr>
        <w:t>4.7</w:t>
      </w:r>
      <w:r>
        <w:rPr>
          <w:rFonts w:ascii="Times New Roman" w:hAnsi="Times New Roman" w:eastAsia="宋体" w:cs="Times New Roman"/>
          <w:b/>
          <w:bCs/>
          <w:sz w:val="24"/>
          <w:szCs w:val="24"/>
        </w:rPr>
        <w:t>其他要求</w:t>
      </w:r>
      <w:bookmarkEnd w:id="361"/>
      <w:bookmarkEnd w:id="362"/>
      <w:bookmarkEnd w:id="363"/>
      <w:bookmarkEnd w:id="364"/>
      <w:bookmarkEnd w:id="365"/>
      <w:bookmarkEnd w:id="366"/>
      <w:bookmarkEnd w:id="367"/>
      <w:bookmarkEnd w:id="368"/>
      <w:bookmarkEnd w:id="369"/>
      <w:bookmarkEnd w:id="370"/>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w:t>
      </w:r>
      <w:r>
        <w:rPr>
          <w:rFonts w:hint="eastAsia" w:ascii="Times New Roman" w:hAnsi="Times New Roman" w:eastAsia="宋体" w:cs="Times New Roman"/>
          <w:sz w:val="24"/>
          <w:szCs w:val="24"/>
        </w:rPr>
        <w:t>服务</w:t>
      </w:r>
      <w:r>
        <w:rPr>
          <w:rFonts w:ascii="Times New Roman" w:hAnsi="Times New Roman" w:eastAsia="宋体" w:cs="Times New Roman"/>
          <w:sz w:val="24"/>
          <w:szCs w:val="24"/>
        </w:rPr>
        <w:t>项目形成的专利、技术秘密等知识产权归</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所有。双方共同拥有使用权。如向第三方转让或许可使用项目相关知识产权，需经双方书面同意后进行。</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本服务</w:t>
      </w:r>
      <w:r>
        <w:rPr>
          <w:rFonts w:ascii="Times New Roman" w:hAnsi="Times New Roman" w:eastAsia="宋体" w:cs="Times New Roman"/>
          <w:sz w:val="24"/>
          <w:szCs w:val="24"/>
        </w:rPr>
        <w:t>项目研究人员</w:t>
      </w:r>
      <w:r>
        <w:rPr>
          <w:rFonts w:hint="eastAsia" w:eastAsia="宋体" w:cs="Times New Roman"/>
          <w:sz w:val="24"/>
          <w:szCs w:val="24"/>
        </w:rPr>
        <w:t>应用本项目过程资料、成果</w:t>
      </w:r>
      <w:r>
        <w:rPr>
          <w:rFonts w:ascii="Times New Roman" w:hAnsi="Times New Roman" w:eastAsia="宋体" w:cs="Times New Roman"/>
          <w:sz w:val="24"/>
          <w:szCs w:val="24"/>
        </w:rPr>
        <w:t>发表论文、著作</w:t>
      </w:r>
      <w:r>
        <w:rPr>
          <w:rFonts w:hint="eastAsia" w:eastAsia="宋体" w:cs="Times New Roman"/>
          <w:sz w:val="24"/>
          <w:szCs w:val="24"/>
        </w:rPr>
        <w:t>或形成其他知识成果的，</w:t>
      </w:r>
      <w:r>
        <w:rPr>
          <w:rFonts w:ascii="Times New Roman" w:hAnsi="Times New Roman" w:eastAsia="宋体" w:cs="Times New Roman"/>
          <w:sz w:val="24"/>
          <w:szCs w:val="24"/>
        </w:rPr>
        <w:t>必须得到</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的许可。</w:t>
      </w:r>
      <w:bookmarkEnd w:id="346"/>
      <w:bookmarkEnd w:id="347"/>
      <w:bookmarkStart w:id="371" w:name="_Toc29514_WPSOffice_Level1"/>
      <w:bookmarkStart w:id="372" w:name="_Toc2460"/>
      <w:bookmarkStart w:id="373" w:name="_Toc11265"/>
      <w:bookmarkStart w:id="374" w:name="_Toc2155"/>
      <w:bookmarkStart w:id="375" w:name="_Toc11051"/>
      <w:bookmarkStart w:id="376" w:name="_Toc19736"/>
      <w:bookmarkStart w:id="377" w:name="_Toc3447"/>
      <w:bookmarkStart w:id="378" w:name="_Toc20915"/>
      <w:bookmarkStart w:id="379" w:name="_Toc446"/>
      <w:bookmarkStart w:id="380" w:name="_Toc25868"/>
      <w:bookmarkStart w:id="381" w:name="_Toc25909"/>
      <w:bookmarkStart w:id="382" w:name="_Toc28981"/>
      <w:bookmarkStart w:id="383" w:name="_Toc28445_WPSOffice_Level1"/>
      <w:bookmarkStart w:id="384" w:name="_Toc29272_WPSOffice_Level1"/>
      <w:bookmarkStart w:id="385" w:name="_Toc27195"/>
      <w:bookmarkStart w:id="386" w:name="_Toc21451"/>
      <w:bookmarkStart w:id="387" w:name="_Toc9066"/>
      <w:bookmarkStart w:id="388" w:name="_Toc14059"/>
    </w:p>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Pr>
        <w:tabs>
          <w:tab w:val="left" w:pos="426"/>
        </w:tabs>
        <w:wordWrap w:val="0"/>
        <w:topLinePunct/>
        <w:spacing w:line="360" w:lineRule="auto"/>
        <w:outlineLvl w:val="1"/>
        <w:rPr>
          <w:rFonts w:ascii="Times New Roman" w:hAnsi="Times New Roman" w:eastAsia="宋体" w:cs="Times New Roman"/>
          <w:b/>
          <w:bCs/>
          <w:sz w:val="24"/>
          <w:szCs w:val="24"/>
        </w:rPr>
      </w:pPr>
      <w:bookmarkStart w:id="389" w:name="_Toc27430"/>
      <w:bookmarkStart w:id="390" w:name="_Toc24962_WPSOffice_Level2"/>
      <w:bookmarkStart w:id="391" w:name="_Toc24327_WPSOffice_Level2"/>
      <w:bookmarkStart w:id="392" w:name="_Toc21091_WPSOffice_Level2"/>
      <w:bookmarkStart w:id="393" w:name="_Toc22627"/>
      <w:bookmarkStart w:id="394" w:name="_Toc16401"/>
      <w:bookmarkStart w:id="395" w:name="_Toc21264"/>
      <w:bookmarkStart w:id="396" w:name="_Toc7408"/>
      <w:bookmarkStart w:id="397" w:name="_Toc10426"/>
      <w:bookmarkStart w:id="398" w:name="_Toc28618"/>
      <w:bookmarkStart w:id="399" w:name="_Toc27479"/>
      <w:bookmarkStart w:id="400" w:name="_Toc10188"/>
      <w:bookmarkStart w:id="401" w:name="_Toc20370"/>
      <w:bookmarkStart w:id="402" w:name="_Toc11006"/>
      <w:bookmarkStart w:id="403" w:name="_Toc4060"/>
      <w:r>
        <w:rPr>
          <w:rFonts w:hint="eastAsia" w:eastAsia="宋体" w:cs="Times New Roman"/>
          <w:b/>
          <w:bCs/>
          <w:sz w:val="24"/>
          <w:szCs w:val="24"/>
        </w:rPr>
        <w:t>4.8</w:t>
      </w:r>
      <w:r>
        <w:rPr>
          <w:rFonts w:ascii="Times New Roman" w:hAnsi="Times New Roman" w:eastAsia="宋体" w:cs="Times New Roman"/>
          <w:b/>
          <w:bCs/>
          <w:sz w:val="24"/>
          <w:szCs w:val="24"/>
        </w:rPr>
        <w:t>成果文件要求</w:t>
      </w:r>
      <w:bookmarkEnd w:id="389"/>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按期、保质、保量完成本服务任务，达到合同要求。资料的组织结构清晰、逻辑性强。资料内容要正确、准确、一致、清晰完整，内容齐全、结论明确、论据充分，满足项目要求。成果文件主要包括项目可行性研究勘察报告和项目可行性研究报告，具体要求如下（包括但不限于此）。</w:t>
      </w:r>
    </w:p>
    <w:p>
      <w:pPr>
        <w:wordWrap w:val="0"/>
        <w:topLinePunct/>
        <w:spacing w:line="360" w:lineRule="auto"/>
        <w:rPr>
          <w:rFonts w:ascii="Times New Roman" w:hAnsi="Times New Roman" w:eastAsia="宋体" w:cs="Times New Roman"/>
          <w:b/>
          <w:bCs/>
          <w:sz w:val="24"/>
          <w:szCs w:val="24"/>
        </w:rPr>
      </w:pPr>
      <w:r>
        <w:rPr>
          <w:rFonts w:hint="eastAsia" w:eastAsia="宋体" w:cs="Times New Roman"/>
          <w:b/>
          <w:bCs/>
          <w:sz w:val="24"/>
          <w:szCs w:val="24"/>
        </w:rPr>
        <w:t>4.8.1</w:t>
      </w:r>
      <w:r>
        <w:rPr>
          <w:rFonts w:ascii="Times New Roman" w:hAnsi="Times New Roman" w:eastAsia="宋体" w:cs="Times New Roman"/>
          <w:b/>
          <w:bCs/>
          <w:sz w:val="24"/>
          <w:szCs w:val="24"/>
        </w:rPr>
        <w:t>可行性研究勘察报告</w:t>
      </w:r>
      <w:r>
        <w:rPr>
          <w:rFonts w:hint="eastAsia" w:ascii="Times New Roman" w:hAnsi="Times New Roman" w:eastAsia="宋体" w:cs="Times New Roman"/>
          <w:b/>
          <w:bCs/>
          <w:sz w:val="24"/>
          <w:szCs w:val="24"/>
        </w:rPr>
        <w:t>包括但不限于以下内容：</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勘察目的、任务要求和依据的技术</w:t>
      </w:r>
      <w:r>
        <w:fldChar w:fldCharType="begin"/>
      </w:r>
      <w:r>
        <w:instrText xml:space="preserve"> HYPERLINK "http://www.jianshe99.com/web/zhuanyeziliao/biaozhunguifan/" \t "_blank" \o "标准" </w:instrText>
      </w:r>
      <w:r>
        <w:fldChar w:fldCharType="separate"/>
      </w:r>
      <w:r>
        <w:rPr>
          <w:rFonts w:ascii="Times New Roman" w:hAnsi="Times New Roman" w:eastAsia="宋体" w:cs="Times New Roman"/>
          <w:sz w:val="24"/>
          <w:szCs w:val="24"/>
        </w:rPr>
        <w:t>标准</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工程所在地区的水文气象条件；</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拟建场地及其附近地区的地质与地震背景；</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拟建场地的地形、地貌；</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区域和拟建场地的水文地质和工程地质条件；</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可能影响场地的不良地质作用的描述，对其危害程度的分析与评价；</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场地的稳定性和适宜性的评价；</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拟选场地的对比分析及相应的建议；</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工程的重点分析评价内容；</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附图表：拟建场地及其附近的地质图、地震区划图、地形地貌图、场地水文地质图、场地工程地质图、区域水文地质调查图等。</w:t>
      </w:r>
    </w:p>
    <w:p>
      <w:pPr>
        <w:wordWrap w:val="0"/>
        <w:topLinePunct/>
        <w:spacing w:line="360" w:lineRule="auto"/>
        <w:rPr>
          <w:rFonts w:ascii="Times New Roman" w:hAnsi="Times New Roman" w:eastAsia="宋体" w:cs="Times New Roman"/>
          <w:b/>
          <w:bCs/>
          <w:sz w:val="24"/>
          <w:szCs w:val="24"/>
        </w:rPr>
      </w:pPr>
      <w:r>
        <w:rPr>
          <w:rFonts w:hint="eastAsia" w:eastAsia="宋体" w:cs="Times New Roman"/>
          <w:b/>
          <w:bCs/>
          <w:sz w:val="24"/>
          <w:szCs w:val="24"/>
        </w:rPr>
        <w:t>4.8.2</w:t>
      </w:r>
      <w:r>
        <w:rPr>
          <w:rFonts w:ascii="Times New Roman" w:hAnsi="Times New Roman" w:eastAsia="宋体" w:cs="Times New Roman"/>
          <w:b/>
          <w:bCs/>
          <w:sz w:val="24"/>
          <w:szCs w:val="24"/>
        </w:rPr>
        <w:t>可行性研究报告</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按可行性研究内容深度规定，包括但不限于下列内容</w:t>
      </w:r>
      <w:r>
        <w:rPr>
          <w:rFonts w:hint="eastAsia" w:eastAsia="宋体" w:cs="Times New Roman"/>
          <w:sz w:val="24"/>
          <w:szCs w:val="24"/>
        </w:rPr>
        <w:t>：</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b/>
          <w:bCs/>
          <w:sz w:val="24"/>
          <w:szCs w:val="24"/>
        </w:rPr>
        <w:t>4.8.2.1</w:t>
      </w:r>
      <w:r>
        <w:rPr>
          <w:rFonts w:ascii="Times New Roman" w:hAnsi="Times New Roman" w:eastAsia="宋体" w:cs="Times New Roman"/>
          <w:b/>
          <w:bCs/>
          <w:sz w:val="24"/>
          <w:szCs w:val="24"/>
        </w:rPr>
        <w:t>总论</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项目背景；</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投资方及项目单位概况；</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研究范围与分工；</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项目概况；</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工作</w:t>
      </w:r>
      <w:r>
        <w:rPr>
          <w:rFonts w:hint="eastAsia" w:eastAsia="宋体" w:cs="Times New Roman"/>
          <w:sz w:val="24"/>
          <w:szCs w:val="24"/>
        </w:rPr>
        <w:t>简要</w:t>
      </w:r>
      <w:r>
        <w:rPr>
          <w:rFonts w:ascii="Times New Roman" w:hAnsi="Times New Roman" w:eastAsia="宋体" w:cs="Times New Roman"/>
          <w:sz w:val="24"/>
          <w:szCs w:val="24"/>
        </w:rPr>
        <w:t>过程及</w:t>
      </w:r>
      <w:r>
        <w:rPr>
          <w:rFonts w:hint="eastAsia" w:eastAsia="宋体" w:cs="Times New Roman"/>
          <w:sz w:val="24"/>
          <w:szCs w:val="24"/>
        </w:rPr>
        <w:t>主要参加人员</w:t>
      </w:r>
      <w:r>
        <w:rPr>
          <w:rFonts w:ascii="Times New Roman" w:hAnsi="Times New Roman" w:eastAsia="宋体" w:cs="Times New Roman"/>
          <w:sz w:val="24"/>
          <w:szCs w:val="24"/>
        </w:rPr>
        <w:t>；</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主要结论、存在的问题和建议。</w:t>
      </w:r>
    </w:p>
    <w:p>
      <w:pPr>
        <w:tabs>
          <w:tab w:val="left" w:pos="840"/>
        </w:tabs>
        <w:wordWrap w:val="0"/>
        <w:topLinePunct/>
        <w:spacing w:line="360" w:lineRule="auto"/>
        <w:rPr>
          <w:rFonts w:eastAsia="宋体" w:cs="Times New Roman"/>
          <w:b/>
          <w:bCs/>
          <w:sz w:val="24"/>
          <w:szCs w:val="24"/>
        </w:rPr>
      </w:pPr>
      <w:r>
        <w:rPr>
          <w:rFonts w:hint="eastAsia" w:eastAsia="宋体" w:cs="Times New Roman"/>
          <w:b/>
          <w:bCs/>
          <w:sz w:val="24"/>
          <w:szCs w:val="24"/>
        </w:rPr>
        <w:t>4.8.2.2</w:t>
      </w:r>
      <w:r>
        <w:rPr>
          <w:rFonts w:eastAsia="宋体" w:cs="Times New Roman"/>
          <w:b/>
          <w:bCs/>
          <w:sz w:val="24"/>
          <w:szCs w:val="24"/>
        </w:rPr>
        <w:t>电力系统</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国民经济和社会发展概况；</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能源资源概况；</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电力系统</w:t>
      </w:r>
      <w:r>
        <w:rPr>
          <w:rFonts w:hint="eastAsia" w:eastAsia="宋体" w:cs="Times New Roman"/>
          <w:sz w:val="24"/>
          <w:szCs w:val="24"/>
        </w:rPr>
        <w:t>现</w:t>
      </w:r>
      <w:r>
        <w:rPr>
          <w:rFonts w:ascii="Times New Roman" w:hAnsi="Times New Roman" w:eastAsia="宋体" w:cs="Times New Roman"/>
          <w:sz w:val="24"/>
          <w:szCs w:val="24"/>
        </w:rPr>
        <w:t>况；</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hint="eastAsia" w:eastAsia="宋体" w:cs="Times New Roman"/>
          <w:sz w:val="24"/>
          <w:szCs w:val="24"/>
        </w:rPr>
        <w:t>负荷预测；</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电力电量平衡</w:t>
      </w:r>
      <w:r>
        <w:rPr>
          <w:rFonts w:hint="eastAsia" w:eastAsia="宋体" w:cs="Times New Roman"/>
          <w:sz w:val="24"/>
          <w:szCs w:val="24"/>
        </w:rPr>
        <w:t>计算</w:t>
      </w:r>
      <w:r>
        <w:rPr>
          <w:rFonts w:ascii="Times New Roman" w:hAnsi="Times New Roman" w:eastAsia="宋体" w:cs="Times New Roman"/>
          <w:sz w:val="24"/>
          <w:szCs w:val="24"/>
        </w:rPr>
        <w:t>分析；</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项目建设的必要性；</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接入系统方案；</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主接线要求。</w:t>
      </w:r>
    </w:p>
    <w:p>
      <w:pPr>
        <w:tabs>
          <w:tab w:val="left" w:pos="840"/>
        </w:tabs>
        <w:wordWrap w:val="0"/>
        <w:topLinePunct/>
        <w:spacing w:line="360" w:lineRule="auto"/>
        <w:rPr>
          <w:rFonts w:ascii="Times New Roman" w:hAnsi="Times New Roman" w:eastAsia="宋体" w:cs="Times New Roman"/>
          <w:b/>
          <w:bCs/>
          <w:sz w:val="24"/>
          <w:szCs w:val="24"/>
        </w:rPr>
      </w:pPr>
      <w:r>
        <w:rPr>
          <w:rFonts w:hint="eastAsia" w:eastAsia="宋体" w:cs="Times New Roman"/>
          <w:b/>
          <w:bCs/>
          <w:sz w:val="24"/>
          <w:szCs w:val="24"/>
        </w:rPr>
        <w:t>4.8.2.3</w:t>
      </w:r>
      <w:r>
        <w:rPr>
          <w:rFonts w:ascii="Times New Roman" w:hAnsi="Times New Roman" w:eastAsia="宋体" w:cs="Times New Roman"/>
          <w:b/>
          <w:bCs/>
          <w:sz w:val="24"/>
          <w:szCs w:val="24"/>
        </w:rPr>
        <w:t>热</w:t>
      </w:r>
      <w:r>
        <w:rPr>
          <w:rFonts w:hint="eastAsia" w:eastAsia="宋体" w:cs="Times New Roman"/>
          <w:b/>
          <w:bCs/>
          <w:sz w:val="24"/>
          <w:szCs w:val="24"/>
        </w:rPr>
        <w:t>（冷）</w:t>
      </w:r>
      <w:r>
        <w:rPr>
          <w:rFonts w:ascii="Times New Roman" w:hAnsi="Times New Roman" w:eastAsia="宋体" w:cs="Times New Roman"/>
          <w:b/>
          <w:bCs/>
          <w:sz w:val="24"/>
          <w:szCs w:val="24"/>
        </w:rPr>
        <w:t>负荷分析</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供热（冷）现状及存在的问题；</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热（冷）负荷分析；</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供热（冷）设计参数的确定；</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联合调度运行方式；</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配套供热（冷）管网建设。</w:t>
      </w:r>
    </w:p>
    <w:p>
      <w:pPr>
        <w:tabs>
          <w:tab w:val="left" w:pos="840"/>
        </w:tabs>
        <w:wordWrap w:val="0"/>
        <w:topLinePunct/>
        <w:spacing w:line="360" w:lineRule="auto"/>
        <w:rPr>
          <w:rFonts w:ascii="Times New Roman" w:hAnsi="Times New Roman" w:eastAsia="宋体" w:cs="Times New Roman"/>
          <w:b/>
          <w:bCs/>
          <w:sz w:val="24"/>
          <w:szCs w:val="24"/>
        </w:rPr>
      </w:pPr>
      <w:r>
        <w:rPr>
          <w:rFonts w:hint="eastAsia" w:eastAsia="宋体" w:cs="Times New Roman"/>
          <w:b/>
          <w:bCs/>
          <w:sz w:val="24"/>
          <w:szCs w:val="24"/>
        </w:rPr>
        <w:t>4.8.2.4</w:t>
      </w:r>
      <w:r>
        <w:rPr>
          <w:rFonts w:ascii="Times New Roman" w:hAnsi="Times New Roman" w:eastAsia="宋体" w:cs="Times New Roman"/>
          <w:b/>
          <w:bCs/>
          <w:sz w:val="24"/>
          <w:szCs w:val="24"/>
        </w:rPr>
        <w:t>燃料</w:t>
      </w:r>
      <w:r>
        <w:rPr>
          <w:rFonts w:hint="eastAsia" w:eastAsia="宋体" w:cs="Times New Roman"/>
          <w:b/>
          <w:bCs/>
          <w:sz w:val="24"/>
          <w:szCs w:val="24"/>
        </w:rPr>
        <w:t>供应</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燃料来源；</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燃料品质；</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燃料消耗量；</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hint="eastAsia" w:eastAsia="宋体" w:cs="Times New Roman"/>
          <w:sz w:val="24"/>
          <w:szCs w:val="24"/>
        </w:rPr>
        <w:t>燃料运输方式；</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其他燃料需求及来源（助燃用燃料、市政污泥等）；</w:t>
      </w:r>
    </w:p>
    <w:p>
      <w:pPr>
        <w:tabs>
          <w:tab w:val="left" w:pos="840"/>
        </w:tabs>
        <w:wordWrap w:val="0"/>
        <w:topLinePunct/>
        <w:spacing w:line="360" w:lineRule="auto"/>
        <w:rPr>
          <w:rFonts w:ascii="Times New Roman" w:hAnsi="Times New Roman" w:eastAsia="宋体" w:cs="Times New Roman"/>
          <w:b/>
          <w:bCs/>
          <w:sz w:val="24"/>
          <w:szCs w:val="24"/>
        </w:rPr>
      </w:pPr>
      <w:r>
        <w:rPr>
          <w:rFonts w:hint="eastAsia" w:eastAsia="宋体" w:cs="Times New Roman"/>
          <w:b/>
          <w:bCs/>
          <w:sz w:val="24"/>
          <w:szCs w:val="24"/>
        </w:rPr>
        <w:t>4.8.2.5</w:t>
      </w:r>
      <w:r>
        <w:rPr>
          <w:rFonts w:ascii="Times New Roman" w:hAnsi="Times New Roman" w:eastAsia="宋体" w:cs="Times New Roman"/>
          <w:b/>
          <w:bCs/>
          <w:sz w:val="24"/>
          <w:szCs w:val="24"/>
        </w:rPr>
        <w:t>厂址条件</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厂址概述；</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交通运输（煤、灰等可能的公路、铁路等交通运输）；</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水文及气象；</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水源；</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贮灰场</w:t>
      </w:r>
      <w:r>
        <w:rPr>
          <w:rFonts w:hint="eastAsia" w:eastAsia="宋体" w:cs="Times New Roman"/>
          <w:sz w:val="24"/>
          <w:szCs w:val="24"/>
        </w:rPr>
        <w:t>（含脱硫副产品）</w:t>
      </w:r>
      <w:r>
        <w:rPr>
          <w:rFonts w:ascii="Times New Roman" w:hAnsi="Times New Roman" w:eastAsia="宋体" w:cs="Times New Roman"/>
          <w:sz w:val="24"/>
          <w:szCs w:val="24"/>
        </w:rPr>
        <w:t>；</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地震、地质及岩土工程；</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厂址比较及推荐意见。</w:t>
      </w:r>
      <w:r>
        <w:rPr>
          <w:rFonts w:hint="eastAsia" w:eastAsia="宋体" w:cs="Times New Roman"/>
          <w:b/>
          <w:bCs/>
          <w:sz w:val="24"/>
          <w:szCs w:val="24"/>
        </w:rPr>
        <w:t>根据</w:t>
      </w:r>
      <w:r>
        <w:rPr>
          <w:rFonts w:ascii="Times New Roman" w:hAnsi="Times New Roman" w:eastAsia="宋体" w:cs="Times New Roman"/>
          <w:b/>
          <w:bCs/>
          <w:sz w:val="24"/>
          <w:szCs w:val="24"/>
        </w:rPr>
        <w:t>《火力发电厂可行性研究报告内容深度规定》（DL/T 5374-2018）</w:t>
      </w:r>
      <w:r>
        <w:rPr>
          <w:rFonts w:hint="eastAsia" w:eastAsia="宋体" w:cs="Times New Roman"/>
          <w:b/>
          <w:bCs/>
          <w:sz w:val="24"/>
          <w:szCs w:val="24"/>
        </w:rPr>
        <w:t>的要求，充分做好厂址选择的论证说明，进行综合技术经济比较，提出厂址的推荐意见。本项应形成专题报告</w:t>
      </w:r>
      <w:r>
        <w:rPr>
          <w:rFonts w:hint="eastAsia" w:eastAsia="宋体" w:cs="Times New Roman"/>
          <w:sz w:val="24"/>
          <w:szCs w:val="24"/>
        </w:rPr>
        <w:t>。</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b/>
          <w:bCs/>
          <w:sz w:val="24"/>
          <w:szCs w:val="24"/>
        </w:rPr>
        <w:t>4.8.2.6</w:t>
      </w:r>
      <w:r>
        <w:rPr>
          <w:rFonts w:ascii="Times New Roman" w:hAnsi="Times New Roman" w:eastAsia="宋体" w:cs="Times New Roman"/>
          <w:b/>
          <w:bCs/>
          <w:sz w:val="24"/>
          <w:szCs w:val="24"/>
        </w:rPr>
        <w:t>工程方案设想</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全厂总体规划及厂区总平面（竖向）布置；</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装机方案；</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主</w:t>
      </w:r>
      <w:r>
        <w:rPr>
          <w:rFonts w:hint="eastAsia" w:eastAsia="宋体" w:cs="Times New Roman"/>
          <w:sz w:val="24"/>
          <w:szCs w:val="24"/>
        </w:rPr>
        <w:t>机</w:t>
      </w:r>
      <w:r>
        <w:rPr>
          <w:rFonts w:ascii="Times New Roman" w:hAnsi="Times New Roman" w:eastAsia="宋体" w:cs="Times New Roman"/>
          <w:sz w:val="24"/>
          <w:szCs w:val="24"/>
        </w:rPr>
        <w:t>技术条件；</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热力系统；</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燃烧制粉系统；</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hint="eastAsia" w:eastAsia="宋体" w:cs="Times New Roman"/>
          <w:sz w:val="24"/>
          <w:szCs w:val="24"/>
        </w:rPr>
        <w:t>电气部分；</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燃料输送系统；</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除尘除灰渣系统；</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hint="eastAsia" w:eastAsia="宋体" w:cs="Times New Roman"/>
          <w:sz w:val="24"/>
          <w:szCs w:val="24"/>
        </w:rPr>
        <w:t>化学部分；</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hint="eastAsia" w:eastAsia="宋体" w:cs="Times New Roman"/>
          <w:sz w:val="24"/>
          <w:szCs w:val="24"/>
        </w:rPr>
        <w:t>热工自动化部分；</w:t>
      </w:r>
    </w:p>
    <w:p>
      <w:pPr>
        <w:tabs>
          <w:tab w:val="left" w:pos="3000"/>
          <w:tab w:val="left" w:pos="3280"/>
          <w:tab w:val="left" w:pos="6120"/>
          <w:tab w:val="left" w:pos="7540"/>
          <w:tab w:val="left" w:pos="8320"/>
        </w:tabs>
        <w:adjustRightInd w:val="0"/>
        <w:snapToGrid w:val="0"/>
        <w:spacing w:line="360" w:lineRule="auto"/>
        <w:ind w:firstLine="480" w:firstLineChars="200"/>
        <w:rPr>
          <w:rFonts w:eastAsia="宋体" w:cs="Times New Roman"/>
          <w:sz w:val="24"/>
          <w:szCs w:val="24"/>
        </w:rPr>
      </w:pPr>
      <w:r>
        <w:rPr>
          <w:rFonts w:hint="eastAsia" w:eastAsia="宋体" w:cs="Times New Roman"/>
          <w:sz w:val="24"/>
          <w:szCs w:val="24"/>
        </w:rPr>
        <w:t>智慧电厂建设方案；</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hint="eastAsia" w:eastAsia="宋体" w:cs="Times New Roman"/>
          <w:sz w:val="24"/>
          <w:szCs w:val="24"/>
        </w:rPr>
        <w:t>主厂房布置；</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hint="eastAsia" w:eastAsia="宋体" w:cs="Times New Roman"/>
          <w:sz w:val="24"/>
          <w:szCs w:val="24"/>
        </w:rPr>
        <w:t>建筑结构部分；</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hint="eastAsia" w:eastAsia="宋体" w:cs="Times New Roman"/>
          <w:sz w:val="24"/>
          <w:szCs w:val="24"/>
        </w:rPr>
        <w:t>供排水系统及冷却设施；</w:t>
      </w:r>
    </w:p>
    <w:p>
      <w:pPr>
        <w:tabs>
          <w:tab w:val="left" w:pos="3000"/>
          <w:tab w:val="left" w:pos="3280"/>
          <w:tab w:val="left" w:pos="6120"/>
          <w:tab w:val="left" w:pos="7540"/>
          <w:tab w:val="left" w:pos="8320"/>
        </w:tabs>
        <w:adjustRightInd w:val="0"/>
        <w:snapToGrid w:val="0"/>
        <w:spacing w:line="360" w:lineRule="auto"/>
        <w:ind w:firstLine="480" w:firstLineChars="200"/>
        <w:rPr>
          <w:rFonts w:eastAsia="宋体" w:cs="Times New Roman"/>
          <w:sz w:val="24"/>
          <w:szCs w:val="24"/>
        </w:rPr>
      </w:pPr>
      <w:r>
        <w:rPr>
          <w:rFonts w:hint="eastAsia" w:eastAsia="宋体" w:cs="Times New Roman"/>
          <w:sz w:val="24"/>
          <w:szCs w:val="24"/>
        </w:rPr>
        <w:t>贮灰渣（含脱硫石膏）场；</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hint="eastAsia" w:eastAsia="宋体" w:cs="Times New Roman"/>
          <w:sz w:val="24"/>
          <w:szCs w:val="24"/>
        </w:rPr>
        <w:t>消防系统。</w:t>
      </w:r>
    </w:p>
    <w:p>
      <w:pPr>
        <w:tabs>
          <w:tab w:val="left" w:pos="3000"/>
          <w:tab w:val="left" w:pos="3280"/>
          <w:tab w:val="left" w:pos="6120"/>
          <w:tab w:val="left" w:pos="7540"/>
          <w:tab w:val="left" w:pos="8320"/>
        </w:tabs>
        <w:adjustRightInd w:val="0"/>
        <w:snapToGrid w:val="0"/>
        <w:spacing w:line="360" w:lineRule="auto"/>
        <w:rPr>
          <w:rFonts w:ascii="Times New Roman" w:hAnsi="Times New Roman" w:eastAsia="宋体" w:cs="Times New Roman"/>
          <w:b/>
          <w:bCs/>
          <w:sz w:val="24"/>
          <w:szCs w:val="24"/>
        </w:rPr>
      </w:pPr>
      <w:r>
        <w:rPr>
          <w:rFonts w:hint="eastAsia" w:eastAsia="宋体" w:cs="Times New Roman"/>
          <w:b/>
          <w:bCs/>
          <w:sz w:val="24"/>
          <w:szCs w:val="24"/>
        </w:rPr>
        <w:t>4.8.2.7 烟气脱硫与脱硝</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烟气脱硫系统；</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烟气脱硝系统；</w:t>
      </w:r>
    </w:p>
    <w:p>
      <w:pPr>
        <w:tabs>
          <w:tab w:val="left" w:pos="3000"/>
          <w:tab w:val="left" w:pos="3280"/>
          <w:tab w:val="left" w:pos="6120"/>
          <w:tab w:val="left" w:pos="7540"/>
          <w:tab w:val="left" w:pos="8320"/>
        </w:tabs>
        <w:adjustRightInd w:val="0"/>
        <w:snapToGrid w:val="0"/>
        <w:spacing w:line="360" w:lineRule="auto"/>
        <w:rPr>
          <w:rFonts w:ascii="Times New Roman" w:hAnsi="Times New Roman" w:eastAsia="宋体" w:cs="Times New Roman"/>
          <w:b/>
          <w:bCs/>
          <w:sz w:val="24"/>
          <w:szCs w:val="24"/>
        </w:rPr>
      </w:pPr>
      <w:r>
        <w:rPr>
          <w:rFonts w:hint="eastAsia" w:eastAsia="宋体" w:cs="Times New Roman"/>
          <w:b/>
          <w:bCs/>
          <w:sz w:val="24"/>
          <w:szCs w:val="24"/>
        </w:rPr>
        <w:t>4.8.2.8 环境及生态保护和水土保持</w:t>
      </w:r>
    </w:p>
    <w:p>
      <w:pPr>
        <w:tabs>
          <w:tab w:val="left" w:pos="3000"/>
          <w:tab w:val="left" w:pos="3280"/>
          <w:tab w:val="left" w:pos="6120"/>
          <w:tab w:val="left" w:pos="7540"/>
          <w:tab w:val="left" w:pos="8320"/>
        </w:tabs>
        <w:adjustRightInd w:val="0"/>
        <w:snapToGrid w:val="0"/>
        <w:spacing w:line="360" w:lineRule="auto"/>
        <w:rPr>
          <w:rFonts w:ascii="Times New Roman" w:hAnsi="Times New Roman" w:eastAsia="宋体" w:cs="Times New Roman"/>
          <w:b/>
          <w:bCs/>
          <w:sz w:val="24"/>
          <w:szCs w:val="24"/>
        </w:rPr>
      </w:pPr>
      <w:r>
        <w:rPr>
          <w:rFonts w:hint="eastAsia" w:eastAsia="宋体" w:cs="Times New Roman"/>
          <w:b/>
          <w:bCs/>
          <w:sz w:val="24"/>
          <w:szCs w:val="24"/>
        </w:rPr>
        <w:t>4.8.2.9 综合利用</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贮用结合，积极利用”的原则和国家对灰、渣和脱硫副产品综合利用的规定和要求，对灰、渣和脱硫副产品综合利用可行性项目进行市场调研并加以论述，包括综合利用的可能途径及综合利用对灰、渣和脱硫副产品的品质、等级、用量等要求，必要时编写专题报告</w:t>
      </w:r>
      <w:r>
        <w:rPr>
          <w:rFonts w:hint="eastAsia" w:eastAsia="宋体" w:cs="Times New Roman"/>
          <w:sz w:val="24"/>
          <w:szCs w:val="24"/>
        </w:rPr>
        <w:t>（根据核准需要）</w:t>
      </w:r>
      <w:r>
        <w:rPr>
          <w:rFonts w:ascii="Times New Roman" w:hAnsi="Times New Roman" w:eastAsia="宋体" w:cs="Times New Roman"/>
          <w:sz w:val="24"/>
          <w:szCs w:val="24"/>
        </w:rPr>
        <w:t>，为发电厂工程的综合利用创造条件，并取得相关的协议文件。</w:t>
      </w:r>
    </w:p>
    <w:p>
      <w:pPr>
        <w:tabs>
          <w:tab w:val="left" w:pos="3000"/>
          <w:tab w:val="left" w:pos="3280"/>
          <w:tab w:val="left" w:pos="6120"/>
          <w:tab w:val="left" w:pos="7540"/>
          <w:tab w:val="left" w:pos="8320"/>
        </w:tabs>
        <w:adjustRightInd w:val="0"/>
        <w:snapToGrid w:val="0"/>
        <w:spacing w:line="360" w:lineRule="auto"/>
        <w:rPr>
          <w:rFonts w:ascii="Times New Roman" w:hAnsi="Times New Roman" w:eastAsia="宋体" w:cs="Times New Roman"/>
          <w:b/>
          <w:bCs/>
          <w:sz w:val="24"/>
          <w:szCs w:val="24"/>
        </w:rPr>
      </w:pPr>
      <w:r>
        <w:rPr>
          <w:rFonts w:hint="eastAsia" w:eastAsia="宋体" w:cs="Times New Roman"/>
          <w:b/>
          <w:bCs/>
          <w:sz w:val="24"/>
          <w:szCs w:val="24"/>
        </w:rPr>
        <w:t>4.8.2.10 劳动安全</w:t>
      </w:r>
    </w:p>
    <w:p>
      <w:pPr>
        <w:tabs>
          <w:tab w:val="left" w:pos="3000"/>
          <w:tab w:val="left" w:pos="3280"/>
          <w:tab w:val="left" w:pos="6120"/>
          <w:tab w:val="left" w:pos="7540"/>
          <w:tab w:val="left" w:pos="8320"/>
        </w:tabs>
        <w:adjustRightInd w:val="0"/>
        <w:snapToGrid w:val="0"/>
        <w:spacing w:line="360" w:lineRule="auto"/>
        <w:ind w:firstLine="480" w:firstLineChars="200"/>
        <w:rPr>
          <w:rFonts w:eastAsia="宋体" w:cs="Times New Roman"/>
          <w:sz w:val="24"/>
          <w:szCs w:val="24"/>
        </w:rPr>
      </w:pPr>
      <w:r>
        <w:rPr>
          <w:rFonts w:hint="eastAsia" w:eastAsia="宋体" w:cs="Times New Roman"/>
          <w:sz w:val="24"/>
          <w:szCs w:val="24"/>
        </w:rPr>
        <w:t>可研报告中应说明发电厂和毗邻企业或居民区之间存在的潜在危险因素和影响，相互间安全距离是否符合相关标准要求；发电厂所处地区主要自然灾害的情况以及防护措施。；项目概况、性质、煤源、设计能力、工艺流程，使用、储存化学危险品种类和用量，生产过程中可能产生的主要危险因素的种类、部位、形态及危害的范围和程度，生产设备机械化或自动化程度以及防护措施。</w:t>
      </w:r>
    </w:p>
    <w:p>
      <w:pPr>
        <w:tabs>
          <w:tab w:val="left" w:pos="3000"/>
          <w:tab w:val="left" w:pos="3280"/>
          <w:tab w:val="left" w:pos="6120"/>
          <w:tab w:val="left" w:pos="7540"/>
          <w:tab w:val="left" w:pos="8320"/>
        </w:tabs>
        <w:adjustRightInd w:val="0"/>
        <w:snapToGrid w:val="0"/>
        <w:spacing w:line="360" w:lineRule="auto"/>
        <w:rPr>
          <w:rFonts w:ascii="Times New Roman" w:hAnsi="Times New Roman" w:eastAsia="宋体" w:cs="Times New Roman"/>
          <w:b/>
          <w:bCs/>
          <w:sz w:val="24"/>
          <w:szCs w:val="24"/>
        </w:rPr>
      </w:pPr>
      <w:r>
        <w:rPr>
          <w:rFonts w:hint="eastAsia" w:eastAsia="宋体" w:cs="Times New Roman"/>
          <w:b/>
          <w:bCs/>
          <w:sz w:val="24"/>
          <w:szCs w:val="24"/>
        </w:rPr>
        <w:t>4.8.2.11 职业卫生</w:t>
      </w:r>
    </w:p>
    <w:p>
      <w:pPr>
        <w:tabs>
          <w:tab w:val="left" w:pos="3000"/>
          <w:tab w:val="left" w:pos="3280"/>
          <w:tab w:val="left" w:pos="6120"/>
          <w:tab w:val="left" w:pos="7540"/>
          <w:tab w:val="left" w:pos="8320"/>
        </w:tabs>
        <w:adjustRightInd w:val="0"/>
        <w:snapToGrid w:val="0"/>
        <w:spacing w:line="360" w:lineRule="auto"/>
        <w:rPr>
          <w:rFonts w:ascii="Times New Roman" w:hAnsi="Times New Roman" w:eastAsia="宋体" w:cs="Times New Roman"/>
          <w:b/>
          <w:bCs/>
          <w:sz w:val="24"/>
          <w:szCs w:val="24"/>
        </w:rPr>
      </w:pPr>
      <w:r>
        <w:rPr>
          <w:rFonts w:hint="eastAsia" w:eastAsia="宋体" w:cs="Times New Roman"/>
          <w:b/>
          <w:bCs/>
          <w:sz w:val="24"/>
          <w:szCs w:val="24"/>
        </w:rPr>
        <w:t>4.8.2.12 资源利用</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hint="eastAsia" w:eastAsia="宋体" w:cs="Times New Roman"/>
          <w:sz w:val="24"/>
          <w:szCs w:val="24"/>
        </w:rPr>
        <w:t>原则要求</w:t>
      </w:r>
      <w:r>
        <w:rPr>
          <w:rFonts w:ascii="Times New Roman" w:hAnsi="Times New Roman" w:eastAsia="宋体" w:cs="Times New Roman"/>
          <w:sz w:val="24"/>
          <w:szCs w:val="24"/>
        </w:rPr>
        <w:t>；</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hint="eastAsia" w:eastAsia="宋体" w:cs="Times New Roman"/>
          <w:sz w:val="24"/>
          <w:szCs w:val="24"/>
        </w:rPr>
        <w:t>能源利用</w:t>
      </w:r>
      <w:r>
        <w:rPr>
          <w:rFonts w:ascii="Times New Roman" w:hAnsi="Times New Roman" w:eastAsia="宋体" w:cs="Times New Roman"/>
          <w:sz w:val="24"/>
          <w:szCs w:val="24"/>
        </w:rPr>
        <w:t>；</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hint="eastAsia" w:eastAsia="宋体" w:cs="Times New Roman"/>
          <w:sz w:val="24"/>
          <w:szCs w:val="24"/>
        </w:rPr>
        <w:t>土地利用</w:t>
      </w:r>
      <w:r>
        <w:rPr>
          <w:rFonts w:ascii="Times New Roman" w:hAnsi="Times New Roman" w:eastAsia="宋体" w:cs="Times New Roman"/>
          <w:sz w:val="24"/>
          <w:szCs w:val="24"/>
        </w:rPr>
        <w:t>；</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hint="eastAsia" w:eastAsia="宋体" w:cs="Times New Roman"/>
          <w:sz w:val="24"/>
          <w:szCs w:val="24"/>
        </w:rPr>
        <w:t>水资源利用</w:t>
      </w:r>
      <w:r>
        <w:rPr>
          <w:rFonts w:ascii="Times New Roman" w:hAnsi="Times New Roman" w:eastAsia="宋体" w:cs="Times New Roman"/>
          <w:sz w:val="24"/>
          <w:szCs w:val="24"/>
        </w:rPr>
        <w:t>；</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hint="eastAsia" w:eastAsia="宋体" w:cs="Times New Roman"/>
          <w:sz w:val="24"/>
          <w:szCs w:val="24"/>
        </w:rPr>
        <w:t>建筑材料利用</w:t>
      </w:r>
      <w:r>
        <w:rPr>
          <w:rFonts w:ascii="Times New Roman" w:hAnsi="Times New Roman" w:eastAsia="宋体" w:cs="Times New Roman"/>
          <w:sz w:val="24"/>
          <w:szCs w:val="24"/>
        </w:rPr>
        <w:t>；</w:t>
      </w:r>
    </w:p>
    <w:p>
      <w:pPr>
        <w:tabs>
          <w:tab w:val="left" w:pos="840"/>
        </w:tabs>
        <w:wordWrap w:val="0"/>
        <w:topLinePunct/>
        <w:spacing w:line="360" w:lineRule="auto"/>
        <w:rPr>
          <w:rFonts w:ascii="Times New Roman" w:hAnsi="Times New Roman" w:eastAsia="宋体" w:cs="Times New Roman"/>
          <w:b/>
          <w:bCs/>
          <w:sz w:val="24"/>
          <w:szCs w:val="24"/>
        </w:rPr>
      </w:pPr>
      <w:r>
        <w:rPr>
          <w:rFonts w:hint="eastAsia" w:eastAsia="宋体" w:cs="Times New Roman"/>
          <w:b/>
          <w:bCs/>
          <w:sz w:val="24"/>
          <w:szCs w:val="24"/>
        </w:rPr>
        <w:t>4.8.2.13</w:t>
      </w:r>
      <w:r>
        <w:rPr>
          <w:rFonts w:ascii="Times New Roman" w:hAnsi="Times New Roman" w:eastAsia="宋体" w:cs="Times New Roman"/>
          <w:b/>
          <w:bCs/>
          <w:sz w:val="24"/>
          <w:szCs w:val="24"/>
        </w:rPr>
        <w:t>节能分析</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项目能源消耗概况；</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节能降耗措施；</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节能分析及结论。</w:t>
      </w:r>
    </w:p>
    <w:p>
      <w:pPr>
        <w:tabs>
          <w:tab w:val="left" w:pos="840"/>
        </w:tabs>
        <w:wordWrap w:val="0"/>
        <w:topLinePunct/>
        <w:spacing w:line="360" w:lineRule="auto"/>
        <w:rPr>
          <w:rFonts w:ascii="Times New Roman" w:hAnsi="Times New Roman" w:eastAsia="宋体" w:cs="Times New Roman"/>
          <w:b/>
          <w:bCs/>
          <w:sz w:val="24"/>
          <w:szCs w:val="24"/>
        </w:rPr>
      </w:pPr>
      <w:r>
        <w:rPr>
          <w:rFonts w:hint="eastAsia" w:eastAsia="宋体" w:cs="Times New Roman"/>
          <w:b/>
          <w:bCs/>
          <w:sz w:val="24"/>
          <w:szCs w:val="24"/>
        </w:rPr>
        <w:t>4.8.2.14人力资源配置</w:t>
      </w:r>
    </w:p>
    <w:p>
      <w:pPr>
        <w:tabs>
          <w:tab w:val="left" w:pos="840"/>
        </w:tabs>
        <w:wordWrap w:val="0"/>
        <w:topLinePunct/>
        <w:spacing w:line="360" w:lineRule="auto"/>
        <w:rPr>
          <w:rFonts w:ascii="Times New Roman" w:hAnsi="Times New Roman" w:eastAsia="宋体" w:cs="Times New Roman"/>
          <w:b/>
          <w:bCs/>
          <w:sz w:val="24"/>
          <w:szCs w:val="24"/>
        </w:rPr>
      </w:pPr>
      <w:r>
        <w:rPr>
          <w:rFonts w:hint="eastAsia" w:eastAsia="宋体" w:cs="Times New Roman"/>
          <w:b/>
          <w:bCs/>
          <w:sz w:val="24"/>
          <w:szCs w:val="24"/>
        </w:rPr>
        <w:t>4.8.2.15</w:t>
      </w:r>
      <w:r>
        <w:rPr>
          <w:rFonts w:ascii="Times New Roman" w:hAnsi="Times New Roman" w:eastAsia="宋体" w:cs="Times New Roman"/>
          <w:b/>
          <w:bCs/>
          <w:sz w:val="24"/>
          <w:szCs w:val="24"/>
        </w:rPr>
        <w:t>项目实施的条件和建设进度及工期</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项目实施条件；</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施工组织构想；</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项目实施轮廓进度。</w:t>
      </w:r>
    </w:p>
    <w:p>
      <w:pPr>
        <w:tabs>
          <w:tab w:val="left" w:pos="840"/>
        </w:tabs>
        <w:wordWrap w:val="0"/>
        <w:topLinePunct/>
        <w:spacing w:line="360" w:lineRule="auto"/>
        <w:rPr>
          <w:rFonts w:ascii="Times New Roman" w:hAnsi="Times New Roman" w:eastAsia="宋体" w:cs="Times New Roman"/>
          <w:b/>
          <w:bCs/>
          <w:sz w:val="24"/>
          <w:szCs w:val="24"/>
        </w:rPr>
      </w:pPr>
      <w:r>
        <w:rPr>
          <w:rFonts w:hint="eastAsia" w:eastAsia="宋体" w:cs="Times New Roman"/>
          <w:b/>
          <w:bCs/>
          <w:sz w:val="24"/>
          <w:szCs w:val="24"/>
        </w:rPr>
        <w:t>4.8.2.16</w:t>
      </w:r>
      <w:r>
        <w:rPr>
          <w:rFonts w:ascii="Times New Roman" w:hAnsi="Times New Roman" w:eastAsia="宋体" w:cs="Times New Roman"/>
          <w:b/>
          <w:bCs/>
          <w:sz w:val="24"/>
          <w:szCs w:val="24"/>
        </w:rPr>
        <w:t>投资估算、融资方案及财务分析</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投资估算；</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资金来源及融资方案；</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财务分析。</w:t>
      </w:r>
    </w:p>
    <w:p>
      <w:pPr>
        <w:tabs>
          <w:tab w:val="left" w:pos="840"/>
        </w:tabs>
        <w:wordWrap w:val="0"/>
        <w:topLinePunct/>
        <w:spacing w:line="360" w:lineRule="auto"/>
        <w:rPr>
          <w:rFonts w:ascii="Times New Roman" w:hAnsi="Times New Roman" w:eastAsia="宋体" w:cs="Times New Roman"/>
          <w:b/>
          <w:bCs/>
          <w:sz w:val="24"/>
          <w:szCs w:val="24"/>
        </w:rPr>
      </w:pPr>
      <w:r>
        <w:rPr>
          <w:rFonts w:hint="eastAsia" w:eastAsia="宋体" w:cs="Times New Roman"/>
          <w:b/>
          <w:bCs/>
          <w:sz w:val="24"/>
          <w:szCs w:val="24"/>
        </w:rPr>
        <w:t>4.8.2.17</w:t>
      </w:r>
      <w:r>
        <w:rPr>
          <w:rFonts w:ascii="Times New Roman" w:hAnsi="Times New Roman" w:eastAsia="宋体" w:cs="Times New Roman"/>
          <w:b/>
          <w:bCs/>
          <w:sz w:val="24"/>
          <w:szCs w:val="24"/>
        </w:rPr>
        <w:t>风险分析</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市场风险分析；</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技术风险分析；</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工程风险分析；</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资金风险分析；</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政策风险分析；</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外部协作风险分析；</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风险评估及应对措施和建议。</w:t>
      </w:r>
    </w:p>
    <w:p>
      <w:pPr>
        <w:tabs>
          <w:tab w:val="left" w:pos="840"/>
        </w:tabs>
        <w:wordWrap w:val="0"/>
        <w:topLinePunct/>
        <w:spacing w:line="360" w:lineRule="auto"/>
        <w:rPr>
          <w:rFonts w:ascii="Times New Roman" w:hAnsi="Times New Roman" w:eastAsia="宋体" w:cs="Times New Roman"/>
          <w:b/>
          <w:bCs/>
          <w:sz w:val="24"/>
          <w:szCs w:val="24"/>
        </w:rPr>
      </w:pPr>
      <w:r>
        <w:rPr>
          <w:rFonts w:hint="eastAsia" w:eastAsia="宋体" w:cs="Times New Roman"/>
          <w:b/>
          <w:bCs/>
          <w:sz w:val="24"/>
          <w:szCs w:val="24"/>
        </w:rPr>
        <w:t>4.8.2.18 经济与社会影响分析</w:t>
      </w:r>
    </w:p>
    <w:p>
      <w:pPr>
        <w:tabs>
          <w:tab w:val="left" w:pos="840"/>
        </w:tabs>
        <w:wordWrap w:val="0"/>
        <w:topLinePunct/>
        <w:spacing w:line="360" w:lineRule="auto"/>
        <w:ind w:firstLine="480" w:firstLineChars="200"/>
        <w:rPr>
          <w:rFonts w:ascii="Times New Roman" w:hAnsi="Times New Roman" w:eastAsia="宋体" w:cs="Times New Roman"/>
          <w:sz w:val="24"/>
          <w:szCs w:val="24"/>
        </w:rPr>
      </w:pPr>
      <w:r>
        <w:rPr>
          <w:rFonts w:hint="eastAsia" w:eastAsia="宋体" w:cs="Times New Roman"/>
          <w:sz w:val="24"/>
          <w:szCs w:val="24"/>
        </w:rPr>
        <w:t>经济影响分析；</w:t>
      </w:r>
    </w:p>
    <w:p>
      <w:pPr>
        <w:tabs>
          <w:tab w:val="left" w:pos="840"/>
        </w:tabs>
        <w:wordWrap w:val="0"/>
        <w:topLinePunct/>
        <w:spacing w:line="360" w:lineRule="auto"/>
        <w:ind w:firstLine="480" w:firstLineChars="200"/>
        <w:rPr>
          <w:rFonts w:ascii="Times New Roman" w:hAnsi="Times New Roman" w:eastAsia="宋体" w:cs="Times New Roman"/>
          <w:sz w:val="24"/>
          <w:szCs w:val="24"/>
        </w:rPr>
      </w:pPr>
      <w:r>
        <w:rPr>
          <w:rFonts w:hint="eastAsia" w:eastAsia="宋体" w:cs="Times New Roman"/>
          <w:sz w:val="24"/>
          <w:szCs w:val="24"/>
        </w:rPr>
        <w:t>社会影响分析。</w:t>
      </w:r>
    </w:p>
    <w:p>
      <w:pPr>
        <w:tabs>
          <w:tab w:val="left" w:pos="840"/>
        </w:tabs>
        <w:wordWrap w:val="0"/>
        <w:topLinePunct/>
        <w:spacing w:line="360" w:lineRule="auto"/>
        <w:rPr>
          <w:rFonts w:ascii="Times New Roman" w:hAnsi="Times New Roman" w:eastAsia="宋体" w:cs="Times New Roman"/>
          <w:b/>
          <w:bCs/>
          <w:sz w:val="24"/>
          <w:szCs w:val="24"/>
        </w:rPr>
      </w:pPr>
      <w:r>
        <w:rPr>
          <w:rFonts w:hint="eastAsia" w:eastAsia="宋体" w:cs="Times New Roman"/>
          <w:b/>
          <w:bCs/>
          <w:sz w:val="24"/>
          <w:szCs w:val="24"/>
        </w:rPr>
        <w:t>4.8.2.19</w:t>
      </w:r>
      <w:r>
        <w:rPr>
          <w:rFonts w:ascii="Times New Roman" w:hAnsi="Times New Roman" w:eastAsia="宋体" w:cs="Times New Roman"/>
          <w:b/>
          <w:bCs/>
          <w:sz w:val="24"/>
          <w:szCs w:val="24"/>
        </w:rPr>
        <w:t>结论与建议</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主要结论、存在的问题和建议；</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主要技术经济指标。</w:t>
      </w:r>
    </w:p>
    <w:p>
      <w:pPr>
        <w:tabs>
          <w:tab w:val="left" w:pos="840"/>
        </w:tabs>
        <w:wordWrap w:val="0"/>
        <w:topLinePunct/>
        <w:spacing w:line="360" w:lineRule="auto"/>
        <w:rPr>
          <w:rFonts w:ascii="Times New Roman" w:hAnsi="Times New Roman" w:eastAsia="宋体" w:cs="Times New Roman"/>
          <w:b/>
          <w:bCs/>
          <w:sz w:val="24"/>
          <w:szCs w:val="24"/>
        </w:rPr>
      </w:pPr>
      <w:r>
        <w:rPr>
          <w:rFonts w:hint="eastAsia" w:eastAsia="宋体" w:cs="Times New Roman"/>
          <w:b/>
          <w:bCs/>
          <w:sz w:val="24"/>
          <w:szCs w:val="24"/>
        </w:rPr>
        <w:t>4.8.2.20</w:t>
      </w:r>
      <w:r>
        <w:rPr>
          <w:rFonts w:ascii="Times New Roman" w:hAnsi="Times New Roman" w:eastAsia="宋体" w:cs="Times New Roman"/>
          <w:b/>
          <w:bCs/>
          <w:sz w:val="24"/>
          <w:szCs w:val="24"/>
        </w:rPr>
        <w:t>可行性研究报告应具有下列附图（不限于此）：</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厂址总体规划图(1：50000</w:t>
      </w:r>
      <w:r>
        <w:rPr>
          <w:rFonts w:hint="eastAsia" w:eastAsia="宋体" w:cs="Times New Roman"/>
          <w:sz w:val="24"/>
          <w:szCs w:val="24"/>
        </w:rPr>
        <w:t>或1:100000</w:t>
      </w:r>
      <w:r>
        <w:rPr>
          <w:rFonts w:ascii="Times New Roman" w:hAnsi="Times New Roman" w:eastAsia="宋体" w:cs="Times New Roman"/>
          <w:sz w:val="24"/>
          <w:szCs w:val="24"/>
        </w:rPr>
        <w:t>)；</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电力系统现状地理接线图；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项目所在地区电力系统现状地理接线图；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推荐方案的设计水平年电力系统地理接线图；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厂址总体规划图（1：10000或1: 25000</w:t>
      </w:r>
      <w:r>
        <w:rPr>
          <w:rFonts w:hint="eastAsia" w:eastAsia="宋体" w:cs="Times New Roman"/>
          <w:sz w:val="24"/>
          <w:szCs w:val="24"/>
        </w:rPr>
        <w:t>，包含防、排红规划</w:t>
      </w:r>
      <w:r>
        <w:rPr>
          <w:rFonts w:ascii="Times New Roman" w:hAnsi="Times New Roman" w:eastAsia="宋体" w:cs="Times New Roman"/>
          <w:sz w:val="24"/>
          <w:szCs w:val="24"/>
        </w:rPr>
        <w:t>）；</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厂区总平面规划布置图（1：2000</w:t>
      </w:r>
      <w:r>
        <w:rPr>
          <w:rFonts w:hint="eastAsia" w:eastAsia="宋体" w:cs="Times New Roman"/>
          <w:sz w:val="24"/>
          <w:szCs w:val="24"/>
        </w:rPr>
        <w:t>，含循环水管线</w:t>
      </w:r>
      <w:r>
        <w:rPr>
          <w:rFonts w:ascii="Times New Roman" w:hAnsi="Times New Roman" w:eastAsia="宋体" w:cs="Times New Roman"/>
          <w:sz w:val="24"/>
          <w:szCs w:val="24"/>
        </w:rPr>
        <w:t>）；</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厂区竖向规划布置图（1：2000）；</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原则性热力系统图；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原则性燃烧系统图；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原则性除灰渣系统图；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原则性运煤系统工艺流程图；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原则性锅炉补给水处理系统图；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原则性凝结水精处理系统图；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原则性生活污水、工业废水、含煤废水、脱硫废水处理系统图；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原则性电气主接线图；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原则性高压厂用电接线图；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全厂自动化系统规划图；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水工建筑物总布置图；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供水系统图；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全厂水量平衡图；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取水建筑物平剖面图；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排水建筑物平剖面图；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地下水源地开采布置图（如有）；</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贮灰场平面布置图（1：2000或1：5000）；</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贮灰场围堤纵横剖面图；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主厂房平面布置图；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主厂房横剖面图；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脱硫设施平面规划布置图；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原则性脱硫工艺系统图；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脱硝设施规划布置图；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原则性脱硝工艺系统图；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原则性厂区热网系统图；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施工组织设计总布置图；</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其他必要的方案布置图。</w:t>
      </w:r>
    </w:p>
    <w:p>
      <w:pPr>
        <w:wordWrap w:val="0"/>
        <w:topLinePunct/>
        <w:spacing w:line="360" w:lineRule="auto"/>
        <w:rPr>
          <w:rFonts w:ascii="Times New Roman" w:hAnsi="Times New Roman" w:eastAsia="宋体" w:cs="Times New Roman"/>
          <w:b/>
          <w:bCs/>
          <w:sz w:val="24"/>
          <w:szCs w:val="24"/>
        </w:rPr>
      </w:pPr>
      <w:r>
        <w:rPr>
          <w:rFonts w:hint="eastAsia" w:eastAsia="宋体" w:cs="Times New Roman"/>
          <w:b/>
          <w:bCs/>
          <w:sz w:val="24"/>
          <w:szCs w:val="24"/>
        </w:rPr>
        <w:t>4.9</w:t>
      </w:r>
      <w:r>
        <w:rPr>
          <w:rFonts w:ascii="Times New Roman" w:hAnsi="Times New Roman" w:eastAsia="宋体" w:cs="Times New Roman"/>
          <w:b/>
          <w:bCs/>
          <w:sz w:val="24"/>
          <w:szCs w:val="24"/>
        </w:rPr>
        <w:t>成果文件的深度</w:t>
      </w:r>
    </w:p>
    <w:p>
      <w:pPr>
        <w:tabs>
          <w:tab w:val="left" w:pos="3000"/>
          <w:tab w:val="left" w:pos="3280"/>
          <w:tab w:val="left" w:pos="6120"/>
          <w:tab w:val="left" w:pos="7540"/>
          <w:tab w:val="left" w:pos="8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符合《火力发电厂可行性研究报告内容深度规定》（DL/T 5374-2018）的要求。</w:t>
      </w:r>
    </w:p>
    <w:p>
      <w:pPr>
        <w:tabs>
          <w:tab w:val="left" w:pos="3000"/>
          <w:tab w:val="left" w:pos="3280"/>
          <w:tab w:val="left" w:pos="6120"/>
          <w:tab w:val="left" w:pos="7540"/>
          <w:tab w:val="left" w:pos="8320"/>
        </w:tabs>
        <w:adjustRightInd w:val="0"/>
        <w:snapToGrid w:val="0"/>
        <w:spacing w:line="360" w:lineRule="auto"/>
        <w:rPr>
          <w:rFonts w:asciiTheme="minorEastAsia" w:hAnsiTheme="minorEastAsia" w:cstheme="minorEastAsia"/>
          <w:b/>
          <w:bCs/>
          <w:sz w:val="24"/>
          <w:szCs w:val="24"/>
        </w:rPr>
      </w:pPr>
      <w:r>
        <w:rPr>
          <w:rFonts w:hint="eastAsia" w:asciiTheme="minorEastAsia" w:hAnsiTheme="minorEastAsia" w:cstheme="minorEastAsia"/>
          <w:b/>
          <w:bCs/>
          <w:sz w:val="24"/>
          <w:szCs w:val="24"/>
        </w:rPr>
        <w:t>4.10 质量要求</w:t>
      </w:r>
    </w:p>
    <w:p>
      <w:pPr>
        <w:pStyle w:val="4"/>
        <w:spacing w:before="0" w:after="0" w:line="360" w:lineRule="auto"/>
        <w:rPr>
          <w:rFonts w:asciiTheme="minorEastAsia" w:hAnsiTheme="minorEastAsia" w:eastAsiaTheme="minorEastAsia" w:cstheme="minorEastAsia"/>
          <w:sz w:val="24"/>
          <w:szCs w:val="24"/>
        </w:rPr>
      </w:pPr>
      <w:bookmarkStart w:id="404" w:name="_Toc23192"/>
      <w:r>
        <w:rPr>
          <w:rFonts w:hint="eastAsia" w:asciiTheme="minorEastAsia" w:hAnsiTheme="minorEastAsia" w:eastAsiaTheme="minorEastAsia" w:cstheme="minorEastAsia"/>
          <w:sz w:val="24"/>
          <w:szCs w:val="24"/>
        </w:rPr>
        <w:t>（1）满足项目评审及核准要求。可行性研研究报告及附件、附图的深度、内容及质量需满足核准及各环节评审要求。</w:t>
      </w:r>
      <w:bookmarkEnd w:id="404"/>
    </w:p>
    <w:p>
      <w:pPr>
        <w:pStyle w:val="4"/>
        <w:spacing w:before="0" w:after="0" w:line="360" w:lineRule="auto"/>
        <w:rPr>
          <w:rFonts w:asciiTheme="minorEastAsia" w:hAnsiTheme="minorEastAsia" w:eastAsiaTheme="minorEastAsia" w:cstheme="minorEastAsia"/>
          <w:sz w:val="24"/>
          <w:szCs w:val="24"/>
        </w:rPr>
      </w:pPr>
      <w:bookmarkStart w:id="405" w:name="_Toc30626"/>
      <w:r>
        <w:rPr>
          <w:rFonts w:hint="eastAsia" w:asciiTheme="minorEastAsia" w:hAnsiTheme="minorEastAsia" w:eastAsiaTheme="minorEastAsia" w:cstheme="minorEastAsia"/>
          <w:sz w:val="24"/>
          <w:szCs w:val="24"/>
        </w:rPr>
        <w:t>（2）满足业主履行内部发起、立项等决策要求。可行性研研究报告需满足采购人下步履行立项决策要求，其内容需包含但不限于以下内容：项目必要性、项目基本情况、项目技术经济可行性、机组设备选型、投资规模、财务分析（含敏感性分析和投资收益）、项目风险及措施、项目建设计划等内容。</w:t>
      </w:r>
      <w:bookmarkEnd w:id="405"/>
    </w:p>
    <w:p>
      <w:pPr>
        <w:wordWrap w:val="0"/>
        <w:topLinePunct/>
        <w:spacing w:line="360" w:lineRule="auto"/>
        <w:rPr>
          <w:rFonts w:ascii="Times New Roman" w:hAnsi="Times New Roman" w:eastAsia="宋体" w:cs="Times New Roman"/>
          <w:b/>
          <w:bCs/>
          <w:sz w:val="24"/>
          <w:szCs w:val="24"/>
        </w:rPr>
      </w:pPr>
      <w:r>
        <w:rPr>
          <w:rFonts w:hint="eastAsia" w:eastAsia="宋体" w:cs="Times New Roman"/>
          <w:b/>
          <w:bCs/>
          <w:sz w:val="24"/>
          <w:szCs w:val="24"/>
        </w:rPr>
        <w:t>4.11</w:t>
      </w:r>
      <w:r>
        <w:rPr>
          <w:rFonts w:ascii="Times New Roman" w:hAnsi="Times New Roman" w:eastAsia="宋体" w:cs="Times New Roman"/>
          <w:b/>
          <w:bCs/>
          <w:sz w:val="24"/>
          <w:szCs w:val="24"/>
        </w:rPr>
        <w:t>成果文件的格式要求</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4.11.1</w:t>
      </w:r>
      <w:r>
        <w:rPr>
          <w:rFonts w:ascii="Times New Roman" w:hAnsi="Times New Roman" w:eastAsia="宋体" w:cs="Times New Roman"/>
          <w:sz w:val="24"/>
          <w:szCs w:val="24"/>
        </w:rPr>
        <w:t>本服务全部使用国家法定单位制，语言为中文。</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4.11.2</w:t>
      </w:r>
      <w:r>
        <w:rPr>
          <w:rFonts w:ascii="Times New Roman" w:hAnsi="Times New Roman" w:eastAsia="宋体" w:cs="Times New Roman"/>
          <w:sz w:val="24"/>
          <w:szCs w:val="24"/>
        </w:rPr>
        <w:t>文本文件为可编辑的Word2003/Excel2003以上格式。图纸为可编辑的AutoCAD2004以上格式（含图纸中使用的所有字体文件）</w:t>
      </w:r>
      <w:r>
        <w:rPr>
          <w:rFonts w:hint="eastAsia" w:eastAsia="宋体" w:cs="Times New Roman"/>
          <w:sz w:val="24"/>
          <w:szCs w:val="24"/>
        </w:rPr>
        <w:t>，矢量数据为大地2000坐标系，可以使用Arcgis打开查询</w:t>
      </w:r>
      <w:r>
        <w:rPr>
          <w:rFonts w:ascii="Times New Roman" w:hAnsi="Times New Roman" w:eastAsia="宋体" w:cs="Times New Roman"/>
          <w:sz w:val="24"/>
          <w:szCs w:val="24"/>
        </w:rPr>
        <w:t>。</w:t>
      </w:r>
    </w:p>
    <w:p>
      <w:pPr>
        <w:wordWrap w:val="0"/>
        <w:topLinePunct/>
        <w:spacing w:line="360" w:lineRule="auto"/>
        <w:rPr>
          <w:rFonts w:ascii="Times New Roman" w:hAnsi="Times New Roman" w:eastAsia="宋体" w:cs="Times New Roman"/>
          <w:b/>
          <w:bCs/>
          <w:sz w:val="24"/>
          <w:szCs w:val="24"/>
        </w:rPr>
      </w:pPr>
      <w:r>
        <w:rPr>
          <w:rFonts w:hint="eastAsia" w:eastAsia="宋体" w:cs="Times New Roman"/>
          <w:b/>
          <w:bCs/>
          <w:sz w:val="24"/>
          <w:szCs w:val="24"/>
        </w:rPr>
        <w:t>4.12</w:t>
      </w:r>
      <w:r>
        <w:rPr>
          <w:rFonts w:ascii="Times New Roman" w:hAnsi="Times New Roman" w:eastAsia="宋体" w:cs="Times New Roman"/>
          <w:b/>
          <w:bCs/>
          <w:sz w:val="24"/>
          <w:szCs w:val="24"/>
        </w:rPr>
        <w:t>成果文件的份数要求</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4.12.1</w:t>
      </w:r>
      <w:r>
        <w:rPr>
          <w:rFonts w:ascii="Times New Roman" w:hAnsi="Times New Roman" w:eastAsia="宋体" w:cs="Times New Roman"/>
          <w:sz w:val="24"/>
          <w:szCs w:val="24"/>
        </w:rPr>
        <w:t>可行性研究报告初稿电子版Word版和pdf版各一份，图纸为可编辑的AutoCAD2004以上格式文件。</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4.12.2</w:t>
      </w:r>
      <w:r>
        <w:rPr>
          <w:rFonts w:ascii="Times New Roman" w:hAnsi="Times New Roman" w:eastAsia="宋体" w:cs="Times New Roman"/>
          <w:sz w:val="24"/>
          <w:szCs w:val="24"/>
        </w:rPr>
        <w:t>可行性研究报告审查稿</w:t>
      </w:r>
      <w:r>
        <w:rPr>
          <w:rFonts w:hint="eastAsia" w:eastAsia="宋体" w:cs="Times New Roman"/>
          <w:sz w:val="24"/>
          <w:szCs w:val="24"/>
        </w:rPr>
        <w:t>纸质版需满足各阶段审查需要</w:t>
      </w:r>
      <w:r>
        <w:rPr>
          <w:rFonts w:ascii="Times New Roman" w:hAnsi="Times New Roman" w:eastAsia="宋体" w:cs="Times New Roman"/>
          <w:sz w:val="24"/>
          <w:szCs w:val="24"/>
        </w:rPr>
        <w:t>。</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4.12.3</w:t>
      </w:r>
      <w:r>
        <w:rPr>
          <w:rFonts w:ascii="Times New Roman" w:hAnsi="Times New Roman" w:eastAsia="宋体" w:cs="Times New Roman"/>
          <w:sz w:val="24"/>
          <w:szCs w:val="24"/>
        </w:rPr>
        <w:t>可行性研究报告出版稿和收口版纸质版</w:t>
      </w:r>
      <w:r>
        <w:rPr>
          <w:rFonts w:hint="eastAsia" w:eastAsia="宋体" w:cs="Times New Roman"/>
          <w:sz w:val="24"/>
          <w:szCs w:val="24"/>
        </w:rPr>
        <w:t>16</w:t>
      </w:r>
      <w:r>
        <w:rPr>
          <w:rFonts w:ascii="Times New Roman" w:hAnsi="Times New Roman" w:eastAsia="宋体" w:cs="Times New Roman"/>
          <w:sz w:val="24"/>
          <w:szCs w:val="24"/>
        </w:rPr>
        <w:t>份，及其相应的电子光盘一式</w:t>
      </w:r>
      <w:r>
        <w:rPr>
          <w:rFonts w:hint="eastAsia" w:eastAsia="宋体" w:cs="Times New Roman"/>
          <w:sz w:val="24"/>
          <w:szCs w:val="24"/>
        </w:rPr>
        <w:t>十</w:t>
      </w:r>
      <w:r>
        <w:rPr>
          <w:rFonts w:ascii="Times New Roman" w:hAnsi="Times New Roman" w:eastAsia="宋体" w:cs="Times New Roman"/>
          <w:sz w:val="24"/>
          <w:szCs w:val="24"/>
        </w:rPr>
        <w:t xml:space="preserve">份。作为归档和报批使用。 </w:t>
      </w:r>
    </w:p>
    <w:p>
      <w:pPr>
        <w:wordWrap w:val="0"/>
        <w:topLinePunct/>
        <w:spacing w:line="360" w:lineRule="auto"/>
        <w:rPr>
          <w:rFonts w:ascii="Times New Roman" w:hAnsi="Times New Roman" w:eastAsia="宋体" w:cs="Times New Roman"/>
          <w:b/>
          <w:bCs/>
          <w:sz w:val="24"/>
          <w:szCs w:val="24"/>
        </w:rPr>
      </w:pPr>
      <w:r>
        <w:rPr>
          <w:rFonts w:hint="eastAsia" w:eastAsia="宋体" w:cs="Times New Roman"/>
          <w:b/>
          <w:bCs/>
          <w:sz w:val="24"/>
          <w:szCs w:val="24"/>
        </w:rPr>
        <w:t>4.13</w:t>
      </w:r>
      <w:r>
        <w:rPr>
          <w:rFonts w:ascii="Times New Roman" w:hAnsi="Times New Roman" w:eastAsia="宋体" w:cs="Times New Roman"/>
          <w:b/>
          <w:bCs/>
          <w:sz w:val="24"/>
          <w:szCs w:val="24"/>
        </w:rPr>
        <w:t>成果文件的载体要求</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4.13.1</w:t>
      </w:r>
      <w:r>
        <w:rPr>
          <w:rFonts w:ascii="Times New Roman" w:hAnsi="Times New Roman" w:eastAsia="宋体" w:cs="Times New Roman"/>
          <w:sz w:val="24"/>
          <w:szCs w:val="24"/>
        </w:rPr>
        <w:t>纸质版的要求</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4.13.1.1</w:t>
      </w:r>
      <w:r>
        <w:rPr>
          <w:rFonts w:ascii="Times New Roman" w:hAnsi="Times New Roman" w:eastAsia="宋体" w:cs="Times New Roman"/>
          <w:sz w:val="24"/>
          <w:szCs w:val="24"/>
        </w:rPr>
        <w:t>资料的纸质应采用80克以上白纸。</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4.13.1.2</w:t>
      </w:r>
      <w:r>
        <w:rPr>
          <w:rFonts w:ascii="Times New Roman" w:hAnsi="Times New Roman" w:eastAsia="宋体" w:cs="Times New Roman"/>
          <w:sz w:val="24"/>
          <w:szCs w:val="24"/>
        </w:rPr>
        <w:t>文件、资料幅面均为80克以上的A4纸；如幅面小于此规格，可用80克白纸进行四角托裱。图纸要按《技术制图-复制图的折叠方法》（GB/T10609.3-2009）要求统一折叠，折叠成国际标准A4型（298mm×210mm），为保护图文内容，要求图纸有内容的图文区（</w:t>
      </w:r>
      <w:r>
        <w:rPr>
          <w:rFonts w:hint="eastAsia" w:eastAsia="宋体" w:cs="Times New Roman"/>
          <w:sz w:val="24"/>
          <w:szCs w:val="24"/>
        </w:rPr>
        <w:t>蓝图</w:t>
      </w:r>
      <w:r>
        <w:rPr>
          <w:rFonts w:ascii="Times New Roman" w:hAnsi="Times New Roman" w:eastAsia="宋体" w:cs="Times New Roman"/>
          <w:sz w:val="24"/>
          <w:szCs w:val="24"/>
        </w:rPr>
        <w:t>面）朝里折叠，无内容面（白色面）朝外，图样折叠时标题栏外露在右下角。</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4.13.2</w:t>
      </w:r>
      <w:r>
        <w:rPr>
          <w:rFonts w:ascii="Times New Roman" w:hAnsi="Times New Roman" w:eastAsia="宋体" w:cs="Times New Roman"/>
          <w:sz w:val="24"/>
          <w:szCs w:val="24"/>
        </w:rPr>
        <w:t>电子版的要求</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4.13.2.1</w:t>
      </w:r>
      <w:r>
        <w:rPr>
          <w:rFonts w:ascii="Times New Roman" w:hAnsi="Times New Roman" w:eastAsia="宋体" w:cs="Times New Roman"/>
          <w:sz w:val="24"/>
          <w:szCs w:val="24"/>
        </w:rPr>
        <w:t>电子版说明书必须保证文档的完整性，不可直接截取所需部分文档，文档必须与纸质版文档完全一致；</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4.13.2.2</w:t>
      </w:r>
      <w:r>
        <w:rPr>
          <w:rFonts w:ascii="Times New Roman" w:hAnsi="Times New Roman" w:eastAsia="宋体" w:cs="Times New Roman"/>
          <w:sz w:val="24"/>
          <w:szCs w:val="24"/>
        </w:rPr>
        <w:t>电子版资料必须包括所有可行性研究阶段的全部文件。</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4.13.3</w:t>
      </w:r>
      <w:r>
        <w:rPr>
          <w:rFonts w:ascii="Times New Roman" w:hAnsi="Times New Roman" w:eastAsia="宋体" w:cs="Times New Roman"/>
          <w:sz w:val="24"/>
          <w:szCs w:val="24"/>
        </w:rPr>
        <w:t>载体其他要求</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4.13.3.1</w:t>
      </w:r>
      <w:r>
        <w:rPr>
          <w:rFonts w:ascii="Times New Roman" w:hAnsi="Times New Roman" w:eastAsia="宋体" w:cs="Times New Roman"/>
          <w:sz w:val="24"/>
          <w:szCs w:val="24"/>
        </w:rPr>
        <w:t>文本厚度可为20、30、40三种规格，装订厚度超过40mm的应另组分册。</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4.13.3.2</w:t>
      </w:r>
      <w:r>
        <w:rPr>
          <w:rFonts w:ascii="Times New Roman" w:hAnsi="Times New Roman" w:eastAsia="宋体" w:cs="Times New Roman"/>
          <w:sz w:val="24"/>
          <w:szCs w:val="24"/>
        </w:rPr>
        <w:t>归档资料应字迹清楚，图样清晰，图表整洁，签字认可手续完备，归档资料、文件需盖章及签名各项不得有空缺。</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4.13.3.3</w:t>
      </w:r>
      <w:r>
        <w:rPr>
          <w:rFonts w:ascii="Times New Roman" w:hAnsi="Times New Roman" w:eastAsia="宋体" w:cs="Times New Roman"/>
          <w:sz w:val="24"/>
          <w:szCs w:val="24"/>
        </w:rPr>
        <w:t>需永久、长期保存的文件不应用易褪色的书写材料（红色墨水、纯蓝墨水、圆珠笔、复写纸、铅笔等）书写、绘制，须采用黑碳素墨水书写。</w:t>
      </w:r>
    </w:p>
    <w:bookmarkEnd w:id="387"/>
    <w:bookmarkEnd w:id="388"/>
    <w:bookmarkEnd w:id="390"/>
    <w:bookmarkEnd w:id="391"/>
    <w:bookmarkEnd w:id="392"/>
    <w:bookmarkEnd w:id="393"/>
    <w:p>
      <w:pPr>
        <w:wordWrap w:val="0"/>
        <w:topLinePunct/>
        <w:spacing w:line="360" w:lineRule="auto"/>
        <w:rPr>
          <w:rFonts w:ascii="Times New Roman" w:hAnsi="Times New Roman" w:eastAsia="宋体" w:cs="Times New Roman"/>
          <w:b/>
          <w:bCs/>
          <w:sz w:val="24"/>
          <w:szCs w:val="24"/>
        </w:rPr>
      </w:pPr>
      <w:r>
        <w:rPr>
          <w:rFonts w:hint="eastAsia" w:eastAsia="宋体" w:cs="Times New Roman"/>
          <w:b/>
          <w:bCs/>
          <w:sz w:val="24"/>
          <w:szCs w:val="24"/>
        </w:rPr>
        <w:t>4.14</w:t>
      </w:r>
      <w:r>
        <w:rPr>
          <w:rFonts w:ascii="Times New Roman" w:hAnsi="Times New Roman" w:eastAsia="宋体" w:cs="Times New Roman"/>
          <w:b/>
          <w:bCs/>
          <w:sz w:val="24"/>
          <w:szCs w:val="24"/>
        </w:rPr>
        <w:t>成果文件的其他要求</w:t>
      </w:r>
      <w:bookmarkEnd w:id="394"/>
      <w:bookmarkEnd w:id="395"/>
      <w:bookmarkEnd w:id="396"/>
      <w:bookmarkEnd w:id="397"/>
      <w:bookmarkEnd w:id="398"/>
      <w:bookmarkEnd w:id="399"/>
      <w:bookmarkEnd w:id="400"/>
      <w:bookmarkEnd w:id="401"/>
      <w:bookmarkEnd w:id="402"/>
      <w:bookmarkEnd w:id="403"/>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4.14.1</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及时、充分提交相应数量的，满足国家及行业有关规定的，符合本服务内容、深度和要求的资料，以满足项目进度要求。</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4.14.2</w:t>
      </w:r>
      <w:r>
        <w:rPr>
          <w:rFonts w:ascii="Times New Roman" w:hAnsi="Times New Roman" w:eastAsia="宋体" w:cs="Times New Roman"/>
          <w:sz w:val="24"/>
          <w:szCs w:val="24"/>
        </w:rPr>
        <w:t>所有资料均需</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专业技术人员及单位签字盖章确认。</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4.14.3</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在服务工作完成后，应按要求提供正式资料用于</w:t>
      </w:r>
      <w:r>
        <w:rPr>
          <w:rFonts w:hint="eastAsia" w:ascii="Times New Roman" w:hAnsi="Times New Roman" w:eastAsia="宋体" w:cs="Times New Roman"/>
          <w:sz w:val="24"/>
          <w:szCs w:val="24"/>
        </w:rPr>
        <w:t>采购人</w:t>
      </w:r>
      <w:r>
        <w:rPr>
          <w:rFonts w:ascii="Times New Roman" w:hAnsi="Times New Roman" w:eastAsia="宋体" w:cs="Times New Roman"/>
          <w:sz w:val="24"/>
          <w:szCs w:val="24"/>
        </w:rPr>
        <w:t>归档。</w:t>
      </w:r>
    </w:p>
    <w:p>
      <w:pPr>
        <w:tabs>
          <w:tab w:val="left" w:pos="840"/>
        </w:tabs>
        <w:wordWrap w:val="0"/>
        <w:topLinePunct/>
        <w:spacing w:line="360" w:lineRule="auto"/>
        <w:rPr>
          <w:rFonts w:ascii="Times New Roman" w:hAnsi="Times New Roman" w:eastAsia="宋体" w:cs="Times New Roman"/>
          <w:sz w:val="24"/>
          <w:szCs w:val="24"/>
        </w:rPr>
      </w:pPr>
      <w:r>
        <w:rPr>
          <w:rFonts w:hint="eastAsia" w:eastAsia="宋体" w:cs="Times New Roman"/>
          <w:sz w:val="24"/>
          <w:szCs w:val="24"/>
        </w:rPr>
        <w:t>4.14.4</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编制的可行性研究报告应能满足项目初步设计、实施的要求。</w:t>
      </w:r>
    </w:p>
    <w:p>
      <w:pPr>
        <w:tabs>
          <w:tab w:val="left" w:pos="840"/>
        </w:tabs>
        <w:wordWrap w:val="0"/>
        <w:topLinePunct/>
        <w:spacing w:line="360" w:lineRule="auto"/>
        <w:rPr>
          <w:rFonts w:ascii="宋体" w:hAnsi="宋体" w:eastAsia="宋体" w:cs="宋体"/>
          <w:bCs/>
          <w:snapToGrid w:val="0"/>
          <w:kern w:val="0"/>
          <w:szCs w:val="24"/>
        </w:rPr>
      </w:pPr>
      <w:r>
        <w:rPr>
          <w:rFonts w:hint="eastAsia" w:eastAsia="宋体" w:cs="Times New Roman"/>
          <w:sz w:val="24"/>
          <w:szCs w:val="24"/>
        </w:rPr>
        <w:t>4.14.5</w:t>
      </w:r>
      <w:r>
        <w:rPr>
          <w:rFonts w:ascii="Times New Roman" w:hAnsi="Times New Roman" w:eastAsia="宋体" w:cs="Times New Roman"/>
          <w:sz w:val="24"/>
          <w:szCs w:val="24"/>
        </w:rPr>
        <w:t>在可行性研究工作期间，由于政策性变化导致需对工作成果进行修改，</w:t>
      </w:r>
      <w:r>
        <w:rPr>
          <w:rFonts w:hint="eastAsia" w:ascii="Times New Roman" w:hAnsi="Times New Roman" w:eastAsia="宋体" w:cs="Times New Roman"/>
          <w:sz w:val="24"/>
          <w:szCs w:val="24"/>
        </w:rPr>
        <w:t>服务商</w:t>
      </w:r>
      <w:r>
        <w:rPr>
          <w:rFonts w:ascii="Times New Roman" w:hAnsi="Times New Roman" w:eastAsia="宋体" w:cs="Times New Roman"/>
          <w:sz w:val="24"/>
          <w:szCs w:val="24"/>
        </w:rPr>
        <w:t>应进行配合</w:t>
      </w:r>
      <w:r>
        <w:rPr>
          <w:rFonts w:hint="eastAsia" w:ascii="宋体" w:hAnsi="宋体" w:eastAsia="宋体" w:cs="宋体"/>
          <w:bCs/>
          <w:snapToGrid w:val="0"/>
          <w:kern w:val="0"/>
          <w:szCs w:val="24"/>
        </w:rPr>
        <w:t>。</w:t>
      </w:r>
    </w:p>
    <w:p>
      <w:pPr>
        <w:pStyle w:val="36"/>
        <w:ind w:firstLine="210"/>
        <w:sectPr>
          <w:pgSz w:w="11906" w:h="16838"/>
          <w:pgMar w:top="1440" w:right="1080" w:bottom="1440" w:left="1080" w:header="851" w:footer="992" w:gutter="0"/>
          <w:cols w:space="425" w:num="1"/>
          <w:docGrid w:linePitch="312" w:charSpace="0"/>
        </w:sectPr>
      </w:pPr>
    </w:p>
    <w:bookmarkEnd w:id="151"/>
    <w:bookmarkEnd w:id="152"/>
    <w:bookmarkEnd w:id="153"/>
    <w:bookmarkEnd w:id="154"/>
    <w:bookmarkEnd w:id="155"/>
    <w:bookmarkEnd w:id="156"/>
    <w:p>
      <w:pPr>
        <w:pStyle w:val="5"/>
        <w:spacing w:line="360" w:lineRule="auto"/>
        <w:jc w:val="left"/>
        <w:rPr>
          <w:rFonts w:ascii="宋体" w:hAnsi="宋体" w:eastAsia="宋体" w:cs="宋体"/>
        </w:rPr>
      </w:pPr>
      <w:r>
        <w:rPr>
          <w:rFonts w:hint="eastAsia" w:ascii="宋体" w:hAnsi="宋体" w:eastAsia="宋体" w:cs="宋体"/>
        </w:rPr>
        <w:t>附件1：问题澄清通知</w:t>
      </w:r>
      <w:bookmarkEnd w:id="148"/>
    </w:p>
    <w:p>
      <w:pPr>
        <w:spacing w:line="360" w:lineRule="auto"/>
        <w:ind w:firstLine="420" w:firstLineChars="200"/>
        <w:rPr>
          <w:rFonts w:ascii="宋体" w:hAnsi="宋体" w:eastAsia="宋体" w:cs="宋体"/>
          <w:color w:val="000000" w:themeColor="text1"/>
          <w:szCs w:val="21"/>
          <w14:textFill>
            <w14:solidFill>
              <w14:schemeClr w14:val="tx1"/>
            </w14:solidFill>
          </w14:textFill>
        </w:rPr>
      </w:pPr>
    </w:p>
    <w:p>
      <w:pPr>
        <w:spacing w:line="360" w:lineRule="auto"/>
        <w:jc w:val="center"/>
        <w:rPr>
          <w:rFonts w:ascii="宋体" w:hAnsi="宋体" w:eastAsia="宋体" w:cs="宋体"/>
          <w:b/>
          <w:color w:val="000000" w:themeColor="text1"/>
          <w:sz w:val="36"/>
          <w14:textFill>
            <w14:solidFill>
              <w14:schemeClr w14:val="tx1"/>
            </w14:solidFill>
          </w14:textFill>
        </w:rPr>
      </w:pPr>
      <w:r>
        <w:rPr>
          <w:rFonts w:hint="eastAsia" w:ascii="宋体" w:hAnsi="宋体" w:eastAsia="宋体" w:cs="宋体"/>
          <w:b/>
          <w:color w:val="000000" w:themeColor="text1"/>
          <w:sz w:val="36"/>
          <w14:textFill>
            <w14:solidFill>
              <w14:schemeClr w14:val="tx1"/>
            </w14:solidFill>
          </w14:textFill>
        </w:rPr>
        <w:t>问题澄清通知</w:t>
      </w:r>
    </w:p>
    <w:p>
      <w:pPr>
        <w:spacing w:line="360" w:lineRule="auto"/>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（编号：）</w:t>
      </w:r>
    </w:p>
    <w:p>
      <w:pPr>
        <w:spacing w:line="360" w:lineRule="auto"/>
        <w:rPr>
          <w:rFonts w:ascii="宋体" w:hAnsi="宋体" w:eastAsia="宋体" w:cs="宋体"/>
          <w:b/>
          <w:bCs/>
          <w:color w:val="000000" w:themeColor="text1"/>
          <w:sz w:val="28"/>
          <w:szCs w:val="28"/>
          <w14:textFill>
            <w14:solidFill>
              <w14:schemeClr w14:val="tx1"/>
            </w14:solidFill>
          </w14:textFill>
        </w:rPr>
      </w:pPr>
    </w:p>
    <w:p>
      <w:pPr>
        <w:spacing w:line="360" w:lineRule="auto"/>
        <w:rPr>
          <w:rFonts w:ascii="宋体" w:hAnsi="宋体" w:eastAsia="宋体" w:cs="宋体"/>
          <w:b/>
          <w:bCs/>
          <w:color w:val="000000" w:themeColor="text1"/>
          <w:sz w:val="28"/>
          <w:szCs w:val="28"/>
          <w:u w:val="single"/>
          <w14:textFill>
            <w14:solidFill>
              <w14:schemeClr w14:val="tx1"/>
            </w14:solidFill>
          </w14:textFill>
        </w:rPr>
      </w:pPr>
      <w:r>
        <w:rPr>
          <w:rFonts w:hint="eastAsia" w:ascii="宋体" w:hAnsi="宋体" w:eastAsia="宋体" w:cs="宋体"/>
          <w:b/>
          <w:bCs/>
          <w:color w:val="000000" w:themeColor="text1"/>
          <w:sz w:val="28"/>
          <w:szCs w:val="28"/>
          <w:u w:val="single"/>
          <w14:textFill>
            <w14:solidFill>
              <w14:schemeClr w14:val="tx1"/>
            </w14:solidFill>
          </w14:textFill>
        </w:rPr>
        <w:t>（服务商名称）：</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谈判小组对你方的响应文件进行了仔细的审查，现在需你方对下列问题以书面形式予以澄清、说明：</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p>
    <w:p>
      <w:pPr>
        <w:spacing w:line="360" w:lineRule="auto"/>
        <w:ind w:firstLine="562"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u w:val="single"/>
          <w14:textFill>
            <w14:solidFill>
              <w14:schemeClr w14:val="tx1"/>
            </w14:solidFill>
          </w14:textFill>
        </w:rPr>
        <w:t>请将上述问题的澄清、说明于  年  月  日  时  分前以书面形式澄清并送达。未在上述规定时间内，完成递交的视为放弃本次澄清、说明。</w:t>
      </w:r>
    </w:p>
    <w:p>
      <w:pPr>
        <w:spacing w:line="360" w:lineRule="auto"/>
        <w:ind w:right="280" w:firstLine="1416" w:firstLineChars="506"/>
        <w:jc w:val="right"/>
        <w:rPr>
          <w:rFonts w:ascii="宋体" w:hAnsi="宋体" w:eastAsia="宋体" w:cs="宋体"/>
          <w:color w:val="000000" w:themeColor="text1"/>
          <w:sz w:val="28"/>
          <w:szCs w:val="28"/>
          <w14:textFill>
            <w14:solidFill>
              <w14:schemeClr w14:val="tx1"/>
            </w14:solidFill>
          </w14:textFill>
        </w:rPr>
      </w:pPr>
    </w:p>
    <w:p>
      <w:pPr>
        <w:spacing w:line="360" w:lineRule="auto"/>
        <w:ind w:firstLine="1416" w:firstLineChars="506"/>
        <w:jc w:val="righ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u w:val="single"/>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项目谈判小组</w:t>
      </w:r>
    </w:p>
    <w:p>
      <w:pPr>
        <w:spacing w:line="360" w:lineRule="auto"/>
        <w:ind w:firstLine="4480" w:firstLineChars="1600"/>
        <w:jc w:val="righ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日期： 年 月 日</w:t>
      </w:r>
    </w:p>
    <w:p>
      <w:pPr>
        <w:widowControl/>
        <w:spacing w:line="360" w:lineRule="auto"/>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br w:type="page"/>
      </w:r>
    </w:p>
    <w:p>
      <w:pPr>
        <w:pStyle w:val="5"/>
        <w:spacing w:line="360" w:lineRule="auto"/>
        <w:jc w:val="left"/>
        <w:rPr>
          <w:rFonts w:ascii="宋体" w:hAnsi="宋体" w:eastAsia="宋体" w:cs="宋体"/>
        </w:rPr>
      </w:pPr>
      <w:bookmarkStart w:id="406" w:name="_Toc78019951"/>
      <w:r>
        <w:rPr>
          <w:rFonts w:hint="eastAsia" w:ascii="宋体" w:hAnsi="宋体" w:eastAsia="宋体" w:cs="宋体"/>
        </w:rPr>
        <w:t>附件2：问题澄清</w:t>
      </w:r>
      <w:bookmarkEnd w:id="406"/>
    </w:p>
    <w:p>
      <w:pPr>
        <w:spacing w:line="360" w:lineRule="auto"/>
        <w:jc w:val="left"/>
        <w:rPr>
          <w:rFonts w:ascii="宋体" w:hAnsi="宋体" w:eastAsia="宋体" w:cs="宋体"/>
          <w:color w:val="000000" w:themeColor="text1"/>
          <w:szCs w:val="21"/>
          <w14:textFill>
            <w14:solidFill>
              <w14:schemeClr w14:val="tx1"/>
            </w14:solidFill>
          </w14:textFill>
        </w:rPr>
      </w:pPr>
    </w:p>
    <w:p>
      <w:pPr>
        <w:spacing w:line="360" w:lineRule="auto"/>
        <w:jc w:val="center"/>
        <w:rPr>
          <w:rFonts w:ascii="宋体" w:hAnsi="宋体" w:eastAsia="宋体" w:cs="宋体"/>
          <w:b/>
          <w:color w:val="000000" w:themeColor="text1"/>
          <w:sz w:val="36"/>
          <w14:textFill>
            <w14:solidFill>
              <w14:schemeClr w14:val="tx1"/>
            </w14:solidFill>
          </w14:textFill>
        </w:rPr>
      </w:pPr>
      <w:r>
        <w:rPr>
          <w:rFonts w:hint="eastAsia" w:ascii="宋体" w:hAnsi="宋体" w:eastAsia="宋体" w:cs="宋体"/>
          <w:b/>
          <w:color w:val="000000" w:themeColor="text1"/>
          <w:sz w:val="36"/>
          <w14:textFill>
            <w14:solidFill>
              <w14:schemeClr w14:val="tx1"/>
            </w14:solidFill>
          </w14:textFill>
        </w:rPr>
        <w:t>问题澄清</w:t>
      </w:r>
    </w:p>
    <w:p>
      <w:pPr>
        <w:spacing w:line="360" w:lineRule="auto"/>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（编号：）</w:t>
      </w:r>
    </w:p>
    <w:p>
      <w:pPr>
        <w:spacing w:line="360" w:lineRule="auto"/>
        <w:rPr>
          <w:rFonts w:ascii="宋体" w:hAnsi="宋体" w:eastAsia="宋体" w:cs="宋体"/>
          <w:color w:val="000000" w:themeColor="text1"/>
          <w14:textFill>
            <w14:solidFill>
              <w14:schemeClr w14:val="tx1"/>
            </w14:solidFill>
          </w14:textFill>
        </w:rPr>
      </w:pPr>
    </w:p>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谈判小组：</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问题澄清通知（编号：）已收悉，现澄清、说明如下：</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上述问题澄清、说明，构成我方响应文件的组成部分。</w:t>
      </w:r>
    </w:p>
    <w:p>
      <w:pPr>
        <w:spacing w:line="360" w:lineRule="auto"/>
        <w:rPr>
          <w:rFonts w:ascii="宋体" w:hAnsi="宋体" w:eastAsia="宋体" w:cs="宋体"/>
          <w:color w:val="000000" w:themeColor="text1"/>
          <w:sz w:val="28"/>
          <w:szCs w:val="28"/>
          <w14:textFill>
            <w14:solidFill>
              <w14:schemeClr w14:val="tx1"/>
            </w14:solidFill>
          </w14:textFill>
        </w:rPr>
      </w:pPr>
    </w:p>
    <w:p>
      <w:pPr>
        <w:spacing w:line="360" w:lineRule="auto"/>
        <w:rPr>
          <w:rFonts w:ascii="宋体" w:hAnsi="宋体" w:eastAsia="宋体" w:cs="宋体"/>
          <w:color w:val="000000" w:themeColor="text1"/>
          <w:sz w:val="28"/>
          <w:szCs w:val="28"/>
          <w14:textFill>
            <w14:solidFill>
              <w14:schemeClr w14:val="tx1"/>
            </w14:solidFill>
          </w14:textFill>
        </w:rPr>
      </w:pPr>
    </w:p>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服务商名称（盖单位章）：</w:t>
      </w:r>
    </w:p>
    <w:p>
      <w:pPr>
        <w:spacing w:line="360" w:lineRule="auto"/>
        <w:rPr>
          <w:rFonts w:ascii="宋体" w:hAnsi="宋体" w:eastAsia="宋体" w:cs="宋体"/>
          <w:color w:val="000000" w:themeColor="text1"/>
          <w:sz w:val="28"/>
          <w:szCs w:val="28"/>
          <w:u w:val="single"/>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法定代表人（负责人）或其委托代理人（签字）：</w:t>
      </w:r>
    </w:p>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日期：年 月 日</w:t>
      </w:r>
    </w:p>
    <w:p>
      <w:pPr>
        <w:spacing w:line="360" w:lineRule="auto"/>
        <w:rPr>
          <w:rFonts w:ascii="宋体" w:hAnsi="宋体" w:eastAsia="宋体" w:cs="宋体"/>
        </w:rPr>
      </w:pPr>
      <w:r>
        <w:rPr>
          <w:rFonts w:hint="eastAsia" w:ascii="宋体" w:hAnsi="宋体" w:eastAsia="宋体" w:cs="宋体"/>
        </w:rPr>
        <w:br w:type="page"/>
      </w:r>
    </w:p>
    <w:p>
      <w:pPr>
        <w:pStyle w:val="5"/>
        <w:spacing w:line="360" w:lineRule="auto"/>
        <w:jc w:val="left"/>
        <w:rPr>
          <w:rFonts w:ascii="宋体" w:hAnsi="宋体" w:eastAsia="宋体" w:cs="宋体"/>
        </w:rPr>
      </w:pPr>
      <w:bookmarkStart w:id="407" w:name="_Toc78019952"/>
      <w:r>
        <w:rPr>
          <w:rFonts w:hint="eastAsia" w:ascii="宋体" w:hAnsi="宋体" w:eastAsia="宋体" w:cs="宋体"/>
        </w:rPr>
        <w:t>附件3：二次（最终报价）及承诺</w:t>
      </w:r>
      <w:bookmarkEnd w:id="407"/>
    </w:p>
    <w:p>
      <w:pPr>
        <w:spacing w:line="360" w:lineRule="auto"/>
        <w:jc w:val="center"/>
        <w:rPr>
          <w:rFonts w:ascii="宋体" w:hAnsi="宋体" w:eastAsia="宋体" w:cs="宋体"/>
          <w:b/>
          <w:color w:val="000000" w:themeColor="text1"/>
          <w:sz w:val="36"/>
          <w14:textFill>
            <w14:solidFill>
              <w14:schemeClr w14:val="tx1"/>
            </w14:solidFill>
          </w14:textFill>
        </w:rPr>
      </w:pPr>
      <w:r>
        <w:rPr>
          <w:rFonts w:hint="eastAsia" w:ascii="宋体" w:hAnsi="宋体" w:eastAsia="宋体" w:cs="宋体"/>
          <w:b/>
          <w:color w:val="000000" w:themeColor="text1"/>
          <w:sz w:val="36"/>
          <w14:textFill>
            <w14:solidFill>
              <w14:schemeClr w14:val="tx1"/>
            </w14:solidFill>
          </w14:textFill>
        </w:rPr>
        <w:t>二次报价（最终报价）及承诺</w:t>
      </w:r>
    </w:p>
    <w:p>
      <w:pPr>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项目名称：</w:t>
      </w:r>
    </w:p>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项目编号：                          日期：</w:t>
      </w:r>
    </w:p>
    <w:tbl>
      <w:tblPr>
        <w:tblStyle w:val="38"/>
        <w:tblW w:w="92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65"/>
        <w:gridCol w:w="4056"/>
        <w:gridCol w:w="16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565" w:type="dxa"/>
          </w:tcPr>
          <w:p>
            <w:pPr>
              <w:spacing w:line="360" w:lineRule="auto"/>
              <w:jc w:val="center"/>
              <w:rPr>
                <w:rFonts w:hint="eastAsia" w:ascii="宋体" w:hAnsi="宋体" w:cs="宋体" w:eastAsiaTheme="minorEastAsia"/>
                <w:b/>
                <w:sz w:val="24"/>
                <w:lang w:eastAsia="zh-CN"/>
              </w:rPr>
            </w:pPr>
            <w:r>
              <w:rPr>
                <w:rFonts w:hint="eastAsia" w:ascii="宋体" w:hAnsi="宋体" w:cs="宋体"/>
                <w:b/>
                <w:sz w:val="24"/>
                <w:lang w:val="en-US" w:eastAsia="zh-CN"/>
              </w:rPr>
              <w:t>项目</w:t>
            </w:r>
          </w:p>
        </w:tc>
        <w:tc>
          <w:tcPr>
            <w:tcW w:w="4056" w:type="dxa"/>
          </w:tcPr>
          <w:p>
            <w:pPr>
              <w:spacing w:line="360" w:lineRule="auto"/>
              <w:jc w:val="center"/>
              <w:rPr>
                <w:rFonts w:hint="eastAsia" w:ascii="宋体" w:hAnsi="宋体" w:eastAsia="宋体" w:cs="宋体"/>
                <w:b/>
                <w:sz w:val="24"/>
                <w:lang w:val="en-US" w:eastAsia="zh-CN"/>
              </w:rPr>
            </w:pPr>
            <w:r>
              <w:rPr>
                <w:rFonts w:hint="eastAsia" w:ascii="宋体" w:hAnsi="宋体" w:eastAsia="宋体" w:cs="宋体"/>
                <w:b/>
                <w:sz w:val="24"/>
                <w:lang w:val="en-US" w:eastAsia="zh-CN"/>
              </w:rPr>
              <w:t>内容</w:t>
            </w:r>
          </w:p>
        </w:tc>
        <w:tc>
          <w:tcPr>
            <w:tcW w:w="1621" w:type="dxa"/>
          </w:tcPr>
          <w:p>
            <w:pPr>
              <w:spacing w:line="360" w:lineRule="auto"/>
              <w:jc w:val="center"/>
              <w:rPr>
                <w:rFonts w:ascii="宋体" w:hAnsi="宋体" w:cs="宋体"/>
                <w:b/>
                <w:sz w:val="24"/>
              </w:rPr>
            </w:pPr>
            <w:r>
              <w:rPr>
                <w:rFonts w:hint="eastAsia" w:ascii="宋体" w:hAnsi="宋体" w:cs="宋体"/>
                <w:b/>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565" w:type="dxa"/>
            <w:vAlign w:val="center"/>
          </w:tcPr>
          <w:p>
            <w:pPr>
              <w:jc w:val="center"/>
              <w:rPr>
                <w:rFonts w:ascii="宋体" w:hAnsi="宋体" w:cs="宋体"/>
                <w:b/>
                <w:sz w:val="24"/>
              </w:rPr>
            </w:pPr>
            <w:r>
              <w:rPr>
                <w:rFonts w:hint="eastAsia" w:ascii="宋体" w:hAnsi="宋体" w:cs="宋体"/>
                <w:b/>
                <w:sz w:val="24"/>
              </w:rPr>
              <w:t>含税最终总报价（元）</w:t>
            </w:r>
          </w:p>
        </w:tc>
        <w:tc>
          <w:tcPr>
            <w:tcW w:w="4056" w:type="dxa"/>
          </w:tcPr>
          <w:p>
            <w:pPr>
              <w:spacing w:line="360" w:lineRule="auto"/>
              <w:jc w:val="left"/>
              <w:rPr>
                <w:rFonts w:ascii="宋体" w:hAnsi="宋体" w:cs="宋体"/>
                <w:b/>
                <w:sz w:val="24"/>
              </w:rPr>
            </w:pPr>
            <w:r>
              <w:rPr>
                <w:rFonts w:hint="eastAsia" w:ascii="宋体" w:hAnsi="宋体" w:cs="宋体"/>
                <w:b/>
                <w:sz w:val="24"/>
              </w:rPr>
              <w:t>小写：</w:t>
            </w:r>
          </w:p>
          <w:p>
            <w:pPr>
              <w:spacing w:line="360" w:lineRule="auto"/>
              <w:jc w:val="left"/>
              <w:rPr>
                <w:rFonts w:ascii="宋体" w:hAnsi="宋体" w:cs="宋体"/>
                <w:b/>
                <w:sz w:val="24"/>
              </w:rPr>
            </w:pPr>
            <w:r>
              <w:rPr>
                <w:rFonts w:hint="eastAsia" w:ascii="宋体" w:hAnsi="宋体" w:cs="宋体"/>
                <w:b/>
                <w:sz w:val="24"/>
              </w:rPr>
              <w:t>大写：</w:t>
            </w:r>
          </w:p>
        </w:tc>
        <w:tc>
          <w:tcPr>
            <w:tcW w:w="1621" w:type="dxa"/>
            <w:vAlign w:val="center"/>
          </w:tcPr>
          <w:p>
            <w:pPr>
              <w:spacing w:line="360" w:lineRule="auto"/>
              <w:jc w:val="center"/>
              <w:rPr>
                <w:rFonts w:ascii="宋体" w:hAnsi="宋体" w:eastAsia="宋体" w:cs="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565" w:type="dxa"/>
          </w:tcPr>
          <w:p>
            <w:pPr>
              <w:spacing w:line="360" w:lineRule="auto"/>
              <w:jc w:val="center"/>
              <w:rPr>
                <w:rFonts w:ascii="宋体" w:hAnsi="宋体" w:eastAsia="宋体" w:cs="宋体"/>
                <w:b/>
                <w:sz w:val="24"/>
              </w:rPr>
            </w:pPr>
            <w:r>
              <w:rPr>
                <w:rFonts w:hint="eastAsia" w:ascii="宋体" w:hAnsi="宋体" w:cs="宋体"/>
                <w:b/>
                <w:sz w:val="24"/>
              </w:rPr>
              <w:t>增值税税率</w:t>
            </w:r>
          </w:p>
        </w:tc>
        <w:tc>
          <w:tcPr>
            <w:tcW w:w="4056" w:type="dxa"/>
          </w:tcPr>
          <w:p>
            <w:pPr>
              <w:spacing w:line="360" w:lineRule="auto"/>
              <w:jc w:val="left"/>
              <w:rPr>
                <w:rFonts w:ascii="宋体" w:hAnsi="宋体" w:cs="宋体"/>
                <w:b/>
                <w:sz w:val="24"/>
              </w:rPr>
            </w:pPr>
          </w:p>
        </w:tc>
        <w:tc>
          <w:tcPr>
            <w:tcW w:w="1621" w:type="dxa"/>
          </w:tcPr>
          <w:p>
            <w:pPr>
              <w:spacing w:line="360" w:lineRule="auto"/>
              <w:jc w:val="left"/>
              <w:rPr>
                <w:rFonts w:ascii="宋体" w:hAnsi="宋体" w:cs="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565" w:type="dxa"/>
          </w:tcPr>
          <w:p>
            <w:pPr>
              <w:spacing w:line="360" w:lineRule="auto"/>
              <w:jc w:val="center"/>
              <w:rPr>
                <w:rFonts w:ascii="宋体" w:hAnsi="宋体" w:eastAsia="宋体" w:cs="宋体"/>
                <w:b/>
                <w:sz w:val="24"/>
              </w:rPr>
            </w:pPr>
            <w:r>
              <w:rPr>
                <w:rFonts w:hint="eastAsia" w:ascii="宋体" w:hAnsi="宋体" w:cs="宋体"/>
                <w:b/>
                <w:sz w:val="24"/>
              </w:rPr>
              <w:t>不含税报价（元）</w:t>
            </w:r>
          </w:p>
        </w:tc>
        <w:tc>
          <w:tcPr>
            <w:tcW w:w="4056" w:type="dxa"/>
          </w:tcPr>
          <w:p>
            <w:pPr>
              <w:spacing w:line="360" w:lineRule="auto"/>
              <w:jc w:val="left"/>
              <w:rPr>
                <w:rFonts w:ascii="宋体" w:hAnsi="宋体" w:cs="宋体"/>
                <w:b/>
                <w:sz w:val="24"/>
              </w:rPr>
            </w:pPr>
          </w:p>
        </w:tc>
        <w:tc>
          <w:tcPr>
            <w:tcW w:w="1621" w:type="dxa"/>
          </w:tcPr>
          <w:p>
            <w:pPr>
              <w:spacing w:line="360" w:lineRule="auto"/>
              <w:jc w:val="left"/>
              <w:rPr>
                <w:rFonts w:ascii="宋体" w:hAnsi="宋体" w:cs="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565" w:type="dxa"/>
          </w:tcPr>
          <w:p>
            <w:pPr>
              <w:spacing w:line="360" w:lineRule="auto"/>
              <w:jc w:val="center"/>
              <w:rPr>
                <w:rFonts w:ascii="宋体" w:hAnsi="宋体" w:cs="宋体"/>
                <w:b/>
                <w:sz w:val="24"/>
              </w:rPr>
            </w:pPr>
            <w:r>
              <w:rPr>
                <w:rFonts w:hint="eastAsia" w:ascii="宋体" w:hAnsi="宋体" w:cs="宋体"/>
                <w:b/>
                <w:sz w:val="24"/>
              </w:rPr>
              <w:t>项目负责人姓名</w:t>
            </w:r>
          </w:p>
        </w:tc>
        <w:tc>
          <w:tcPr>
            <w:tcW w:w="4056" w:type="dxa"/>
          </w:tcPr>
          <w:p>
            <w:pPr>
              <w:spacing w:line="360" w:lineRule="auto"/>
              <w:jc w:val="left"/>
              <w:rPr>
                <w:rFonts w:ascii="宋体" w:hAnsi="宋体" w:cs="宋体"/>
                <w:b/>
                <w:sz w:val="24"/>
              </w:rPr>
            </w:pPr>
          </w:p>
        </w:tc>
        <w:tc>
          <w:tcPr>
            <w:tcW w:w="1621" w:type="dxa"/>
          </w:tcPr>
          <w:p>
            <w:pPr>
              <w:spacing w:line="360" w:lineRule="auto"/>
              <w:jc w:val="left"/>
              <w:rPr>
                <w:rFonts w:ascii="宋体" w:hAnsi="宋体" w:cs="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565" w:type="dxa"/>
          </w:tcPr>
          <w:p>
            <w:pPr>
              <w:spacing w:line="360" w:lineRule="auto"/>
              <w:jc w:val="center"/>
              <w:rPr>
                <w:rFonts w:ascii="宋体" w:hAnsi="宋体" w:cs="宋体"/>
                <w:b/>
                <w:sz w:val="24"/>
              </w:rPr>
            </w:pPr>
            <w:r>
              <w:rPr>
                <w:rFonts w:hint="eastAsia" w:ascii="宋体" w:hAnsi="宋体" w:cs="宋体"/>
                <w:b/>
                <w:sz w:val="24"/>
              </w:rPr>
              <w:t>服务期承诺</w:t>
            </w:r>
          </w:p>
        </w:tc>
        <w:tc>
          <w:tcPr>
            <w:tcW w:w="4056" w:type="dxa"/>
          </w:tcPr>
          <w:p>
            <w:pPr>
              <w:spacing w:line="360" w:lineRule="auto"/>
              <w:jc w:val="left"/>
              <w:rPr>
                <w:rFonts w:ascii="宋体" w:hAnsi="宋体" w:cs="宋体"/>
                <w:b/>
                <w:sz w:val="24"/>
              </w:rPr>
            </w:pPr>
          </w:p>
        </w:tc>
        <w:tc>
          <w:tcPr>
            <w:tcW w:w="1621" w:type="dxa"/>
          </w:tcPr>
          <w:p>
            <w:pPr>
              <w:spacing w:line="360" w:lineRule="auto"/>
              <w:jc w:val="left"/>
              <w:rPr>
                <w:rFonts w:ascii="宋体" w:hAnsi="宋体" w:cs="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565" w:type="dxa"/>
          </w:tcPr>
          <w:p>
            <w:pPr>
              <w:spacing w:line="360" w:lineRule="auto"/>
              <w:jc w:val="center"/>
              <w:rPr>
                <w:rFonts w:ascii="宋体" w:hAnsi="宋体" w:cs="宋体"/>
                <w:b/>
                <w:sz w:val="24"/>
              </w:rPr>
            </w:pPr>
            <w:r>
              <w:rPr>
                <w:rFonts w:hint="eastAsia" w:ascii="宋体" w:hAnsi="宋体" w:cs="宋体"/>
                <w:b/>
                <w:sz w:val="24"/>
              </w:rPr>
              <w:t>服务质量承诺</w:t>
            </w:r>
          </w:p>
        </w:tc>
        <w:tc>
          <w:tcPr>
            <w:tcW w:w="4056" w:type="dxa"/>
          </w:tcPr>
          <w:p>
            <w:pPr>
              <w:spacing w:line="360" w:lineRule="auto"/>
              <w:jc w:val="left"/>
              <w:rPr>
                <w:rFonts w:ascii="宋体" w:hAnsi="宋体" w:cs="宋体"/>
                <w:b/>
                <w:sz w:val="24"/>
              </w:rPr>
            </w:pPr>
          </w:p>
        </w:tc>
        <w:tc>
          <w:tcPr>
            <w:tcW w:w="1621" w:type="dxa"/>
          </w:tcPr>
          <w:p>
            <w:pPr>
              <w:spacing w:line="360" w:lineRule="auto"/>
              <w:jc w:val="left"/>
              <w:rPr>
                <w:rFonts w:ascii="宋体" w:hAnsi="宋体" w:cs="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565" w:type="dxa"/>
            <w:vAlign w:val="center"/>
          </w:tcPr>
          <w:p>
            <w:pPr>
              <w:spacing w:line="360" w:lineRule="auto"/>
              <w:jc w:val="center"/>
              <w:rPr>
                <w:rFonts w:ascii="宋体" w:hAnsi="宋体" w:eastAsia="宋体" w:cs="宋体"/>
                <w:b/>
                <w:sz w:val="24"/>
              </w:rPr>
            </w:pPr>
            <w:r>
              <w:rPr>
                <w:rFonts w:hint="eastAsia" w:ascii="宋体" w:hAnsi="宋体" w:cs="宋体"/>
                <w:b/>
                <w:sz w:val="24"/>
              </w:rPr>
              <w:t>备注</w:t>
            </w:r>
          </w:p>
        </w:tc>
        <w:tc>
          <w:tcPr>
            <w:tcW w:w="4056" w:type="dxa"/>
          </w:tcPr>
          <w:p>
            <w:pPr>
              <w:spacing w:line="360" w:lineRule="auto"/>
              <w:jc w:val="left"/>
              <w:rPr>
                <w:rFonts w:ascii="宋体" w:hAnsi="宋体" w:cs="宋体"/>
                <w:b/>
                <w:sz w:val="24"/>
              </w:rPr>
            </w:pPr>
          </w:p>
        </w:tc>
        <w:tc>
          <w:tcPr>
            <w:tcW w:w="1621" w:type="dxa"/>
            <w:vAlign w:val="center"/>
          </w:tcPr>
          <w:p>
            <w:pPr>
              <w:spacing w:line="360" w:lineRule="auto"/>
              <w:jc w:val="center"/>
              <w:rPr>
                <w:rFonts w:ascii="宋体" w:hAnsi="宋体" w:eastAsia="宋体" w:cs="宋体"/>
                <w:b/>
                <w:sz w:val="24"/>
              </w:rPr>
            </w:pPr>
          </w:p>
        </w:tc>
      </w:tr>
    </w:tbl>
    <w:p>
      <w:pPr>
        <w:tabs>
          <w:tab w:val="right" w:leader="middleDot" w:pos="8190"/>
        </w:tabs>
        <w:adjustRightInd w:val="0"/>
        <w:snapToGrid w:val="0"/>
        <w:spacing w:line="360" w:lineRule="auto"/>
        <w:rPr>
          <w:rFonts w:ascii="宋体" w:hAnsi="宋体" w:eastAsia="宋体" w:cs="Times New Roman"/>
          <w:b/>
          <w:szCs w:val="28"/>
        </w:rPr>
      </w:pPr>
    </w:p>
    <w:p>
      <w:pPr>
        <w:tabs>
          <w:tab w:val="right" w:leader="middleDot" w:pos="8190"/>
        </w:tabs>
        <w:adjustRightInd w:val="0"/>
        <w:snapToGrid w:val="0"/>
        <w:spacing w:line="360" w:lineRule="auto"/>
        <w:rPr>
          <w:rFonts w:ascii="宋体" w:hAnsi="宋体" w:eastAsia="宋体" w:cs="Times New Roman"/>
          <w:b/>
          <w:szCs w:val="28"/>
        </w:rPr>
      </w:pPr>
      <w:r>
        <w:rPr>
          <w:rFonts w:hint="eastAsia" w:ascii="宋体" w:hAnsi="宋体" w:eastAsia="宋体" w:cs="Times New Roman"/>
          <w:b/>
          <w:szCs w:val="28"/>
        </w:rPr>
        <w:t>服务商</w:t>
      </w:r>
      <w:r>
        <w:rPr>
          <w:rFonts w:ascii="宋体" w:hAnsi="宋体" w:eastAsia="宋体" w:cs="Times New Roman"/>
          <w:b/>
          <w:szCs w:val="28"/>
        </w:rPr>
        <w:t xml:space="preserve">： </w:t>
      </w:r>
    </w:p>
    <w:p>
      <w:pPr>
        <w:tabs>
          <w:tab w:val="right" w:leader="middleDot" w:pos="8190"/>
        </w:tabs>
        <w:adjustRightInd w:val="0"/>
        <w:snapToGrid w:val="0"/>
        <w:spacing w:line="360" w:lineRule="auto"/>
        <w:rPr>
          <w:rFonts w:ascii="宋体" w:hAnsi="宋体" w:eastAsia="宋体" w:cs="Times New Roman"/>
          <w:b/>
          <w:szCs w:val="28"/>
        </w:rPr>
      </w:pPr>
      <w:r>
        <w:rPr>
          <w:rFonts w:hint="eastAsia" w:ascii="宋体" w:hAnsi="宋体" w:eastAsia="宋体" w:cs="Times New Roman"/>
          <w:b/>
          <w:szCs w:val="28"/>
        </w:rPr>
        <w:t>服务商</w:t>
      </w:r>
      <w:r>
        <w:rPr>
          <w:rFonts w:ascii="宋体" w:hAnsi="宋体" w:eastAsia="宋体" w:cs="Times New Roman"/>
          <w:b/>
          <w:szCs w:val="28"/>
        </w:rPr>
        <w:t xml:space="preserve">法定代表人或法定代表人授权代理人（签字或盖章）： </w:t>
      </w:r>
    </w:p>
    <w:p>
      <w:pPr>
        <w:tabs>
          <w:tab w:val="right" w:leader="middleDot" w:pos="8190"/>
        </w:tabs>
        <w:adjustRightInd w:val="0"/>
        <w:snapToGrid w:val="0"/>
        <w:spacing w:line="360" w:lineRule="auto"/>
        <w:rPr>
          <w:rFonts w:ascii="宋体" w:hAnsi="宋体" w:eastAsia="宋体" w:cs="Times New Roman"/>
          <w:b/>
          <w:szCs w:val="28"/>
        </w:rPr>
      </w:pPr>
      <w:r>
        <w:rPr>
          <w:rFonts w:ascii="宋体" w:hAnsi="宋体" w:eastAsia="宋体" w:cs="Times New Roman"/>
          <w:b/>
          <w:szCs w:val="28"/>
        </w:rPr>
        <w:t>时间：    年   月   日</w:t>
      </w:r>
    </w:p>
    <w:p>
      <w:pPr>
        <w:spacing w:line="360" w:lineRule="auto"/>
        <w:jc w:val="left"/>
        <w:rPr>
          <w:rFonts w:ascii="宋体" w:hAnsi="宋体" w:eastAsia="宋体" w:cs="宋体"/>
          <w:sz w:val="24"/>
          <w:szCs w:val="24"/>
        </w:rPr>
      </w:pPr>
    </w:p>
    <w:p>
      <w:pPr>
        <w:spacing w:line="360" w:lineRule="auto"/>
        <w:jc w:val="left"/>
        <w:rPr>
          <w:rFonts w:ascii="宋体" w:hAnsi="宋体" w:eastAsia="宋体" w:cs="宋体"/>
          <w:sz w:val="24"/>
          <w:szCs w:val="24"/>
        </w:rPr>
      </w:pPr>
      <w:r>
        <w:rPr>
          <w:rFonts w:hint="eastAsia" w:ascii="宋体" w:hAnsi="宋体" w:eastAsia="宋体" w:cs="宋体"/>
          <w:sz w:val="24"/>
          <w:szCs w:val="24"/>
        </w:rPr>
        <w:t>注：本表无需放入响应文件中，由服务商自行打印带至开标现场或现场发放。</w:t>
      </w:r>
    </w:p>
    <w:p>
      <w:pPr>
        <w:pStyle w:val="37"/>
        <w:ind w:firstLine="400"/>
        <w:rPr>
          <w:rFonts w:ascii="宋体" w:hAnsi="宋体" w:eastAsia="宋体" w:cs="宋体"/>
          <w:sz w:val="20"/>
          <w:szCs w:val="21"/>
        </w:rPr>
      </w:pPr>
    </w:p>
    <w:p/>
    <w:p/>
    <w:p/>
    <w:p/>
    <w:p>
      <w:pPr>
        <w:tabs>
          <w:tab w:val="left" w:pos="6853"/>
        </w:tabs>
        <w:jc w:val="left"/>
      </w:pPr>
      <w:r>
        <w:rPr>
          <w:rFonts w:hint="eastAsia"/>
        </w:rPr>
        <w:tab/>
      </w:r>
    </w:p>
    <w:sectPr>
      <w:pgSz w:w="11906" w:h="16838"/>
      <w:pgMar w:top="1440" w:right="1080" w:bottom="1440" w:left="108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EFF" w:usb1="C000785B" w:usb2="00000009" w:usb3="00000000" w:csb0="400001FF" w:csb1="FFFF0000"/>
  </w:font>
  <w:font w:name="宋体">
    <w:panose1 w:val="02010600030101010101"/>
    <w:charset w:val="7A"/>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EEB4EE8-906F-4221-A847-16E281AAC790}"/>
  </w:font>
  <w:font w:name="Arial">
    <w:panose1 w:val="020B0604020202020204"/>
    <w:charset w:val="01"/>
    <w:family w:val="swiss"/>
    <w:pitch w:val="default"/>
    <w:sig w:usb0="E0002EFF" w:usb1="C000785B" w:usb2="00000009" w:usb3="00000000" w:csb0="400001FF" w:csb1="FFFF0000"/>
    <w:embedRegular r:id="rId2" w:fontKey="{99298F52-04A6-4AF9-B526-01B335CA3BAD}"/>
  </w:font>
  <w:font w:name="黑体">
    <w:panose1 w:val="02010609060101010101"/>
    <w:charset w:val="86"/>
    <w:family w:val="auto"/>
    <w:pitch w:val="default"/>
    <w:sig w:usb0="800002BF" w:usb1="38CF7CFA" w:usb2="00000016" w:usb3="00000000" w:csb0="00040001" w:csb1="00000000"/>
    <w:embedRegular r:id="rId3" w:fontKey="{2D3109C0-6316-4B8D-A11C-2D3F61D6364B}"/>
  </w:font>
  <w:font w:name="Courier New">
    <w:panose1 w:val="02070309020205020404"/>
    <w:charset w:val="01"/>
    <w:family w:val="modern"/>
    <w:pitch w:val="default"/>
    <w:sig w:usb0="E0002EFF" w:usb1="C0007843" w:usb2="00000009" w:usb3="00000000" w:csb0="400001FF" w:csb1="FFFF0000"/>
    <w:embedRegular r:id="rId4" w:fontKey="{4ABD6B79-DF1B-49AC-97CF-8AEC8724D7EF}"/>
  </w:font>
  <w:font w:name="Symbol">
    <w:panose1 w:val="05050102010706020507"/>
    <w:charset w:val="02"/>
    <w:family w:val="roman"/>
    <w:pitch w:val="default"/>
    <w:sig w:usb0="00000000" w:usb1="00000000" w:usb2="00000000" w:usb3="00000000" w:csb0="80000000" w:csb1="00000000"/>
    <w:embedRegular r:id="rId5" w:fontKey="{CB3F2972-DC29-4F32-B86B-3E791F1C38FB}"/>
  </w:font>
  <w:font w:name="Calibri">
    <w:panose1 w:val="020F0502020204030204"/>
    <w:charset w:val="00"/>
    <w:family w:val="swiss"/>
    <w:pitch w:val="default"/>
    <w:sig w:usb0="E4002EFF" w:usb1="C000247B" w:usb2="00000009" w:usb3="00000000" w:csb0="200001FF" w:csb1="00000000"/>
    <w:embedRegular r:id="rId6" w:fontKey="{3CB98540-E8D4-4FE5-8B85-80C46CE57C4F}"/>
  </w:font>
  <w:font w:name="Calibri Light">
    <w:panose1 w:val="020F0302020204030204"/>
    <w:charset w:val="00"/>
    <w:family w:val="swiss"/>
    <w:pitch w:val="default"/>
    <w:sig w:usb0="E4002EFF" w:usb1="C000247B" w:usb2="00000009" w:usb3="00000000" w:csb0="200001FF" w:csb1="00000000"/>
    <w:embedRegular r:id="rId7" w:fontKey="{DFDE6A1F-8CB2-4756-8AE5-F7860655B53B}"/>
  </w:font>
  <w:font w:name="Microsoft JhengHei">
    <w:panose1 w:val="020B0604030504040204"/>
    <w:charset w:val="88"/>
    <w:family w:val="swiss"/>
    <w:pitch w:val="default"/>
    <w:sig w:usb0="000002A7" w:usb1="28CF4400" w:usb2="00000016" w:usb3="00000000" w:csb0="00100009" w:csb1="00000000"/>
  </w:font>
  <w:font w:name="Cambria">
    <w:panose1 w:val="02040503050406030204"/>
    <w:charset w:val="00"/>
    <w:family w:val="roman"/>
    <w:pitch w:val="default"/>
    <w:sig w:usb0="E00006FF" w:usb1="420024FF" w:usb2="02000000" w:usb3="00000000" w:csb0="2000019F" w:csb1="00000000"/>
    <w:embedRegular r:id="rId8" w:fontKey="{FDEC9F7A-3282-45DB-931E-107BD220B561}"/>
  </w:font>
  <w:font w:name="楷体_GB2312">
    <w:altName w:val="楷体"/>
    <w:panose1 w:val="00000000000000000000"/>
    <w:charset w:val="00"/>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仿宋_GBK">
    <w:altName w:val="Arial Unicode MS"/>
    <w:panose1 w:val="03000509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embedRegular r:id="rId9" w:fontKey="{573516E6-AF6B-46B9-9CE8-7A5512F9601B}"/>
  </w:font>
  <w:font w:name="Wingdings 2">
    <w:panose1 w:val="05020102010507070707"/>
    <w:charset w:val="02"/>
    <w:family w:val="roman"/>
    <w:pitch w:val="default"/>
    <w:sig w:usb0="00000000" w:usb1="00000000" w:usb2="00000000" w:usb3="00000000" w:csb0="80000000" w:csb1="00000000"/>
    <w:embedRegular r:id="rId10" w:fontKey="{AC3FCB9F-0FB1-4A50-A00C-63E64584AAAE}"/>
  </w:font>
  <w:font w:name="方正小标宋_GBK">
    <w:panose1 w:val="03000509000000000000"/>
    <w:charset w:val="86"/>
    <w:family w:val="script"/>
    <w:pitch w:val="default"/>
    <w:sig w:usb0="00000000" w:usb1="00000000" w:usb2="00000000" w:usb3="00000000" w:csb0="00000000" w:csb1="00000000"/>
    <w:embedRegular r:id="rId11" w:fontKey="{A6DD0649-7118-40AD-A64D-87CCE438B7AA}"/>
  </w:font>
  <w:font w:name="华文中宋">
    <w:panose1 w:val="02010600040101010101"/>
    <w:charset w:val="86"/>
    <w:family w:val="auto"/>
    <w:pitch w:val="default"/>
    <w:sig w:usb0="00000287" w:usb1="080F0000" w:usb2="00000000" w:usb3="00000000" w:csb0="0004009F" w:csb1="DFD70000"/>
    <w:embedRegular r:id="rId12" w:fontKey="{E0BF424D-1428-4C1A-98B5-8DDEA4DF8B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O11wiEbAgAAIQQAAA4A&#10;AAAAAAAAAQAgAAAAHwEAAGRycy9lMm9Eb2MueG1sUEsFBgAAAAAGAAYAWQEAAKw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CCoAeuGQIAACEEAAAOAAAA&#10;AAAAAAEAIAAAAB8BAABkcnMvZTJvRG9jLnhtbFBLBQYAAAAABgAGAFkBAACqBQ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3"/>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COFi7YbAgAAIQQAAA4A&#10;AAAAAAAAAQAgAAAAHwEAAGRycy9lMm9Eb2MueG1sUEsFBgAAAAAGAAYAWQEAAKw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76</w:t>
                    </w:r>
                    <w:r>
                      <w:fldChar w:fldCharType="end"/>
                    </w:r>
                  </w:p>
                </w:txbxContent>
              </v:textbox>
            </v:shape>
          </w:pict>
        </mc:Fallback>
      </mc:AlternateContent>
    </w:r>
  </w:p>
  <w:p>
    <w:pPr>
      <w:pStyle w:val="23"/>
      <w:jc w:val="center"/>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snapToGrid w:val="0"/>
      <w:jc w:val="left"/>
      <w:rPr>
        <w:rStyle w:val="109"/>
        <w:rFonts w:ascii="Times New Roman" w:hAnsi="Times New Roman" w:eastAsia="宋体" w:cs="Times New Roman"/>
        <w:sz w:val="18"/>
        <w:szCs w:val="18"/>
      </w:rPr>
    </w:pPr>
    <w:r>
      <w:rPr>
        <w:rFonts w:ascii="Times New Roman" w:hAnsi="Times New Roman" w:eastAsia="宋体" w:cs="Times New Roman"/>
        <w:sz w:val="18"/>
        <w:szCs w:val="18"/>
      </w:rPr>
      <w:fldChar w:fldCharType="begin"/>
    </w:r>
    <w:r>
      <w:rPr>
        <w:rStyle w:val="109"/>
        <w:rFonts w:ascii="Times New Roman" w:hAnsi="Times New Roman" w:eastAsia="宋体" w:cs="Times New Roman"/>
        <w:szCs w:val="24"/>
      </w:rPr>
      <w:instrText xml:space="preserve">PAGE  </w:instrText>
    </w:r>
    <w:r>
      <w:rPr>
        <w:rFonts w:ascii="Times New Roman" w:hAnsi="Times New Roman" w:eastAsia="宋体" w:cs="Times New Roman"/>
        <w:sz w:val="18"/>
        <w:szCs w:val="18"/>
      </w:rPr>
      <w:fldChar w:fldCharType="separate"/>
    </w:r>
    <w:r>
      <w:rPr>
        <w:rStyle w:val="109"/>
        <w:rFonts w:ascii="Times New Roman" w:hAnsi="Times New Roman" w:eastAsia="宋体" w:cs="Times New Roman"/>
        <w:szCs w:val="24"/>
      </w:rPr>
      <w:t>1</w:t>
    </w:r>
    <w:r>
      <w:rPr>
        <w:rFonts w:ascii="Times New Roman" w:hAnsi="Times New Roman" w:eastAsia="宋体" w:cs="Times New Roman"/>
        <w:sz w:val="18"/>
        <w:szCs w:val="18"/>
      </w:rPr>
      <w:fldChar w:fldCharType="end"/>
    </w:r>
  </w:p>
  <w:p>
    <w:pPr>
      <w:snapToGrid w:val="0"/>
      <w:jc w:val="left"/>
      <w:rPr>
        <w:rFonts w:ascii="Times New Roman" w:hAnsi="Times New Roman" w:eastAsia="宋体" w:cs="Times New Roman"/>
        <w:sz w:val="18"/>
        <w:szCs w:val="18"/>
      </w:rPr>
    </w:pPr>
  </w:p>
  <w:p>
    <w:pPr>
      <w:rPr>
        <w:rFonts w:ascii="Times New Roman" w:hAnsi="Times New Roman" w:eastAsia="宋体" w:cs="Times New Roman"/>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rFonts w:ascii="Arial" w:hAnsi="Arial" w:eastAsia="宋体" w:cs="Arial"/>
        <w:szCs w:val="21"/>
      </w:rPr>
    </w:pPr>
    <w:r>
      <w:rPr>
        <w:rFonts w:ascii="Arial" w:hAnsi="Arial" w:eastAsia="宋体" w:cs="Arial"/>
        <w:szCs w:val="21"/>
        <w:lang w:val="zh-CN"/>
      </w:rPr>
      <w:t xml:space="preserve"> </w:t>
    </w:r>
    <w:r>
      <w:rPr>
        <w:rFonts w:ascii="Arial" w:hAnsi="Arial" w:eastAsia="宋体" w:cs="Arial"/>
        <w:szCs w:val="21"/>
      </w:rPr>
      <w:fldChar w:fldCharType="begin"/>
    </w:r>
    <w:r>
      <w:rPr>
        <w:rFonts w:ascii="Arial" w:hAnsi="Arial" w:eastAsia="宋体" w:cs="Arial"/>
        <w:szCs w:val="21"/>
      </w:rPr>
      <w:instrText xml:space="preserve">PAGE</w:instrText>
    </w:r>
    <w:r>
      <w:rPr>
        <w:rFonts w:ascii="Arial" w:hAnsi="Arial" w:eastAsia="宋体" w:cs="Arial"/>
        <w:szCs w:val="21"/>
      </w:rPr>
      <w:fldChar w:fldCharType="separate"/>
    </w:r>
    <w:r>
      <w:rPr>
        <w:rFonts w:ascii="Arial" w:hAnsi="Arial" w:eastAsia="宋体" w:cs="Arial"/>
        <w:szCs w:val="21"/>
      </w:rPr>
      <w:t>125</w:t>
    </w:r>
    <w:r>
      <w:rPr>
        <w:rFonts w:ascii="Arial" w:hAnsi="Arial" w:eastAsia="宋体" w:cs="Arial"/>
        <w:szCs w:val="21"/>
      </w:rPr>
      <w:fldChar w:fldCharType="end"/>
    </w:r>
    <w:r>
      <w:rPr>
        <w:rFonts w:ascii="Arial" w:hAnsi="Arial" w:eastAsia="宋体" w:cs="Arial"/>
        <w:szCs w:val="21"/>
        <w:lang w:val="zh-CN"/>
      </w:rPr>
      <w:t xml:space="preserve"> </w:t>
    </w:r>
  </w:p>
  <w:p>
    <w:pPr>
      <w:rPr>
        <w:rFonts w:ascii="Arial" w:hAnsi="Arial" w:eastAsia="宋体" w:cs="Arial"/>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double" w:color="auto" w:sz="8" w:space="1"/>
      </w:pBdr>
      <w:tabs>
        <w:tab w:val="center" w:pos="4535"/>
        <w:tab w:val="right" w:pos="9190"/>
      </w:tabs>
      <w:jc w:val="right"/>
      <w:rPr>
        <w:rFonts w:eastAsia="宋体"/>
      </w:rPr>
    </w:pPr>
    <w:r>
      <w:rPr>
        <w:rFonts w:hint="eastAsia" w:eastAsia="宋体"/>
      </w:rPr>
      <w:t xml:space="preserve">                                  竞谈文件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right" w:y="1"/>
      <w:pBdr>
        <w:bottom w:val="single" w:color="auto" w:sz="6" w:space="1"/>
      </w:pBdr>
      <w:snapToGrid w:val="0"/>
      <w:jc w:val="center"/>
      <w:rPr>
        <w:rStyle w:val="109"/>
        <w:rFonts w:ascii="Times New Roman" w:hAnsi="Times New Roman" w:eastAsia="宋体" w:cs="Times New Roman"/>
        <w:sz w:val="18"/>
        <w:szCs w:val="18"/>
      </w:rPr>
    </w:pPr>
    <w:r>
      <w:rPr>
        <w:rFonts w:ascii="Times New Roman" w:hAnsi="Times New Roman" w:eastAsia="宋体" w:cs="Times New Roman"/>
        <w:sz w:val="18"/>
        <w:szCs w:val="18"/>
      </w:rPr>
      <w:fldChar w:fldCharType="begin"/>
    </w:r>
    <w:r>
      <w:rPr>
        <w:rStyle w:val="109"/>
        <w:rFonts w:ascii="Times New Roman" w:hAnsi="Times New Roman" w:eastAsia="宋体" w:cs="Times New Roman"/>
        <w:szCs w:val="24"/>
      </w:rPr>
      <w:instrText xml:space="preserve">PAGE  </w:instrText>
    </w:r>
    <w:r>
      <w:rPr>
        <w:rFonts w:ascii="Times New Roman" w:hAnsi="Times New Roman" w:eastAsia="宋体" w:cs="Times New Roman"/>
        <w:sz w:val="18"/>
        <w:szCs w:val="18"/>
      </w:rPr>
      <w:fldChar w:fldCharType="end"/>
    </w:r>
  </w:p>
  <w:p>
    <w:pPr>
      <w:pBdr>
        <w:bottom w:val="single" w:color="auto" w:sz="6" w:space="1"/>
      </w:pBdr>
      <w:snapToGrid w:val="0"/>
      <w:ind w:right="360"/>
      <w:jc w:val="center"/>
      <w:rPr>
        <w:rFonts w:ascii="Times New Roman" w:hAnsi="Times New Roman" w:eastAsia="宋体" w:cs="Times New Roman"/>
        <w:sz w:val="18"/>
        <w:szCs w:val="18"/>
      </w:rPr>
    </w:pPr>
  </w:p>
  <w:p>
    <w:pPr>
      <w:rPr>
        <w:rFonts w:ascii="Times New Roman" w:hAnsi="Times New Roman" w:eastAsia="宋体" w:cs="Times New Roman"/>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ind w:left="-170" w:leftChars="-81" w:firstLine="210" w:firstLineChars="100"/>
      <w:jc w:val="left"/>
      <w:rPr>
        <w:rFonts w:ascii="Arial" w:hAnsi="Arial" w:eastAsia="宋体" w:cs="Arial"/>
        <w:sz w:val="18"/>
        <w:szCs w:val="18"/>
      </w:rPr>
    </w:pPr>
    <w:r>
      <w:rPr>
        <w:rFonts w:ascii="Arial" w:hAnsi="Arial" w:eastAsia="宋体" w:cs="Arial"/>
        <w:szCs w:val="24"/>
      </w:rPr>
      <w:drawing>
        <wp:inline distT="0" distB="0" distL="114300" distR="114300">
          <wp:extent cx="355600" cy="165735"/>
          <wp:effectExtent l="0" t="0" r="6350" b="5715"/>
          <wp:docPr id="5" name="图片 2" descr="标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标志(1)"/>
                  <pic:cNvPicPr>
                    <a:picLocks noChangeAspect="1"/>
                  </pic:cNvPicPr>
                </pic:nvPicPr>
                <pic:blipFill>
                  <a:blip r:embed="rId1"/>
                  <a:stretch>
                    <a:fillRect/>
                  </a:stretch>
                </pic:blipFill>
                <pic:spPr>
                  <a:xfrm>
                    <a:off x="0" y="0"/>
                    <a:ext cx="355600" cy="165735"/>
                  </a:xfrm>
                  <a:prstGeom prst="rect">
                    <a:avLst/>
                  </a:prstGeom>
                  <a:noFill/>
                  <a:ln>
                    <a:noFill/>
                  </a:ln>
                </pic:spPr>
              </pic:pic>
            </a:graphicData>
          </a:graphic>
        </wp:inline>
      </w:drawing>
    </w:r>
    <w:r>
      <w:rPr>
        <w:rFonts w:hint="eastAsia" w:ascii="Arial" w:hAnsi="Times New Roman" w:eastAsia="宋体" w:cs="Arial"/>
        <w:sz w:val="18"/>
        <w:szCs w:val="18"/>
      </w:rPr>
      <w:t>东源曲靖能源有限公司2020年机组检修项目     采购文件</w:t>
    </w:r>
    <w:r>
      <w:rPr>
        <w:rFonts w:hint="eastAsia" w:ascii="Arial" w:hAnsi="Arial" w:eastAsia="宋体" w:cs="Arial"/>
        <w:sz w:val="18"/>
        <w:szCs w:val="18"/>
      </w:rPr>
      <w:t xml:space="preserve">        </w:t>
    </w:r>
    <w:r>
      <w:rPr>
        <w:rFonts w:ascii="Arial" w:hAnsi="Arial" w:eastAsia="宋体" w:cs="Arial"/>
        <w:sz w:val="18"/>
        <w:szCs w:val="18"/>
      </w:rPr>
      <w:t xml:space="preserve">   </w:t>
    </w:r>
    <w:r>
      <w:rPr>
        <w:rFonts w:hint="eastAsia" w:ascii="Arial" w:hAnsi="Arial" w:eastAsia="宋体" w:cs="Arial"/>
        <w:sz w:val="18"/>
        <w:szCs w:val="18"/>
      </w:rPr>
      <w:t xml:space="preserve">                                                                      </w:t>
    </w:r>
  </w:p>
  <w:p>
    <w:pPr>
      <w:rPr>
        <w:rFonts w:ascii="Arial" w:hAnsi="Arial" w:eastAsia="宋体"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46EBE7"/>
    <w:multiLevelType w:val="singleLevel"/>
    <w:tmpl w:val="A346EBE7"/>
    <w:lvl w:ilvl="0" w:tentative="0">
      <w:start w:val="1"/>
      <w:numFmt w:val="decimal"/>
      <w:suff w:val="nothing"/>
      <w:lvlText w:val="（%1）"/>
      <w:lvlJc w:val="left"/>
      <w:rPr>
        <w:rFonts w:hint="default"/>
        <w:sz w:val="24"/>
        <w:szCs w:val="24"/>
      </w:rPr>
    </w:lvl>
  </w:abstractNum>
  <w:abstractNum w:abstractNumId="1">
    <w:nsid w:val="B23B6841"/>
    <w:multiLevelType w:val="singleLevel"/>
    <w:tmpl w:val="B23B6841"/>
    <w:lvl w:ilvl="0" w:tentative="0">
      <w:start w:val="1"/>
      <w:numFmt w:val="decimal"/>
      <w:suff w:val="nothing"/>
      <w:lvlText w:val="%1．"/>
      <w:lvlJc w:val="left"/>
      <w:pPr>
        <w:ind w:left="0" w:firstLine="400"/>
      </w:pPr>
      <w:rPr>
        <w:rFonts w:hint="default"/>
      </w:rPr>
    </w:lvl>
  </w:abstractNum>
  <w:abstractNum w:abstractNumId="2">
    <w:nsid w:val="E84C19EF"/>
    <w:multiLevelType w:val="singleLevel"/>
    <w:tmpl w:val="E84C19EF"/>
    <w:lvl w:ilvl="0" w:tentative="0">
      <w:start w:val="6"/>
      <w:numFmt w:val="chineseCounting"/>
      <w:suff w:val="space"/>
      <w:lvlText w:val="第%1章"/>
      <w:lvlJc w:val="left"/>
      <w:rPr>
        <w:rFonts w:hint="eastAsia"/>
      </w:rPr>
    </w:lvl>
  </w:abstractNum>
  <w:abstractNum w:abstractNumId="3">
    <w:nsid w:val="1B6A3353"/>
    <w:multiLevelType w:val="singleLevel"/>
    <w:tmpl w:val="1B6A3353"/>
    <w:lvl w:ilvl="0" w:tentative="0">
      <w:start w:val="1"/>
      <w:numFmt w:val="decimal"/>
      <w:suff w:val="nothing"/>
      <w:lvlText w:val="%1、"/>
      <w:lvlJc w:val="left"/>
    </w:lvl>
  </w:abstractNum>
  <w:abstractNum w:abstractNumId="4">
    <w:nsid w:val="2EB171FF"/>
    <w:multiLevelType w:val="multilevel"/>
    <w:tmpl w:val="2EB171FF"/>
    <w:lvl w:ilvl="0" w:tentative="0">
      <w:start w:val="1"/>
      <w:numFmt w:val="decimal"/>
      <w:pStyle w:val="76"/>
      <w:lvlText w:val="%1."/>
      <w:lvlJc w:val="left"/>
      <w:pPr>
        <w:ind w:left="1822" w:hanging="360"/>
      </w:pPr>
      <w:rPr>
        <w:rFonts w:hint="default"/>
      </w:rPr>
    </w:lvl>
    <w:lvl w:ilvl="1" w:tentative="0">
      <w:start w:val="1"/>
      <w:numFmt w:val="lowerLetter"/>
      <w:lvlText w:val="%2)"/>
      <w:lvlJc w:val="left"/>
      <w:pPr>
        <w:ind w:left="2302" w:hanging="420"/>
      </w:pPr>
    </w:lvl>
    <w:lvl w:ilvl="2" w:tentative="0">
      <w:start w:val="1"/>
      <w:numFmt w:val="lowerRoman"/>
      <w:lvlText w:val="%3."/>
      <w:lvlJc w:val="right"/>
      <w:pPr>
        <w:ind w:left="2722" w:hanging="420"/>
      </w:pPr>
    </w:lvl>
    <w:lvl w:ilvl="3" w:tentative="0">
      <w:start w:val="1"/>
      <w:numFmt w:val="decimal"/>
      <w:lvlText w:val="%4."/>
      <w:lvlJc w:val="left"/>
      <w:pPr>
        <w:ind w:left="3142" w:hanging="420"/>
      </w:pPr>
    </w:lvl>
    <w:lvl w:ilvl="4" w:tentative="0">
      <w:start w:val="1"/>
      <w:numFmt w:val="lowerLetter"/>
      <w:lvlText w:val="%5)"/>
      <w:lvlJc w:val="left"/>
      <w:pPr>
        <w:ind w:left="3562" w:hanging="420"/>
      </w:pPr>
    </w:lvl>
    <w:lvl w:ilvl="5" w:tentative="0">
      <w:start w:val="1"/>
      <w:numFmt w:val="lowerRoman"/>
      <w:lvlText w:val="%6."/>
      <w:lvlJc w:val="right"/>
      <w:pPr>
        <w:ind w:left="3982" w:hanging="420"/>
      </w:pPr>
    </w:lvl>
    <w:lvl w:ilvl="6" w:tentative="0">
      <w:start w:val="1"/>
      <w:numFmt w:val="decimal"/>
      <w:lvlText w:val="%7."/>
      <w:lvlJc w:val="left"/>
      <w:pPr>
        <w:ind w:left="4402" w:hanging="420"/>
      </w:pPr>
    </w:lvl>
    <w:lvl w:ilvl="7" w:tentative="0">
      <w:start w:val="1"/>
      <w:numFmt w:val="lowerLetter"/>
      <w:lvlText w:val="%8)"/>
      <w:lvlJc w:val="left"/>
      <w:pPr>
        <w:ind w:left="4822" w:hanging="420"/>
      </w:pPr>
    </w:lvl>
    <w:lvl w:ilvl="8" w:tentative="0">
      <w:start w:val="1"/>
      <w:numFmt w:val="lowerRoman"/>
      <w:lvlText w:val="%9."/>
      <w:lvlJc w:val="right"/>
      <w:pPr>
        <w:ind w:left="5242" w:hanging="420"/>
      </w:pPr>
    </w:lvl>
  </w:abstractNum>
  <w:abstractNum w:abstractNumId="5">
    <w:nsid w:val="6264BF6A"/>
    <w:multiLevelType w:val="singleLevel"/>
    <w:tmpl w:val="6264BF6A"/>
    <w:lvl w:ilvl="0" w:tentative="0">
      <w:start w:val="1"/>
      <w:numFmt w:val="decimal"/>
      <w:suff w:val="nothing"/>
      <w:lvlText w:val="%1、"/>
      <w:lvlJc w:val="left"/>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hideSpellingErrors/>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BiYTVhNjFhNTcwYjVhZDBjNzY5Zjg5MmYxYWVhMGYifQ=="/>
    <w:docVar w:name="KSO_WPS_MARK_KEY" w:val="f3a8261e-7e1e-4f7e-bae4-3fbb08485b23"/>
  </w:docVars>
  <w:rsids>
    <w:rsidRoot w:val="001053A4"/>
    <w:rsid w:val="000000D2"/>
    <w:rsid w:val="000016D6"/>
    <w:rsid w:val="00001795"/>
    <w:rsid w:val="00001FE9"/>
    <w:rsid w:val="0000204D"/>
    <w:rsid w:val="00003211"/>
    <w:rsid w:val="00003D8C"/>
    <w:rsid w:val="000044E6"/>
    <w:rsid w:val="00005BCF"/>
    <w:rsid w:val="000064F4"/>
    <w:rsid w:val="00006635"/>
    <w:rsid w:val="0000669A"/>
    <w:rsid w:val="000069C3"/>
    <w:rsid w:val="00006FF4"/>
    <w:rsid w:val="000101CA"/>
    <w:rsid w:val="000129BF"/>
    <w:rsid w:val="00013AD4"/>
    <w:rsid w:val="00014707"/>
    <w:rsid w:val="0001551C"/>
    <w:rsid w:val="00020491"/>
    <w:rsid w:val="000216BB"/>
    <w:rsid w:val="00022A02"/>
    <w:rsid w:val="00023732"/>
    <w:rsid w:val="0002470C"/>
    <w:rsid w:val="00025483"/>
    <w:rsid w:val="00026ACA"/>
    <w:rsid w:val="00026C42"/>
    <w:rsid w:val="0003048F"/>
    <w:rsid w:val="00030B95"/>
    <w:rsid w:val="000332E3"/>
    <w:rsid w:val="000338A9"/>
    <w:rsid w:val="0003492B"/>
    <w:rsid w:val="000364A9"/>
    <w:rsid w:val="00036FDE"/>
    <w:rsid w:val="00037C4A"/>
    <w:rsid w:val="00040116"/>
    <w:rsid w:val="00040118"/>
    <w:rsid w:val="000409ED"/>
    <w:rsid w:val="00040EBD"/>
    <w:rsid w:val="00041C08"/>
    <w:rsid w:val="00041C13"/>
    <w:rsid w:val="00042950"/>
    <w:rsid w:val="000438D4"/>
    <w:rsid w:val="000438DC"/>
    <w:rsid w:val="00043CBC"/>
    <w:rsid w:val="00043E7F"/>
    <w:rsid w:val="00045502"/>
    <w:rsid w:val="0004603E"/>
    <w:rsid w:val="00047CCA"/>
    <w:rsid w:val="00047D78"/>
    <w:rsid w:val="00047E43"/>
    <w:rsid w:val="00047F0C"/>
    <w:rsid w:val="00053692"/>
    <w:rsid w:val="000536EE"/>
    <w:rsid w:val="00053889"/>
    <w:rsid w:val="0005476E"/>
    <w:rsid w:val="00054C04"/>
    <w:rsid w:val="00055180"/>
    <w:rsid w:val="000552E9"/>
    <w:rsid w:val="000560C9"/>
    <w:rsid w:val="00056F24"/>
    <w:rsid w:val="00056FAE"/>
    <w:rsid w:val="0006016A"/>
    <w:rsid w:val="00060391"/>
    <w:rsid w:val="0006059D"/>
    <w:rsid w:val="000609EA"/>
    <w:rsid w:val="00061D7B"/>
    <w:rsid w:val="00062493"/>
    <w:rsid w:val="000628E1"/>
    <w:rsid w:val="00062E71"/>
    <w:rsid w:val="00063710"/>
    <w:rsid w:val="00065A34"/>
    <w:rsid w:val="00065F8D"/>
    <w:rsid w:val="000705F1"/>
    <w:rsid w:val="000708F9"/>
    <w:rsid w:val="00071404"/>
    <w:rsid w:val="00071463"/>
    <w:rsid w:val="00072024"/>
    <w:rsid w:val="00072D0B"/>
    <w:rsid w:val="00073228"/>
    <w:rsid w:val="0007417B"/>
    <w:rsid w:val="00074D16"/>
    <w:rsid w:val="00075AED"/>
    <w:rsid w:val="000801E2"/>
    <w:rsid w:val="000818EF"/>
    <w:rsid w:val="00081934"/>
    <w:rsid w:val="0008299D"/>
    <w:rsid w:val="00083487"/>
    <w:rsid w:val="000838E1"/>
    <w:rsid w:val="00085662"/>
    <w:rsid w:val="00090EE4"/>
    <w:rsid w:val="00091326"/>
    <w:rsid w:val="00091352"/>
    <w:rsid w:val="0009319B"/>
    <w:rsid w:val="00095881"/>
    <w:rsid w:val="00095C7A"/>
    <w:rsid w:val="000963EC"/>
    <w:rsid w:val="00096B7A"/>
    <w:rsid w:val="0009739F"/>
    <w:rsid w:val="000974A2"/>
    <w:rsid w:val="00097FDC"/>
    <w:rsid w:val="000A1491"/>
    <w:rsid w:val="000A4682"/>
    <w:rsid w:val="000A553B"/>
    <w:rsid w:val="000A5B54"/>
    <w:rsid w:val="000A6661"/>
    <w:rsid w:val="000A6D42"/>
    <w:rsid w:val="000A70DA"/>
    <w:rsid w:val="000A72A1"/>
    <w:rsid w:val="000A72C8"/>
    <w:rsid w:val="000A7A54"/>
    <w:rsid w:val="000B26E3"/>
    <w:rsid w:val="000B2CFE"/>
    <w:rsid w:val="000B4243"/>
    <w:rsid w:val="000B4E7C"/>
    <w:rsid w:val="000B53DD"/>
    <w:rsid w:val="000B5A9A"/>
    <w:rsid w:val="000B5F86"/>
    <w:rsid w:val="000B781B"/>
    <w:rsid w:val="000C2593"/>
    <w:rsid w:val="000C53A6"/>
    <w:rsid w:val="000C71E3"/>
    <w:rsid w:val="000D049D"/>
    <w:rsid w:val="000D0DF5"/>
    <w:rsid w:val="000D4663"/>
    <w:rsid w:val="000D5C1F"/>
    <w:rsid w:val="000D6AC4"/>
    <w:rsid w:val="000D6B99"/>
    <w:rsid w:val="000D7C2C"/>
    <w:rsid w:val="000E0FC6"/>
    <w:rsid w:val="000E110A"/>
    <w:rsid w:val="000E1A67"/>
    <w:rsid w:val="000E3137"/>
    <w:rsid w:val="000E363F"/>
    <w:rsid w:val="000E395A"/>
    <w:rsid w:val="000E444A"/>
    <w:rsid w:val="000E4A64"/>
    <w:rsid w:val="000E5C4D"/>
    <w:rsid w:val="000E5F82"/>
    <w:rsid w:val="000E7225"/>
    <w:rsid w:val="000E7629"/>
    <w:rsid w:val="000E7BD8"/>
    <w:rsid w:val="000F00AC"/>
    <w:rsid w:val="000F2DC0"/>
    <w:rsid w:val="000F447A"/>
    <w:rsid w:val="000F51E6"/>
    <w:rsid w:val="000F5F08"/>
    <w:rsid w:val="000F64FD"/>
    <w:rsid w:val="000F675D"/>
    <w:rsid w:val="00100798"/>
    <w:rsid w:val="0010276B"/>
    <w:rsid w:val="001053A4"/>
    <w:rsid w:val="001066F1"/>
    <w:rsid w:val="00107173"/>
    <w:rsid w:val="00107825"/>
    <w:rsid w:val="00107D1C"/>
    <w:rsid w:val="00110110"/>
    <w:rsid w:val="001109F5"/>
    <w:rsid w:val="00110A13"/>
    <w:rsid w:val="00111294"/>
    <w:rsid w:val="001118F6"/>
    <w:rsid w:val="001128D9"/>
    <w:rsid w:val="00113043"/>
    <w:rsid w:val="0011306C"/>
    <w:rsid w:val="00114F88"/>
    <w:rsid w:val="001154B0"/>
    <w:rsid w:val="00115D65"/>
    <w:rsid w:val="001171FF"/>
    <w:rsid w:val="00117E47"/>
    <w:rsid w:val="001227E2"/>
    <w:rsid w:val="00122D11"/>
    <w:rsid w:val="001231FE"/>
    <w:rsid w:val="001239AF"/>
    <w:rsid w:val="00123E79"/>
    <w:rsid w:val="001242FC"/>
    <w:rsid w:val="0012506D"/>
    <w:rsid w:val="001266FF"/>
    <w:rsid w:val="00126C68"/>
    <w:rsid w:val="00126F12"/>
    <w:rsid w:val="00127C4A"/>
    <w:rsid w:val="001314F4"/>
    <w:rsid w:val="0013306D"/>
    <w:rsid w:val="00133362"/>
    <w:rsid w:val="001345DC"/>
    <w:rsid w:val="00134721"/>
    <w:rsid w:val="00135918"/>
    <w:rsid w:val="00135D0A"/>
    <w:rsid w:val="0013702B"/>
    <w:rsid w:val="001373D5"/>
    <w:rsid w:val="0013767C"/>
    <w:rsid w:val="00137BD4"/>
    <w:rsid w:val="001409B9"/>
    <w:rsid w:val="001416E3"/>
    <w:rsid w:val="00141A78"/>
    <w:rsid w:val="00141D9E"/>
    <w:rsid w:val="00142393"/>
    <w:rsid w:val="00142A3B"/>
    <w:rsid w:val="001446E8"/>
    <w:rsid w:val="00145B8A"/>
    <w:rsid w:val="0014750C"/>
    <w:rsid w:val="001475B2"/>
    <w:rsid w:val="001475E6"/>
    <w:rsid w:val="00151095"/>
    <w:rsid w:val="00151844"/>
    <w:rsid w:val="001530F2"/>
    <w:rsid w:val="001532E7"/>
    <w:rsid w:val="00153EDC"/>
    <w:rsid w:val="00153FE8"/>
    <w:rsid w:val="00155461"/>
    <w:rsid w:val="00157DF1"/>
    <w:rsid w:val="0016094E"/>
    <w:rsid w:val="00162AF3"/>
    <w:rsid w:val="00162DE8"/>
    <w:rsid w:val="00163A78"/>
    <w:rsid w:val="00163A91"/>
    <w:rsid w:val="00163ACC"/>
    <w:rsid w:val="00163ED5"/>
    <w:rsid w:val="001653CA"/>
    <w:rsid w:val="00165E33"/>
    <w:rsid w:val="001674E4"/>
    <w:rsid w:val="00167A11"/>
    <w:rsid w:val="00167FEC"/>
    <w:rsid w:val="001702A1"/>
    <w:rsid w:val="00172434"/>
    <w:rsid w:val="00173528"/>
    <w:rsid w:val="00173835"/>
    <w:rsid w:val="0017408C"/>
    <w:rsid w:val="001740A3"/>
    <w:rsid w:val="00174809"/>
    <w:rsid w:val="00175205"/>
    <w:rsid w:val="00175AE5"/>
    <w:rsid w:val="001763B0"/>
    <w:rsid w:val="00176F66"/>
    <w:rsid w:val="00176F6F"/>
    <w:rsid w:val="00177489"/>
    <w:rsid w:val="001809FC"/>
    <w:rsid w:val="00181157"/>
    <w:rsid w:val="0018336F"/>
    <w:rsid w:val="00183497"/>
    <w:rsid w:val="001843FF"/>
    <w:rsid w:val="0018479D"/>
    <w:rsid w:val="00185167"/>
    <w:rsid w:val="00186EC7"/>
    <w:rsid w:val="00187935"/>
    <w:rsid w:val="0019027B"/>
    <w:rsid w:val="001934E7"/>
    <w:rsid w:val="001939A8"/>
    <w:rsid w:val="001940DF"/>
    <w:rsid w:val="00196293"/>
    <w:rsid w:val="001963A6"/>
    <w:rsid w:val="001964B2"/>
    <w:rsid w:val="00197E53"/>
    <w:rsid w:val="001A11D9"/>
    <w:rsid w:val="001A19D0"/>
    <w:rsid w:val="001A210E"/>
    <w:rsid w:val="001A287E"/>
    <w:rsid w:val="001A3BE7"/>
    <w:rsid w:val="001A403A"/>
    <w:rsid w:val="001A51B8"/>
    <w:rsid w:val="001A57DA"/>
    <w:rsid w:val="001A60B9"/>
    <w:rsid w:val="001A69FF"/>
    <w:rsid w:val="001A6A8F"/>
    <w:rsid w:val="001A6F7D"/>
    <w:rsid w:val="001B055C"/>
    <w:rsid w:val="001B05B0"/>
    <w:rsid w:val="001B07EA"/>
    <w:rsid w:val="001B2C96"/>
    <w:rsid w:val="001B5102"/>
    <w:rsid w:val="001B5A46"/>
    <w:rsid w:val="001B6D9E"/>
    <w:rsid w:val="001B771B"/>
    <w:rsid w:val="001C19EE"/>
    <w:rsid w:val="001C1F8C"/>
    <w:rsid w:val="001C212C"/>
    <w:rsid w:val="001C2E93"/>
    <w:rsid w:val="001C3945"/>
    <w:rsid w:val="001C5851"/>
    <w:rsid w:val="001C5EA1"/>
    <w:rsid w:val="001C7E90"/>
    <w:rsid w:val="001D04D6"/>
    <w:rsid w:val="001D06BC"/>
    <w:rsid w:val="001D12CD"/>
    <w:rsid w:val="001D15B1"/>
    <w:rsid w:val="001D508A"/>
    <w:rsid w:val="001D5823"/>
    <w:rsid w:val="001D65BA"/>
    <w:rsid w:val="001D76F0"/>
    <w:rsid w:val="001E00A1"/>
    <w:rsid w:val="001E0268"/>
    <w:rsid w:val="001E04DD"/>
    <w:rsid w:val="001E0B98"/>
    <w:rsid w:val="001E1104"/>
    <w:rsid w:val="001E1441"/>
    <w:rsid w:val="001E21E1"/>
    <w:rsid w:val="001E3AD3"/>
    <w:rsid w:val="001E3C3D"/>
    <w:rsid w:val="001E3C6D"/>
    <w:rsid w:val="001E3F56"/>
    <w:rsid w:val="001E47EA"/>
    <w:rsid w:val="001E4E3B"/>
    <w:rsid w:val="001E65B7"/>
    <w:rsid w:val="001E717A"/>
    <w:rsid w:val="001E7494"/>
    <w:rsid w:val="001E7844"/>
    <w:rsid w:val="001F0164"/>
    <w:rsid w:val="001F234A"/>
    <w:rsid w:val="001F26FA"/>
    <w:rsid w:val="001F354E"/>
    <w:rsid w:val="001F44E1"/>
    <w:rsid w:val="001F5082"/>
    <w:rsid w:val="001F653E"/>
    <w:rsid w:val="001F6917"/>
    <w:rsid w:val="00200EA8"/>
    <w:rsid w:val="0020104D"/>
    <w:rsid w:val="002023BD"/>
    <w:rsid w:val="00202ACF"/>
    <w:rsid w:val="00202EE9"/>
    <w:rsid w:val="002053AF"/>
    <w:rsid w:val="00205557"/>
    <w:rsid w:val="0020662C"/>
    <w:rsid w:val="00206EFC"/>
    <w:rsid w:val="002108A9"/>
    <w:rsid w:val="002108B5"/>
    <w:rsid w:val="0021171F"/>
    <w:rsid w:val="00211D18"/>
    <w:rsid w:val="00213098"/>
    <w:rsid w:val="00214EDA"/>
    <w:rsid w:val="00216822"/>
    <w:rsid w:val="00216A2B"/>
    <w:rsid w:val="00216CCD"/>
    <w:rsid w:val="0022047C"/>
    <w:rsid w:val="00221CB3"/>
    <w:rsid w:val="00222636"/>
    <w:rsid w:val="002229EA"/>
    <w:rsid w:val="00223EEB"/>
    <w:rsid w:val="002254C6"/>
    <w:rsid w:val="00225518"/>
    <w:rsid w:val="0022556A"/>
    <w:rsid w:val="00226FF9"/>
    <w:rsid w:val="002304EF"/>
    <w:rsid w:val="00230CD9"/>
    <w:rsid w:val="00231383"/>
    <w:rsid w:val="00234745"/>
    <w:rsid w:val="00234B43"/>
    <w:rsid w:val="00234E6C"/>
    <w:rsid w:val="00234EA9"/>
    <w:rsid w:val="00235304"/>
    <w:rsid w:val="002354B6"/>
    <w:rsid w:val="00240EB4"/>
    <w:rsid w:val="00242BB5"/>
    <w:rsid w:val="00244A73"/>
    <w:rsid w:val="002452A9"/>
    <w:rsid w:val="0025181C"/>
    <w:rsid w:val="00253392"/>
    <w:rsid w:val="00254719"/>
    <w:rsid w:val="0025475D"/>
    <w:rsid w:val="00256A08"/>
    <w:rsid w:val="00256A28"/>
    <w:rsid w:val="00256F72"/>
    <w:rsid w:val="00260806"/>
    <w:rsid w:val="002619FE"/>
    <w:rsid w:val="00262303"/>
    <w:rsid w:val="0026265B"/>
    <w:rsid w:val="002645D7"/>
    <w:rsid w:val="00264EEC"/>
    <w:rsid w:val="00265A32"/>
    <w:rsid w:val="002668A0"/>
    <w:rsid w:val="00267078"/>
    <w:rsid w:val="00267F46"/>
    <w:rsid w:val="002715CC"/>
    <w:rsid w:val="00271F7B"/>
    <w:rsid w:val="00273AF9"/>
    <w:rsid w:val="00274374"/>
    <w:rsid w:val="002761A2"/>
    <w:rsid w:val="002763E0"/>
    <w:rsid w:val="002771BD"/>
    <w:rsid w:val="002773E3"/>
    <w:rsid w:val="002806C1"/>
    <w:rsid w:val="00280988"/>
    <w:rsid w:val="00281937"/>
    <w:rsid w:val="00282BD1"/>
    <w:rsid w:val="00283997"/>
    <w:rsid w:val="002843C6"/>
    <w:rsid w:val="0028440A"/>
    <w:rsid w:val="00285DE4"/>
    <w:rsid w:val="00286C30"/>
    <w:rsid w:val="00287635"/>
    <w:rsid w:val="00291C37"/>
    <w:rsid w:val="00291E22"/>
    <w:rsid w:val="002926A0"/>
    <w:rsid w:val="00293FED"/>
    <w:rsid w:val="00294CAF"/>
    <w:rsid w:val="00294CE5"/>
    <w:rsid w:val="002979E7"/>
    <w:rsid w:val="00297DF1"/>
    <w:rsid w:val="002A1610"/>
    <w:rsid w:val="002A193F"/>
    <w:rsid w:val="002A63E3"/>
    <w:rsid w:val="002A72EF"/>
    <w:rsid w:val="002B0876"/>
    <w:rsid w:val="002B095E"/>
    <w:rsid w:val="002B2DC0"/>
    <w:rsid w:val="002B3CFD"/>
    <w:rsid w:val="002B3F58"/>
    <w:rsid w:val="002B4E85"/>
    <w:rsid w:val="002B5849"/>
    <w:rsid w:val="002B63C1"/>
    <w:rsid w:val="002B65BE"/>
    <w:rsid w:val="002B7354"/>
    <w:rsid w:val="002B7FCF"/>
    <w:rsid w:val="002C4B6C"/>
    <w:rsid w:val="002C4F7E"/>
    <w:rsid w:val="002C6281"/>
    <w:rsid w:val="002C6EF8"/>
    <w:rsid w:val="002D1677"/>
    <w:rsid w:val="002D3114"/>
    <w:rsid w:val="002D3D3F"/>
    <w:rsid w:val="002D4799"/>
    <w:rsid w:val="002D4C02"/>
    <w:rsid w:val="002D6139"/>
    <w:rsid w:val="002D62A0"/>
    <w:rsid w:val="002E0C5E"/>
    <w:rsid w:val="002E1EFE"/>
    <w:rsid w:val="002E25BB"/>
    <w:rsid w:val="002E2AE1"/>
    <w:rsid w:val="002E31A4"/>
    <w:rsid w:val="002E3DA8"/>
    <w:rsid w:val="002E47D1"/>
    <w:rsid w:val="002E5692"/>
    <w:rsid w:val="002E6078"/>
    <w:rsid w:val="002E6293"/>
    <w:rsid w:val="002F0F24"/>
    <w:rsid w:val="002F1E7C"/>
    <w:rsid w:val="002F383B"/>
    <w:rsid w:val="002F3984"/>
    <w:rsid w:val="002F4057"/>
    <w:rsid w:val="002F4BB2"/>
    <w:rsid w:val="002F54AA"/>
    <w:rsid w:val="002F6D4E"/>
    <w:rsid w:val="00301AEC"/>
    <w:rsid w:val="0030257B"/>
    <w:rsid w:val="00304688"/>
    <w:rsid w:val="00304805"/>
    <w:rsid w:val="00305738"/>
    <w:rsid w:val="00305C39"/>
    <w:rsid w:val="00307208"/>
    <w:rsid w:val="003106D3"/>
    <w:rsid w:val="00311B46"/>
    <w:rsid w:val="00312832"/>
    <w:rsid w:val="00312E50"/>
    <w:rsid w:val="0031369B"/>
    <w:rsid w:val="00313D22"/>
    <w:rsid w:val="003141DB"/>
    <w:rsid w:val="0031524E"/>
    <w:rsid w:val="00320DE4"/>
    <w:rsid w:val="0032182A"/>
    <w:rsid w:val="0032307B"/>
    <w:rsid w:val="00323527"/>
    <w:rsid w:val="0032386F"/>
    <w:rsid w:val="00325A13"/>
    <w:rsid w:val="003262E8"/>
    <w:rsid w:val="00327057"/>
    <w:rsid w:val="00330162"/>
    <w:rsid w:val="0033034C"/>
    <w:rsid w:val="003305B9"/>
    <w:rsid w:val="00330F3D"/>
    <w:rsid w:val="00330F46"/>
    <w:rsid w:val="00331B21"/>
    <w:rsid w:val="0033314B"/>
    <w:rsid w:val="00333340"/>
    <w:rsid w:val="003340AE"/>
    <w:rsid w:val="00335118"/>
    <w:rsid w:val="003401A9"/>
    <w:rsid w:val="003410BF"/>
    <w:rsid w:val="00341428"/>
    <w:rsid w:val="00342AB8"/>
    <w:rsid w:val="00343FB7"/>
    <w:rsid w:val="00344E3A"/>
    <w:rsid w:val="00346127"/>
    <w:rsid w:val="00346410"/>
    <w:rsid w:val="00350FD7"/>
    <w:rsid w:val="0035189E"/>
    <w:rsid w:val="00352A79"/>
    <w:rsid w:val="00352C27"/>
    <w:rsid w:val="00352EA9"/>
    <w:rsid w:val="00353E17"/>
    <w:rsid w:val="00354AEC"/>
    <w:rsid w:val="00357000"/>
    <w:rsid w:val="00357516"/>
    <w:rsid w:val="003614EB"/>
    <w:rsid w:val="0036169C"/>
    <w:rsid w:val="003624C7"/>
    <w:rsid w:val="003631BC"/>
    <w:rsid w:val="00363599"/>
    <w:rsid w:val="003636AF"/>
    <w:rsid w:val="00363B3A"/>
    <w:rsid w:val="00364B0C"/>
    <w:rsid w:val="0036523B"/>
    <w:rsid w:val="00366833"/>
    <w:rsid w:val="0036703C"/>
    <w:rsid w:val="003679F4"/>
    <w:rsid w:val="00370792"/>
    <w:rsid w:val="0037079C"/>
    <w:rsid w:val="00370F5A"/>
    <w:rsid w:val="00371C83"/>
    <w:rsid w:val="0037243C"/>
    <w:rsid w:val="00373189"/>
    <w:rsid w:val="00373220"/>
    <w:rsid w:val="0037400F"/>
    <w:rsid w:val="0037522A"/>
    <w:rsid w:val="00376221"/>
    <w:rsid w:val="00376531"/>
    <w:rsid w:val="0037668E"/>
    <w:rsid w:val="00380A77"/>
    <w:rsid w:val="00381257"/>
    <w:rsid w:val="0038217C"/>
    <w:rsid w:val="003825DD"/>
    <w:rsid w:val="0038310F"/>
    <w:rsid w:val="003831A4"/>
    <w:rsid w:val="003831EE"/>
    <w:rsid w:val="00383E3B"/>
    <w:rsid w:val="00384E30"/>
    <w:rsid w:val="00384FD6"/>
    <w:rsid w:val="00385399"/>
    <w:rsid w:val="00385E47"/>
    <w:rsid w:val="00390CAA"/>
    <w:rsid w:val="003927DA"/>
    <w:rsid w:val="00392F0A"/>
    <w:rsid w:val="0039479F"/>
    <w:rsid w:val="003956E1"/>
    <w:rsid w:val="00395FDA"/>
    <w:rsid w:val="0039693A"/>
    <w:rsid w:val="00396BC0"/>
    <w:rsid w:val="00397CA1"/>
    <w:rsid w:val="003A08C6"/>
    <w:rsid w:val="003A1253"/>
    <w:rsid w:val="003A1340"/>
    <w:rsid w:val="003A2AE3"/>
    <w:rsid w:val="003A3746"/>
    <w:rsid w:val="003A4918"/>
    <w:rsid w:val="003A53F8"/>
    <w:rsid w:val="003A585F"/>
    <w:rsid w:val="003A65D4"/>
    <w:rsid w:val="003A6C71"/>
    <w:rsid w:val="003B0B0A"/>
    <w:rsid w:val="003B10E9"/>
    <w:rsid w:val="003B1247"/>
    <w:rsid w:val="003B17F7"/>
    <w:rsid w:val="003B3BB3"/>
    <w:rsid w:val="003B3E70"/>
    <w:rsid w:val="003B4B95"/>
    <w:rsid w:val="003B6F46"/>
    <w:rsid w:val="003C04DE"/>
    <w:rsid w:val="003C07BA"/>
    <w:rsid w:val="003C0B04"/>
    <w:rsid w:val="003C109D"/>
    <w:rsid w:val="003C18B7"/>
    <w:rsid w:val="003C3BCA"/>
    <w:rsid w:val="003C435E"/>
    <w:rsid w:val="003C45B5"/>
    <w:rsid w:val="003C4630"/>
    <w:rsid w:val="003C57A0"/>
    <w:rsid w:val="003C69FA"/>
    <w:rsid w:val="003C7E19"/>
    <w:rsid w:val="003D113A"/>
    <w:rsid w:val="003D1895"/>
    <w:rsid w:val="003D2E73"/>
    <w:rsid w:val="003D56B4"/>
    <w:rsid w:val="003D6D81"/>
    <w:rsid w:val="003D6F09"/>
    <w:rsid w:val="003D71E5"/>
    <w:rsid w:val="003D744B"/>
    <w:rsid w:val="003D7499"/>
    <w:rsid w:val="003E0A4C"/>
    <w:rsid w:val="003E1C7C"/>
    <w:rsid w:val="003E1F34"/>
    <w:rsid w:val="003E26DA"/>
    <w:rsid w:val="003E2AFB"/>
    <w:rsid w:val="003E347D"/>
    <w:rsid w:val="003E3D1F"/>
    <w:rsid w:val="003E3F0B"/>
    <w:rsid w:val="003E4816"/>
    <w:rsid w:val="003E6991"/>
    <w:rsid w:val="003E6D6F"/>
    <w:rsid w:val="003E6F7E"/>
    <w:rsid w:val="003E7013"/>
    <w:rsid w:val="003E762E"/>
    <w:rsid w:val="003E7DB4"/>
    <w:rsid w:val="003F0806"/>
    <w:rsid w:val="003F08E1"/>
    <w:rsid w:val="003F0E33"/>
    <w:rsid w:val="003F16AF"/>
    <w:rsid w:val="003F3BA0"/>
    <w:rsid w:val="003F4A58"/>
    <w:rsid w:val="003F4BAD"/>
    <w:rsid w:val="003F5E89"/>
    <w:rsid w:val="003F6274"/>
    <w:rsid w:val="003F7036"/>
    <w:rsid w:val="003F7375"/>
    <w:rsid w:val="003F784B"/>
    <w:rsid w:val="00400687"/>
    <w:rsid w:val="0040166A"/>
    <w:rsid w:val="004021FE"/>
    <w:rsid w:val="00402BA6"/>
    <w:rsid w:val="00402DF2"/>
    <w:rsid w:val="004031DC"/>
    <w:rsid w:val="004040C0"/>
    <w:rsid w:val="00404AAF"/>
    <w:rsid w:val="00405DB1"/>
    <w:rsid w:val="00405F52"/>
    <w:rsid w:val="004072EB"/>
    <w:rsid w:val="00410640"/>
    <w:rsid w:val="00412DE7"/>
    <w:rsid w:val="0041319B"/>
    <w:rsid w:val="00413467"/>
    <w:rsid w:val="00413F34"/>
    <w:rsid w:val="00414692"/>
    <w:rsid w:val="004147F9"/>
    <w:rsid w:val="00414866"/>
    <w:rsid w:val="00414DB9"/>
    <w:rsid w:val="004155CC"/>
    <w:rsid w:val="00415AC7"/>
    <w:rsid w:val="00415F40"/>
    <w:rsid w:val="00416B84"/>
    <w:rsid w:val="00416DDF"/>
    <w:rsid w:val="00416EC4"/>
    <w:rsid w:val="004200B4"/>
    <w:rsid w:val="00420805"/>
    <w:rsid w:val="00421410"/>
    <w:rsid w:val="0042144E"/>
    <w:rsid w:val="00422055"/>
    <w:rsid w:val="00422BDC"/>
    <w:rsid w:val="00424F81"/>
    <w:rsid w:val="00425763"/>
    <w:rsid w:val="00425E66"/>
    <w:rsid w:val="004262BC"/>
    <w:rsid w:val="00426E38"/>
    <w:rsid w:val="00427FCA"/>
    <w:rsid w:val="00430AB0"/>
    <w:rsid w:val="00431B74"/>
    <w:rsid w:val="00432120"/>
    <w:rsid w:val="00432E99"/>
    <w:rsid w:val="00435171"/>
    <w:rsid w:val="00435201"/>
    <w:rsid w:val="004352D1"/>
    <w:rsid w:val="004367AF"/>
    <w:rsid w:val="0043689E"/>
    <w:rsid w:val="004371B9"/>
    <w:rsid w:val="00437330"/>
    <w:rsid w:val="00440175"/>
    <w:rsid w:val="004413F1"/>
    <w:rsid w:val="004431CE"/>
    <w:rsid w:val="004441AA"/>
    <w:rsid w:val="004453D6"/>
    <w:rsid w:val="004516B4"/>
    <w:rsid w:val="00452669"/>
    <w:rsid w:val="004545BF"/>
    <w:rsid w:val="00454B63"/>
    <w:rsid w:val="004554FD"/>
    <w:rsid w:val="004566EB"/>
    <w:rsid w:val="00457246"/>
    <w:rsid w:val="00457AA8"/>
    <w:rsid w:val="00457F9C"/>
    <w:rsid w:val="00460DC5"/>
    <w:rsid w:val="00461EB7"/>
    <w:rsid w:val="00462380"/>
    <w:rsid w:val="0046272A"/>
    <w:rsid w:val="0046285A"/>
    <w:rsid w:val="0046365A"/>
    <w:rsid w:val="00466C04"/>
    <w:rsid w:val="004678C4"/>
    <w:rsid w:val="00470F64"/>
    <w:rsid w:val="00471918"/>
    <w:rsid w:val="00472718"/>
    <w:rsid w:val="004727E1"/>
    <w:rsid w:val="00472C69"/>
    <w:rsid w:val="00472C90"/>
    <w:rsid w:val="00473E9A"/>
    <w:rsid w:val="0047465D"/>
    <w:rsid w:val="0047586F"/>
    <w:rsid w:val="00475E19"/>
    <w:rsid w:val="00476100"/>
    <w:rsid w:val="00480046"/>
    <w:rsid w:val="00481BA4"/>
    <w:rsid w:val="00483120"/>
    <w:rsid w:val="00483755"/>
    <w:rsid w:val="004838C9"/>
    <w:rsid w:val="0048412F"/>
    <w:rsid w:val="004851AB"/>
    <w:rsid w:val="00487E00"/>
    <w:rsid w:val="00490E76"/>
    <w:rsid w:val="00492D69"/>
    <w:rsid w:val="00493B02"/>
    <w:rsid w:val="00493BA3"/>
    <w:rsid w:val="00494917"/>
    <w:rsid w:val="004965D7"/>
    <w:rsid w:val="00497D2C"/>
    <w:rsid w:val="004A02CB"/>
    <w:rsid w:val="004A0518"/>
    <w:rsid w:val="004A0889"/>
    <w:rsid w:val="004A294A"/>
    <w:rsid w:val="004A2A52"/>
    <w:rsid w:val="004A35AF"/>
    <w:rsid w:val="004A5A44"/>
    <w:rsid w:val="004A7CE7"/>
    <w:rsid w:val="004A7DB4"/>
    <w:rsid w:val="004B0331"/>
    <w:rsid w:val="004B0AC5"/>
    <w:rsid w:val="004B0F96"/>
    <w:rsid w:val="004B1B01"/>
    <w:rsid w:val="004B21AE"/>
    <w:rsid w:val="004B35DB"/>
    <w:rsid w:val="004B3825"/>
    <w:rsid w:val="004B43CD"/>
    <w:rsid w:val="004B49CC"/>
    <w:rsid w:val="004B6B0E"/>
    <w:rsid w:val="004B7B52"/>
    <w:rsid w:val="004C000F"/>
    <w:rsid w:val="004C03C5"/>
    <w:rsid w:val="004C1EBB"/>
    <w:rsid w:val="004C1FB4"/>
    <w:rsid w:val="004C2532"/>
    <w:rsid w:val="004C290A"/>
    <w:rsid w:val="004C2BE0"/>
    <w:rsid w:val="004C4B23"/>
    <w:rsid w:val="004C72A6"/>
    <w:rsid w:val="004C7F4F"/>
    <w:rsid w:val="004D1515"/>
    <w:rsid w:val="004D1966"/>
    <w:rsid w:val="004D2B08"/>
    <w:rsid w:val="004D2C65"/>
    <w:rsid w:val="004D3F90"/>
    <w:rsid w:val="004D5B64"/>
    <w:rsid w:val="004D674E"/>
    <w:rsid w:val="004D7451"/>
    <w:rsid w:val="004E01B0"/>
    <w:rsid w:val="004E0741"/>
    <w:rsid w:val="004E185F"/>
    <w:rsid w:val="004E2355"/>
    <w:rsid w:val="004E48DD"/>
    <w:rsid w:val="004E5330"/>
    <w:rsid w:val="004E6ADC"/>
    <w:rsid w:val="004E7215"/>
    <w:rsid w:val="004E7C7C"/>
    <w:rsid w:val="004F07ED"/>
    <w:rsid w:val="004F0FE4"/>
    <w:rsid w:val="004F2134"/>
    <w:rsid w:val="004F4493"/>
    <w:rsid w:val="004F541D"/>
    <w:rsid w:val="004F581A"/>
    <w:rsid w:val="004F659D"/>
    <w:rsid w:val="004F6D5D"/>
    <w:rsid w:val="004F728A"/>
    <w:rsid w:val="004F7479"/>
    <w:rsid w:val="004F7606"/>
    <w:rsid w:val="00500BE5"/>
    <w:rsid w:val="00501C45"/>
    <w:rsid w:val="00502011"/>
    <w:rsid w:val="005027A6"/>
    <w:rsid w:val="00502C0D"/>
    <w:rsid w:val="00503099"/>
    <w:rsid w:val="005044E2"/>
    <w:rsid w:val="0050453D"/>
    <w:rsid w:val="00504B23"/>
    <w:rsid w:val="00505D94"/>
    <w:rsid w:val="005101C2"/>
    <w:rsid w:val="0051074A"/>
    <w:rsid w:val="00510CFA"/>
    <w:rsid w:val="00510F00"/>
    <w:rsid w:val="00512DEA"/>
    <w:rsid w:val="0051348D"/>
    <w:rsid w:val="00513635"/>
    <w:rsid w:val="0051375A"/>
    <w:rsid w:val="00513D5E"/>
    <w:rsid w:val="0051465A"/>
    <w:rsid w:val="00514F06"/>
    <w:rsid w:val="00516319"/>
    <w:rsid w:val="00517DEE"/>
    <w:rsid w:val="0052098E"/>
    <w:rsid w:val="00520BDA"/>
    <w:rsid w:val="00520DF4"/>
    <w:rsid w:val="00521CB6"/>
    <w:rsid w:val="00521FA2"/>
    <w:rsid w:val="0052536D"/>
    <w:rsid w:val="00525A9D"/>
    <w:rsid w:val="00526657"/>
    <w:rsid w:val="00531346"/>
    <w:rsid w:val="005319F6"/>
    <w:rsid w:val="00533359"/>
    <w:rsid w:val="00533B14"/>
    <w:rsid w:val="00534055"/>
    <w:rsid w:val="005340EA"/>
    <w:rsid w:val="00534BDB"/>
    <w:rsid w:val="005350F0"/>
    <w:rsid w:val="00535E7B"/>
    <w:rsid w:val="00536188"/>
    <w:rsid w:val="00536784"/>
    <w:rsid w:val="005377A7"/>
    <w:rsid w:val="005400EE"/>
    <w:rsid w:val="00540BE5"/>
    <w:rsid w:val="005419F9"/>
    <w:rsid w:val="00541B3A"/>
    <w:rsid w:val="00543FD5"/>
    <w:rsid w:val="00545887"/>
    <w:rsid w:val="00547383"/>
    <w:rsid w:val="005503ED"/>
    <w:rsid w:val="00550B93"/>
    <w:rsid w:val="00551761"/>
    <w:rsid w:val="00551B3E"/>
    <w:rsid w:val="00552A58"/>
    <w:rsid w:val="005530B8"/>
    <w:rsid w:val="00553EA6"/>
    <w:rsid w:val="005547DC"/>
    <w:rsid w:val="005556E8"/>
    <w:rsid w:val="005569CA"/>
    <w:rsid w:val="00557194"/>
    <w:rsid w:val="00557735"/>
    <w:rsid w:val="00557858"/>
    <w:rsid w:val="00560620"/>
    <w:rsid w:val="005607F8"/>
    <w:rsid w:val="00560F79"/>
    <w:rsid w:val="00561916"/>
    <w:rsid w:val="00562C70"/>
    <w:rsid w:val="00563434"/>
    <w:rsid w:val="00563D6A"/>
    <w:rsid w:val="00564089"/>
    <w:rsid w:val="0056662D"/>
    <w:rsid w:val="00566EEE"/>
    <w:rsid w:val="00567C17"/>
    <w:rsid w:val="00567FA3"/>
    <w:rsid w:val="005710BD"/>
    <w:rsid w:val="00573410"/>
    <w:rsid w:val="0057421F"/>
    <w:rsid w:val="00574416"/>
    <w:rsid w:val="00575E75"/>
    <w:rsid w:val="00580AD2"/>
    <w:rsid w:val="00580E86"/>
    <w:rsid w:val="00581B70"/>
    <w:rsid w:val="00581C10"/>
    <w:rsid w:val="00581EEE"/>
    <w:rsid w:val="00584111"/>
    <w:rsid w:val="00590FC8"/>
    <w:rsid w:val="005910CF"/>
    <w:rsid w:val="00591C89"/>
    <w:rsid w:val="0059308F"/>
    <w:rsid w:val="00593AC6"/>
    <w:rsid w:val="00593B11"/>
    <w:rsid w:val="00593CE4"/>
    <w:rsid w:val="0059473D"/>
    <w:rsid w:val="00594967"/>
    <w:rsid w:val="00594AE8"/>
    <w:rsid w:val="00594E73"/>
    <w:rsid w:val="00594FDD"/>
    <w:rsid w:val="00596B67"/>
    <w:rsid w:val="00597BC9"/>
    <w:rsid w:val="005A0187"/>
    <w:rsid w:val="005A0B6D"/>
    <w:rsid w:val="005A0FE6"/>
    <w:rsid w:val="005A21B2"/>
    <w:rsid w:val="005A2623"/>
    <w:rsid w:val="005A2E15"/>
    <w:rsid w:val="005A2E9D"/>
    <w:rsid w:val="005A2FBA"/>
    <w:rsid w:val="005A3626"/>
    <w:rsid w:val="005A4CDD"/>
    <w:rsid w:val="005A6995"/>
    <w:rsid w:val="005A787F"/>
    <w:rsid w:val="005B358A"/>
    <w:rsid w:val="005B4501"/>
    <w:rsid w:val="005B48DC"/>
    <w:rsid w:val="005B4A23"/>
    <w:rsid w:val="005B5233"/>
    <w:rsid w:val="005B6B28"/>
    <w:rsid w:val="005B6E6E"/>
    <w:rsid w:val="005B769C"/>
    <w:rsid w:val="005B786E"/>
    <w:rsid w:val="005C0557"/>
    <w:rsid w:val="005C0D3E"/>
    <w:rsid w:val="005C14A4"/>
    <w:rsid w:val="005C1F19"/>
    <w:rsid w:val="005C2ABB"/>
    <w:rsid w:val="005C4EB6"/>
    <w:rsid w:val="005C4FDF"/>
    <w:rsid w:val="005C6713"/>
    <w:rsid w:val="005C6EA2"/>
    <w:rsid w:val="005C7742"/>
    <w:rsid w:val="005D0117"/>
    <w:rsid w:val="005D1D08"/>
    <w:rsid w:val="005D1E22"/>
    <w:rsid w:val="005D20D9"/>
    <w:rsid w:val="005D2FFC"/>
    <w:rsid w:val="005D313F"/>
    <w:rsid w:val="005D53C6"/>
    <w:rsid w:val="005D5AE2"/>
    <w:rsid w:val="005D5C86"/>
    <w:rsid w:val="005D7B96"/>
    <w:rsid w:val="005E32CC"/>
    <w:rsid w:val="005E4299"/>
    <w:rsid w:val="005E4CCB"/>
    <w:rsid w:val="005E616A"/>
    <w:rsid w:val="005E6B93"/>
    <w:rsid w:val="005E7C93"/>
    <w:rsid w:val="005F0070"/>
    <w:rsid w:val="005F01AF"/>
    <w:rsid w:val="005F0252"/>
    <w:rsid w:val="005F0864"/>
    <w:rsid w:val="005F142C"/>
    <w:rsid w:val="005F1771"/>
    <w:rsid w:val="005F35AA"/>
    <w:rsid w:val="005F364A"/>
    <w:rsid w:val="005F3662"/>
    <w:rsid w:val="005F375B"/>
    <w:rsid w:val="005F3B96"/>
    <w:rsid w:val="005F4762"/>
    <w:rsid w:val="005F4AEC"/>
    <w:rsid w:val="005F6985"/>
    <w:rsid w:val="005F7829"/>
    <w:rsid w:val="005F7943"/>
    <w:rsid w:val="00600704"/>
    <w:rsid w:val="0060154E"/>
    <w:rsid w:val="00602061"/>
    <w:rsid w:val="00602BB7"/>
    <w:rsid w:val="00603523"/>
    <w:rsid w:val="0060413C"/>
    <w:rsid w:val="00610513"/>
    <w:rsid w:val="006105A7"/>
    <w:rsid w:val="00610AE6"/>
    <w:rsid w:val="00610DB8"/>
    <w:rsid w:val="006119CC"/>
    <w:rsid w:val="0061200A"/>
    <w:rsid w:val="0061281A"/>
    <w:rsid w:val="00612FA5"/>
    <w:rsid w:val="00613C16"/>
    <w:rsid w:val="006143BA"/>
    <w:rsid w:val="00614884"/>
    <w:rsid w:val="006151AE"/>
    <w:rsid w:val="0061558C"/>
    <w:rsid w:val="00615A09"/>
    <w:rsid w:val="00616988"/>
    <w:rsid w:val="006174CC"/>
    <w:rsid w:val="00617D46"/>
    <w:rsid w:val="006200C5"/>
    <w:rsid w:val="006204EF"/>
    <w:rsid w:val="0062073D"/>
    <w:rsid w:val="00620B62"/>
    <w:rsid w:val="006221F4"/>
    <w:rsid w:val="00622906"/>
    <w:rsid w:val="006237D7"/>
    <w:rsid w:val="00624121"/>
    <w:rsid w:val="006244C2"/>
    <w:rsid w:val="00624BFC"/>
    <w:rsid w:val="00625CA1"/>
    <w:rsid w:val="0063183B"/>
    <w:rsid w:val="00632FAB"/>
    <w:rsid w:val="00634304"/>
    <w:rsid w:val="00634EAA"/>
    <w:rsid w:val="00635CE0"/>
    <w:rsid w:val="006374DA"/>
    <w:rsid w:val="00637AD0"/>
    <w:rsid w:val="00643450"/>
    <w:rsid w:val="006436AA"/>
    <w:rsid w:val="00643905"/>
    <w:rsid w:val="00644355"/>
    <w:rsid w:val="0064490C"/>
    <w:rsid w:val="00646725"/>
    <w:rsid w:val="00646816"/>
    <w:rsid w:val="00650E24"/>
    <w:rsid w:val="0065169E"/>
    <w:rsid w:val="00651EDC"/>
    <w:rsid w:val="00653EC8"/>
    <w:rsid w:val="0065473C"/>
    <w:rsid w:val="006551EE"/>
    <w:rsid w:val="00655AF5"/>
    <w:rsid w:val="00657C36"/>
    <w:rsid w:val="00660177"/>
    <w:rsid w:val="00660CA1"/>
    <w:rsid w:val="00660D60"/>
    <w:rsid w:val="0066125F"/>
    <w:rsid w:val="00661A7E"/>
    <w:rsid w:val="006622B7"/>
    <w:rsid w:val="006629BB"/>
    <w:rsid w:val="00662B58"/>
    <w:rsid w:val="00663F74"/>
    <w:rsid w:val="00664B7C"/>
    <w:rsid w:val="00666A4A"/>
    <w:rsid w:val="00666EE9"/>
    <w:rsid w:val="0066722D"/>
    <w:rsid w:val="00670A7A"/>
    <w:rsid w:val="00671EB8"/>
    <w:rsid w:val="0067235C"/>
    <w:rsid w:val="00673550"/>
    <w:rsid w:val="00673A2F"/>
    <w:rsid w:val="0067428E"/>
    <w:rsid w:val="0067449D"/>
    <w:rsid w:val="00674C65"/>
    <w:rsid w:val="00674FCD"/>
    <w:rsid w:val="00675590"/>
    <w:rsid w:val="00677436"/>
    <w:rsid w:val="00680682"/>
    <w:rsid w:val="00681E1A"/>
    <w:rsid w:val="00682BFE"/>
    <w:rsid w:val="00682CED"/>
    <w:rsid w:val="00683061"/>
    <w:rsid w:val="00683240"/>
    <w:rsid w:val="006838A1"/>
    <w:rsid w:val="00684C5C"/>
    <w:rsid w:val="00684D8C"/>
    <w:rsid w:val="00684E4C"/>
    <w:rsid w:val="00684FAE"/>
    <w:rsid w:val="00685148"/>
    <w:rsid w:val="006855F3"/>
    <w:rsid w:val="0068648E"/>
    <w:rsid w:val="00686A3A"/>
    <w:rsid w:val="00687253"/>
    <w:rsid w:val="006876F1"/>
    <w:rsid w:val="00690922"/>
    <w:rsid w:val="006909DC"/>
    <w:rsid w:val="00692BC8"/>
    <w:rsid w:val="00692D97"/>
    <w:rsid w:val="00693083"/>
    <w:rsid w:val="006931A3"/>
    <w:rsid w:val="0069334E"/>
    <w:rsid w:val="00695FC2"/>
    <w:rsid w:val="006965B1"/>
    <w:rsid w:val="006970A5"/>
    <w:rsid w:val="006A1D1E"/>
    <w:rsid w:val="006A1E17"/>
    <w:rsid w:val="006A2A09"/>
    <w:rsid w:val="006A3470"/>
    <w:rsid w:val="006A6399"/>
    <w:rsid w:val="006A704B"/>
    <w:rsid w:val="006B0A21"/>
    <w:rsid w:val="006B0B12"/>
    <w:rsid w:val="006B1B7B"/>
    <w:rsid w:val="006B3CDB"/>
    <w:rsid w:val="006B5184"/>
    <w:rsid w:val="006B5BAC"/>
    <w:rsid w:val="006B7FA4"/>
    <w:rsid w:val="006C0630"/>
    <w:rsid w:val="006C0B5E"/>
    <w:rsid w:val="006C0BF4"/>
    <w:rsid w:val="006C18FF"/>
    <w:rsid w:val="006C1ABE"/>
    <w:rsid w:val="006C20A2"/>
    <w:rsid w:val="006C2188"/>
    <w:rsid w:val="006C29AF"/>
    <w:rsid w:val="006C4676"/>
    <w:rsid w:val="006C6845"/>
    <w:rsid w:val="006C7031"/>
    <w:rsid w:val="006C7344"/>
    <w:rsid w:val="006D075C"/>
    <w:rsid w:val="006D19DC"/>
    <w:rsid w:val="006D33CE"/>
    <w:rsid w:val="006D4BAD"/>
    <w:rsid w:val="006D5155"/>
    <w:rsid w:val="006D68A4"/>
    <w:rsid w:val="006D71E0"/>
    <w:rsid w:val="006D71E2"/>
    <w:rsid w:val="006D734D"/>
    <w:rsid w:val="006D7893"/>
    <w:rsid w:val="006D7EC1"/>
    <w:rsid w:val="006E25D6"/>
    <w:rsid w:val="006E2C80"/>
    <w:rsid w:val="006E4376"/>
    <w:rsid w:val="006E68E0"/>
    <w:rsid w:val="006F0429"/>
    <w:rsid w:val="006F06B4"/>
    <w:rsid w:val="006F09C9"/>
    <w:rsid w:val="006F104F"/>
    <w:rsid w:val="006F148D"/>
    <w:rsid w:val="006F16FD"/>
    <w:rsid w:val="006F3652"/>
    <w:rsid w:val="006F3779"/>
    <w:rsid w:val="006F6FB8"/>
    <w:rsid w:val="00700C50"/>
    <w:rsid w:val="00700E71"/>
    <w:rsid w:val="00700F3D"/>
    <w:rsid w:val="00701466"/>
    <w:rsid w:val="0070277A"/>
    <w:rsid w:val="00703062"/>
    <w:rsid w:val="007034ED"/>
    <w:rsid w:val="00703E29"/>
    <w:rsid w:val="007046BD"/>
    <w:rsid w:val="00705C58"/>
    <w:rsid w:val="00707135"/>
    <w:rsid w:val="00707EE3"/>
    <w:rsid w:val="00707F50"/>
    <w:rsid w:val="007100D1"/>
    <w:rsid w:val="007114FE"/>
    <w:rsid w:val="007139A1"/>
    <w:rsid w:val="00714E85"/>
    <w:rsid w:val="00715CBA"/>
    <w:rsid w:val="00720964"/>
    <w:rsid w:val="00720C38"/>
    <w:rsid w:val="00721668"/>
    <w:rsid w:val="007235E4"/>
    <w:rsid w:val="0072388D"/>
    <w:rsid w:val="00724EF5"/>
    <w:rsid w:val="0072712C"/>
    <w:rsid w:val="00731C92"/>
    <w:rsid w:val="00731E53"/>
    <w:rsid w:val="007326B0"/>
    <w:rsid w:val="007329B6"/>
    <w:rsid w:val="007329C6"/>
    <w:rsid w:val="00732B3A"/>
    <w:rsid w:val="007331E3"/>
    <w:rsid w:val="00733972"/>
    <w:rsid w:val="00735F37"/>
    <w:rsid w:val="007375FD"/>
    <w:rsid w:val="0073775D"/>
    <w:rsid w:val="00740644"/>
    <w:rsid w:val="00741975"/>
    <w:rsid w:val="0074234A"/>
    <w:rsid w:val="00742BF7"/>
    <w:rsid w:val="00743330"/>
    <w:rsid w:val="0074341F"/>
    <w:rsid w:val="00743518"/>
    <w:rsid w:val="00744198"/>
    <w:rsid w:val="00744293"/>
    <w:rsid w:val="00744E56"/>
    <w:rsid w:val="00745E12"/>
    <w:rsid w:val="007463B8"/>
    <w:rsid w:val="00746AE1"/>
    <w:rsid w:val="00746E6A"/>
    <w:rsid w:val="0074722C"/>
    <w:rsid w:val="00747DCF"/>
    <w:rsid w:val="00750D12"/>
    <w:rsid w:val="00752013"/>
    <w:rsid w:val="00753420"/>
    <w:rsid w:val="00753A4A"/>
    <w:rsid w:val="00754660"/>
    <w:rsid w:val="00754B13"/>
    <w:rsid w:val="00754E82"/>
    <w:rsid w:val="00754F61"/>
    <w:rsid w:val="00755210"/>
    <w:rsid w:val="00756895"/>
    <w:rsid w:val="00757459"/>
    <w:rsid w:val="007601E1"/>
    <w:rsid w:val="00760AFA"/>
    <w:rsid w:val="00761425"/>
    <w:rsid w:val="00761C07"/>
    <w:rsid w:val="00761D99"/>
    <w:rsid w:val="00767297"/>
    <w:rsid w:val="00767374"/>
    <w:rsid w:val="007706F8"/>
    <w:rsid w:val="00770C7D"/>
    <w:rsid w:val="00771067"/>
    <w:rsid w:val="007714E5"/>
    <w:rsid w:val="007725E1"/>
    <w:rsid w:val="007733F1"/>
    <w:rsid w:val="007734EC"/>
    <w:rsid w:val="007741B3"/>
    <w:rsid w:val="007753D6"/>
    <w:rsid w:val="00782F15"/>
    <w:rsid w:val="0078486C"/>
    <w:rsid w:val="00785305"/>
    <w:rsid w:val="007856D6"/>
    <w:rsid w:val="00786567"/>
    <w:rsid w:val="0078687D"/>
    <w:rsid w:val="0078723A"/>
    <w:rsid w:val="00792301"/>
    <w:rsid w:val="0079371A"/>
    <w:rsid w:val="007947F9"/>
    <w:rsid w:val="007968A1"/>
    <w:rsid w:val="00797657"/>
    <w:rsid w:val="007A1B4A"/>
    <w:rsid w:val="007A2E68"/>
    <w:rsid w:val="007A3E98"/>
    <w:rsid w:val="007A4036"/>
    <w:rsid w:val="007A440E"/>
    <w:rsid w:val="007A4B59"/>
    <w:rsid w:val="007A4E8B"/>
    <w:rsid w:val="007A626F"/>
    <w:rsid w:val="007A7CA9"/>
    <w:rsid w:val="007B04A5"/>
    <w:rsid w:val="007B1B67"/>
    <w:rsid w:val="007B22F7"/>
    <w:rsid w:val="007B2BB9"/>
    <w:rsid w:val="007B331E"/>
    <w:rsid w:val="007B4085"/>
    <w:rsid w:val="007B4AC0"/>
    <w:rsid w:val="007B579E"/>
    <w:rsid w:val="007B6E6A"/>
    <w:rsid w:val="007C0099"/>
    <w:rsid w:val="007C0136"/>
    <w:rsid w:val="007C199B"/>
    <w:rsid w:val="007C2601"/>
    <w:rsid w:val="007C3127"/>
    <w:rsid w:val="007C3332"/>
    <w:rsid w:val="007C3ABE"/>
    <w:rsid w:val="007C45E0"/>
    <w:rsid w:val="007C62EA"/>
    <w:rsid w:val="007C691D"/>
    <w:rsid w:val="007C6A8A"/>
    <w:rsid w:val="007C7051"/>
    <w:rsid w:val="007C7BF7"/>
    <w:rsid w:val="007D0E8F"/>
    <w:rsid w:val="007D18B2"/>
    <w:rsid w:val="007D2BCB"/>
    <w:rsid w:val="007D317F"/>
    <w:rsid w:val="007D4391"/>
    <w:rsid w:val="007D5488"/>
    <w:rsid w:val="007D5E61"/>
    <w:rsid w:val="007D643B"/>
    <w:rsid w:val="007D65F9"/>
    <w:rsid w:val="007D69AB"/>
    <w:rsid w:val="007E0580"/>
    <w:rsid w:val="007E075A"/>
    <w:rsid w:val="007E1371"/>
    <w:rsid w:val="007E17C0"/>
    <w:rsid w:val="007E1939"/>
    <w:rsid w:val="007E209B"/>
    <w:rsid w:val="007E36E1"/>
    <w:rsid w:val="007E3977"/>
    <w:rsid w:val="007E4679"/>
    <w:rsid w:val="007E4CF9"/>
    <w:rsid w:val="007E7BA1"/>
    <w:rsid w:val="007F127E"/>
    <w:rsid w:val="007F1293"/>
    <w:rsid w:val="007F1D90"/>
    <w:rsid w:val="007F1F84"/>
    <w:rsid w:val="007F3AC6"/>
    <w:rsid w:val="007F42DA"/>
    <w:rsid w:val="007F4FBD"/>
    <w:rsid w:val="007F6800"/>
    <w:rsid w:val="0080159C"/>
    <w:rsid w:val="00804353"/>
    <w:rsid w:val="00804FB7"/>
    <w:rsid w:val="00805CD1"/>
    <w:rsid w:val="008100A7"/>
    <w:rsid w:val="0081046B"/>
    <w:rsid w:val="008109D2"/>
    <w:rsid w:val="00813C0A"/>
    <w:rsid w:val="00813D0B"/>
    <w:rsid w:val="0081558A"/>
    <w:rsid w:val="008158A0"/>
    <w:rsid w:val="00815B31"/>
    <w:rsid w:val="00815FB8"/>
    <w:rsid w:val="00817323"/>
    <w:rsid w:val="0081751C"/>
    <w:rsid w:val="008179F1"/>
    <w:rsid w:val="0082016B"/>
    <w:rsid w:val="008204EA"/>
    <w:rsid w:val="00822B53"/>
    <w:rsid w:val="00824170"/>
    <w:rsid w:val="0082727F"/>
    <w:rsid w:val="00827A9F"/>
    <w:rsid w:val="008309C6"/>
    <w:rsid w:val="008315BF"/>
    <w:rsid w:val="00832372"/>
    <w:rsid w:val="00832590"/>
    <w:rsid w:val="008331CC"/>
    <w:rsid w:val="00833690"/>
    <w:rsid w:val="00833C79"/>
    <w:rsid w:val="00834F72"/>
    <w:rsid w:val="00834F8A"/>
    <w:rsid w:val="00835C97"/>
    <w:rsid w:val="00835EE6"/>
    <w:rsid w:val="008377C2"/>
    <w:rsid w:val="0084030A"/>
    <w:rsid w:val="008414E9"/>
    <w:rsid w:val="008415AB"/>
    <w:rsid w:val="00842904"/>
    <w:rsid w:val="00843744"/>
    <w:rsid w:val="0084421B"/>
    <w:rsid w:val="00844AB4"/>
    <w:rsid w:val="00845797"/>
    <w:rsid w:val="0084651C"/>
    <w:rsid w:val="0084703B"/>
    <w:rsid w:val="00850882"/>
    <w:rsid w:val="00851153"/>
    <w:rsid w:val="00852D5F"/>
    <w:rsid w:val="008533A2"/>
    <w:rsid w:val="008535FC"/>
    <w:rsid w:val="00853D93"/>
    <w:rsid w:val="00854D65"/>
    <w:rsid w:val="00854EFF"/>
    <w:rsid w:val="008574CA"/>
    <w:rsid w:val="00857BC5"/>
    <w:rsid w:val="00857E9C"/>
    <w:rsid w:val="00860633"/>
    <w:rsid w:val="008614FA"/>
    <w:rsid w:val="00862E81"/>
    <w:rsid w:val="00863C8B"/>
    <w:rsid w:val="00865F81"/>
    <w:rsid w:val="00867242"/>
    <w:rsid w:val="00867F46"/>
    <w:rsid w:val="00871D2C"/>
    <w:rsid w:val="00872207"/>
    <w:rsid w:val="00872600"/>
    <w:rsid w:val="00874520"/>
    <w:rsid w:val="008747B4"/>
    <w:rsid w:val="00874823"/>
    <w:rsid w:val="00874B86"/>
    <w:rsid w:val="00875050"/>
    <w:rsid w:val="008753E5"/>
    <w:rsid w:val="00875AE1"/>
    <w:rsid w:val="00877442"/>
    <w:rsid w:val="0088077B"/>
    <w:rsid w:val="0088582E"/>
    <w:rsid w:val="00886E8C"/>
    <w:rsid w:val="00887513"/>
    <w:rsid w:val="00887FAB"/>
    <w:rsid w:val="00893BC1"/>
    <w:rsid w:val="00893C51"/>
    <w:rsid w:val="00893F5B"/>
    <w:rsid w:val="00894604"/>
    <w:rsid w:val="00896C68"/>
    <w:rsid w:val="00896FA8"/>
    <w:rsid w:val="008A1366"/>
    <w:rsid w:val="008A1DEC"/>
    <w:rsid w:val="008A2899"/>
    <w:rsid w:val="008A2FE9"/>
    <w:rsid w:val="008A3892"/>
    <w:rsid w:val="008A3916"/>
    <w:rsid w:val="008A4AB7"/>
    <w:rsid w:val="008A4FBD"/>
    <w:rsid w:val="008A5590"/>
    <w:rsid w:val="008A5DCA"/>
    <w:rsid w:val="008A73E6"/>
    <w:rsid w:val="008B047C"/>
    <w:rsid w:val="008B0746"/>
    <w:rsid w:val="008B2670"/>
    <w:rsid w:val="008B2BC5"/>
    <w:rsid w:val="008B3F1C"/>
    <w:rsid w:val="008B4887"/>
    <w:rsid w:val="008B6CA0"/>
    <w:rsid w:val="008B7C91"/>
    <w:rsid w:val="008C2652"/>
    <w:rsid w:val="008C3161"/>
    <w:rsid w:val="008C34A0"/>
    <w:rsid w:val="008C3E24"/>
    <w:rsid w:val="008C4A88"/>
    <w:rsid w:val="008C75C7"/>
    <w:rsid w:val="008C7AA3"/>
    <w:rsid w:val="008C7FA6"/>
    <w:rsid w:val="008D0877"/>
    <w:rsid w:val="008D4792"/>
    <w:rsid w:val="008D77E2"/>
    <w:rsid w:val="008D7F9F"/>
    <w:rsid w:val="008E1F0B"/>
    <w:rsid w:val="008E2BBD"/>
    <w:rsid w:val="008E34FC"/>
    <w:rsid w:val="008E42C8"/>
    <w:rsid w:val="008E4300"/>
    <w:rsid w:val="008E44FA"/>
    <w:rsid w:val="008F05E4"/>
    <w:rsid w:val="008F148D"/>
    <w:rsid w:val="008F1A5A"/>
    <w:rsid w:val="008F1E85"/>
    <w:rsid w:val="008F20B8"/>
    <w:rsid w:val="008F27AB"/>
    <w:rsid w:val="008F3DBE"/>
    <w:rsid w:val="008F429A"/>
    <w:rsid w:val="008F452A"/>
    <w:rsid w:val="008F5C6C"/>
    <w:rsid w:val="009012A4"/>
    <w:rsid w:val="009018F3"/>
    <w:rsid w:val="00903694"/>
    <w:rsid w:val="009041E2"/>
    <w:rsid w:val="00910476"/>
    <w:rsid w:val="00910AF8"/>
    <w:rsid w:val="00910B3D"/>
    <w:rsid w:val="0091105D"/>
    <w:rsid w:val="009130B1"/>
    <w:rsid w:val="00913CE9"/>
    <w:rsid w:val="00914BCD"/>
    <w:rsid w:val="00914F0A"/>
    <w:rsid w:val="00915DB7"/>
    <w:rsid w:val="00916308"/>
    <w:rsid w:val="00917DBA"/>
    <w:rsid w:val="009204AA"/>
    <w:rsid w:val="009214B4"/>
    <w:rsid w:val="009224E6"/>
    <w:rsid w:val="00922D41"/>
    <w:rsid w:val="00923E38"/>
    <w:rsid w:val="00924743"/>
    <w:rsid w:val="00924E5A"/>
    <w:rsid w:val="00925AEA"/>
    <w:rsid w:val="00925C17"/>
    <w:rsid w:val="00925F44"/>
    <w:rsid w:val="009266EF"/>
    <w:rsid w:val="00927433"/>
    <w:rsid w:val="00927452"/>
    <w:rsid w:val="0093050A"/>
    <w:rsid w:val="0093256C"/>
    <w:rsid w:val="0093571D"/>
    <w:rsid w:val="00935CA1"/>
    <w:rsid w:val="00936B90"/>
    <w:rsid w:val="00936C2E"/>
    <w:rsid w:val="009370DF"/>
    <w:rsid w:val="009402B1"/>
    <w:rsid w:val="00940A5E"/>
    <w:rsid w:val="0094148A"/>
    <w:rsid w:val="0094164B"/>
    <w:rsid w:val="0094192A"/>
    <w:rsid w:val="00941BD3"/>
    <w:rsid w:val="00942267"/>
    <w:rsid w:val="00942A6C"/>
    <w:rsid w:val="00942C0D"/>
    <w:rsid w:val="0094387F"/>
    <w:rsid w:val="009446CB"/>
    <w:rsid w:val="00944A08"/>
    <w:rsid w:val="00944FC3"/>
    <w:rsid w:val="00945C2F"/>
    <w:rsid w:val="00946DD4"/>
    <w:rsid w:val="0094760F"/>
    <w:rsid w:val="009548AB"/>
    <w:rsid w:val="00954BDA"/>
    <w:rsid w:val="00956190"/>
    <w:rsid w:val="00956827"/>
    <w:rsid w:val="00957E67"/>
    <w:rsid w:val="00957EB6"/>
    <w:rsid w:val="00962655"/>
    <w:rsid w:val="0096333A"/>
    <w:rsid w:val="0096359C"/>
    <w:rsid w:val="00964996"/>
    <w:rsid w:val="00967C44"/>
    <w:rsid w:val="00970950"/>
    <w:rsid w:val="00970F7D"/>
    <w:rsid w:val="009721C8"/>
    <w:rsid w:val="00972699"/>
    <w:rsid w:val="00972AAF"/>
    <w:rsid w:val="00972C30"/>
    <w:rsid w:val="00973B5E"/>
    <w:rsid w:val="0097478A"/>
    <w:rsid w:val="00974EA0"/>
    <w:rsid w:val="00976718"/>
    <w:rsid w:val="0097708C"/>
    <w:rsid w:val="00977F46"/>
    <w:rsid w:val="0098130E"/>
    <w:rsid w:val="009829AB"/>
    <w:rsid w:val="009854F1"/>
    <w:rsid w:val="009856A7"/>
    <w:rsid w:val="00986E42"/>
    <w:rsid w:val="009879EF"/>
    <w:rsid w:val="009911D0"/>
    <w:rsid w:val="0099123F"/>
    <w:rsid w:val="00991CB3"/>
    <w:rsid w:val="00992104"/>
    <w:rsid w:val="00992B6B"/>
    <w:rsid w:val="00992EB3"/>
    <w:rsid w:val="00994936"/>
    <w:rsid w:val="00994C94"/>
    <w:rsid w:val="00995414"/>
    <w:rsid w:val="0099551E"/>
    <w:rsid w:val="00995FFB"/>
    <w:rsid w:val="009A07B4"/>
    <w:rsid w:val="009A13EC"/>
    <w:rsid w:val="009A23E1"/>
    <w:rsid w:val="009A2A34"/>
    <w:rsid w:val="009A3430"/>
    <w:rsid w:val="009A78A4"/>
    <w:rsid w:val="009B0425"/>
    <w:rsid w:val="009B063D"/>
    <w:rsid w:val="009B1372"/>
    <w:rsid w:val="009B191D"/>
    <w:rsid w:val="009B22F5"/>
    <w:rsid w:val="009B3393"/>
    <w:rsid w:val="009B3DF9"/>
    <w:rsid w:val="009B79D7"/>
    <w:rsid w:val="009C138C"/>
    <w:rsid w:val="009C217F"/>
    <w:rsid w:val="009C2800"/>
    <w:rsid w:val="009C5B60"/>
    <w:rsid w:val="009C65DE"/>
    <w:rsid w:val="009C7152"/>
    <w:rsid w:val="009C750C"/>
    <w:rsid w:val="009C7E2A"/>
    <w:rsid w:val="009D01EE"/>
    <w:rsid w:val="009D16C3"/>
    <w:rsid w:val="009D3CE1"/>
    <w:rsid w:val="009D5F39"/>
    <w:rsid w:val="009D63F5"/>
    <w:rsid w:val="009D6B6C"/>
    <w:rsid w:val="009D6FCD"/>
    <w:rsid w:val="009D72B1"/>
    <w:rsid w:val="009D73D7"/>
    <w:rsid w:val="009D773D"/>
    <w:rsid w:val="009E1371"/>
    <w:rsid w:val="009E1B48"/>
    <w:rsid w:val="009E1C57"/>
    <w:rsid w:val="009E3F19"/>
    <w:rsid w:val="009E3F51"/>
    <w:rsid w:val="009E40E6"/>
    <w:rsid w:val="009E705B"/>
    <w:rsid w:val="009E7974"/>
    <w:rsid w:val="009E7EA2"/>
    <w:rsid w:val="009F06CA"/>
    <w:rsid w:val="009F3886"/>
    <w:rsid w:val="009F4770"/>
    <w:rsid w:val="009F5832"/>
    <w:rsid w:val="009F585F"/>
    <w:rsid w:val="009F65C8"/>
    <w:rsid w:val="009F6704"/>
    <w:rsid w:val="009F7115"/>
    <w:rsid w:val="009F7B9A"/>
    <w:rsid w:val="00A000CB"/>
    <w:rsid w:val="00A00FCE"/>
    <w:rsid w:val="00A010DD"/>
    <w:rsid w:val="00A0193A"/>
    <w:rsid w:val="00A030D4"/>
    <w:rsid w:val="00A0337B"/>
    <w:rsid w:val="00A04C1B"/>
    <w:rsid w:val="00A06299"/>
    <w:rsid w:val="00A0759A"/>
    <w:rsid w:val="00A07932"/>
    <w:rsid w:val="00A079BD"/>
    <w:rsid w:val="00A11813"/>
    <w:rsid w:val="00A1233C"/>
    <w:rsid w:val="00A149F9"/>
    <w:rsid w:val="00A15635"/>
    <w:rsid w:val="00A15752"/>
    <w:rsid w:val="00A15A57"/>
    <w:rsid w:val="00A17300"/>
    <w:rsid w:val="00A20A4B"/>
    <w:rsid w:val="00A223C9"/>
    <w:rsid w:val="00A22F1B"/>
    <w:rsid w:val="00A24569"/>
    <w:rsid w:val="00A24AC6"/>
    <w:rsid w:val="00A26D49"/>
    <w:rsid w:val="00A27E4A"/>
    <w:rsid w:val="00A27F94"/>
    <w:rsid w:val="00A31A66"/>
    <w:rsid w:val="00A33809"/>
    <w:rsid w:val="00A3462B"/>
    <w:rsid w:val="00A34C7F"/>
    <w:rsid w:val="00A34D0C"/>
    <w:rsid w:val="00A360E7"/>
    <w:rsid w:val="00A3750C"/>
    <w:rsid w:val="00A40101"/>
    <w:rsid w:val="00A40115"/>
    <w:rsid w:val="00A40301"/>
    <w:rsid w:val="00A40399"/>
    <w:rsid w:val="00A41779"/>
    <w:rsid w:val="00A42768"/>
    <w:rsid w:val="00A43EEB"/>
    <w:rsid w:val="00A44530"/>
    <w:rsid w:val="00A45472"/>
    <w:rsid w:val="00A46F0E"/>
    <w:rsid w:val="00A47113"/>
    <w:rsid w:val="00A4730F"/>
    <w:rsid w:val="00A47425"/>
    <w:rsid w:val="00A47E2D"/>
    <w:rsid w:val="00A507C9"/>
    <w:rsid w:val="00A51C0F"/>
    <w:rsid w:val="00A51EE1"/>
    <w:rsid w:val="00A541E6"/>
    <w:rsid w:val="00A54CC4"/>
    <w:rsid w:val="00A55C1F"/>
    <w:rsid w:val="00A560AA"/>
    <w:rsid w:val="00A56583"/>
    <w:rsid w:val="00A566FE"/>
    <w:rsid w:val="00A60232"/>
    <w:rsid w:val="00A60A84"/>
    <w:rsid w:val="00A61729"/>
    <w:rsid w:val="00A6269A"/>
    <w:rsid w:val="00A643F4"/>
    <w:rsid w:val="00A659FE"/>
    <w:rsid w:val="00A65E21"/>
    <w:rsid w:val="00A663BD"/>
    <w:rsid w:val="00A6678C"/>
    <w:rsid w:val="00A6726F"/>
    <w:rsid w:val="00A7043E"/>
    <w:rsid w:val="00A70C22"/>
    <w:rsid w:val="00A71006"/>
    <w:rsid w:val="00A719C1"/>
    <w:rsid w:val="00A72487"/>
    <w:rsid w:val="00A72835"/>
    <w:rsid w:val="00A729FF"/>
    <w:rsid w:val="00A730D8"/>
    <w:rsid w:val="00A74627"/>
    <w:rsid w:val="00A75F8D"/>
    <w:rsid w:val="00A77B85"/>
    <w:rsid w:val="00A80ADA"/>
    <w:rsid w:val="00A80EAE"/>
    <w:rsid w:val="00A81B0B"/>
    <w:rsid w:val="00A8273C"/>
    <w:rsid w:val="00A831C5"/>
    <w:rsid w:val="00A8324B"/>
    <w:rsid w:val="00A83ADD"/>
    <w:rsid w:val="00A84565"/>
    <w:rsid w:val="00A84F0F"/>
    <w:rsid w:val="00A8512B"/>
    <w:rsid w:val="00A85512"/>
    <w:rsid w:val="00A85DDF"/>
    <w:rsid w:val="00A8611C"/>
    <w:rsid w:val="00A92066"/>
    <w:rsid w:val="00A93B72"/>
    <w:rsid w:val="00A93F75"/>
    <w:rsid w:val="00A93F8A"/>
    <w:rsid w:val="00A94639"/>
    <w:rsid w:val="00A946BA"/>
    <w:rsid w:val="00A958B8"/>
    <w:rsid w:val="00AA0142"/>
    <w:rsid w:val="00AA0394"/>
    <w:rsid w:val="00AA0584"/>
    <w:rsid w:val="00AA3633"/>
    <w:rsid w:val="00AA374E"/>
    <w:rsid w:val="00AA539F"/>
    <w:rsid w:val="00AA5414"/>
    <w:rsid w:val="00AA5EDC"/>
    <w:rsid w:val="00AA5EE2"/>
    <w:rsid w:val="00AA68B0"/>
    <w:rsid w:val="00AA693B"/>
    <w:rsid w:val="00AA75A6"/>
    <w:rsid w:val="00AA7AFA"/>
    <w:rsid w:val="00AA7B70"/>
    <w:rsid w:val="00AB01E3"/>
    <w:rsid w:val="00AB0A35"/>
    <w:rsid w:val="00AB0B94"/>
    <w:rsid w:val="00AB11E1"/>
    <w:rsid w:val="00AB1B79"/>
    <w:rsid w:val="00AB2648"/>
    <w:rsid w:val="00AB39C1"/>
    <w:rsid w:val="00AB44F3"/>
    <w:rsid w:val="00AB5238"/>
    <w:rsid w:val="00AB660C"/>
    <w:rsid w:val="00AB671F"/>
    <w:rsid w:val="00AB6A29"/>
    <w:rsid w:val="00AB6CE7"/>
    <w:rsid w:val="00AC0E06"/>
    <w:rsid w:val="00AC0F7C"/>
    <w:rsid w:val="00AC1BDD"/>
    <w:rsid w:val="00AC3474"/>
    <w:rsid w:val="00AC4316"/>
    <w:rsid w:val="00AC4506"/>
    <w:rsid w:val="00AC5C88"/>
    <w:rsid w:val="00AC7782"/>
    <w:rsid w:val="00AC7D4F"/>
    <w:rsid w:val="00AC7FD3"/>
    <w:rsid w:val="00AD018E"/>
    <w:rsid w:val="00AD02CA"/>
    <w:rsid w:val="00AD088C"/>
    <w:rsid w:val="00AD1EC0"/>
    <w:rsid w:val="00AD2545"/>
    <w:rsid w:val="00AD2BEE"/>
    <w:rsid w:val="00AD324A"/>
    <w:rsid w:val="00AD3CEC"/>
    <w:rsid w:val="00AD6B1B"/>
    <w:rsid w:val="00AD6DCF"/>
    <w:rsid w:val="00AD763A"/>
    <w:rsid w:val="00AE35ED"/>
    <w:rsid w:val="00AE377B"/>
    <w:rsid w:val="00AE5336"/>
    <w:rsid w:val="00AE56F7"/>
    <w:rsid w:val="00AF1EBF"/>
    <w:rsid w:val="00AF22F0"/>
    <w:rsid w:val="00AF230D"/>
    <w:rsid w:val="00AF26ED"/>
    <w:rsid w:val="00AF2B02"/>
    <w:rsid w:val="00AF3FBB"/>
    <w:rsid w:val="00AF506E"/>
    <w:rsid w:val="00AF513F"/>
    <w:rsid w:val="00AF6925"/>
    <w:rsid w:val="00AF6B3B"/>
    <w:rsid w:val="00AF6D6B"/>
    <w:rsid w:val="00AF7A9D"/>
    <w:rsid w:val="00B00509"/>
    <w:rsid w:val="00B005AF"/>
    <w:rsid w:val="00B00B1D"/>
    <w:rsid w:val="00B02B23"/>
    <w:rsid w:val="00B03E49"/>
    <w:rsid w:val="00B04C27"/>
    <w:rsid w:val="00B05966"/>
    <w:rsid w:val="00B06411"/>
    <w:rsid w:val="00B07233"/>
    <w:rsid w:val="00B10693"/>
    <w:rsid w:val="00B10E72"/>
    <w:rsid w:val="00B10F43"/>
    <w:rsid w:val="00B11857"/>
    <w:rsid w:val="00B121C8"/>
    <w:rsid w:val="00B128F7"/>
    <w:rsid w:val="00B13B55"/>
    <w:rsid w:val="00B13E56"/>
    <w:rsid w:val="00B145AF"/>
    <w:rsid w:val="00B1569E"/>
    <w:rsid w:val="00B16358"/>
    <w:rsid w:val="00B16EE3"/>
    <w:rsid w:val="00B17618"/>
    <w:rsid w:val="00B17EFF"/>
    <w:rsid w:val="00B20596"/>
    <w:rsid w:val="00B22012"/>
    <w:rsid w:val="00B22247"/>
    <w:rsid w:val="00B22F2B"/>
    <w:rsid w:val="00B24936"/>
    <w:rsid w:val="00B26F9B"/>
    <w:rsid w:val="00B27266"/>
    <w:rsid w:val="00B276AA"/>
    <w:rsid w:val="00B27C17"/>
    <w:rsid w:val="00B30041"/>
    <w:rsid w:val="00B302AF"/>
    <w:rsid w:val="00B326A8"/>
    <w:rsid w:val="00B34B7B"/>
    <w:rsid w:val="00B37911"/>
    <w:rsid w:val="00B4382A"/>
    <w:rsid w:val="00B44BCD"/>
    <w:rsid w:val="00B4512E"/>
    <w:rsid w:val="00B46BDB"/>
    <w:rsid w:val="00B477CD"/>
    <w:rsid w:val="00B47B9F"/>
    <w:rsid w:val="00B47F18"/>
    <w:rsid w:val="00B52BEE"/>
    <w:rsid w:val="00B53ACC"/>
    <w:rsid w:val="00B55740"/>
    <w:rsid w:val="00B563C5"/>
    <w:rsid w:val="00B56789"/>
    <w:rsid w:val="00B5682F"/>
    <w:rsid w:val="00B57289"/>
    <w:rsid w:val="00B60A6F"/>
    <w:rsid w:val="00B60C19"/>
    <w:rsid w:val="00B617D4"/>
    <w:rsid w:val="00B619DE"/>
    <w:rsid w:val="00B63D03"/>
    <w:rsid w:val="00B641A2"/>
    <w:rsid w:val="00B659CB"/>
    <w:rsid w:val="00B659ED"/>
    <w:rsid w:val="00B660B4"/>
    <w:rsid w:val="00B66C12"/>
    <w:rsid w:val="00B675F4"/>
    <w:rsid w:val="00B679EF"/>
    <w:rsid w:val="00B70E8A"/>
    <w:rsid w:val="00B716F1"/>
    <w:rsid w:val="00B732B7"/>
    <w:rsid w:val="00B76239"/>
    <w:rsid w:val="00B76652"/>
    <w:rsid w:val="00B769A0"/>
    <w:rsid w:val="00B82CBB"/>
    <w:rsid w:val="00B837C2"/>
    <w:rsid w:val="00B83ECC"/>
    <w:rsid w:val="00B84E51"/>
    <w:rsid w:val="00B85111"/>
    <w:rsid w:val="00B85370"/>
    <w:rsid w:val="00B85720"/>
    <w:rsid w:val="00B85D09"/>
    <w:rsid w:val="00B8630C"/>
    <w:rsid w:val="00B86701"/>
    <w:rsid w:val="00B86A4B"/>
    <w:rsid w:val="00B87F44"/>
    <w:rsid w:val="00B9092C"/>
    <w:rsid w:val="00B91010"/>
    <w:rsid w:val="00B91908"/>
    <w:rsid w:val="00B921A3"/>
    <w:rsid w:val="00B92763"/>
    <w:rsid w:val="00B92EA7"/>
    <w:rsid w:val="00B945BD"/>
    <w:rsid w:val="00B95F34"/>
    <w:rsid w:val="00B968C1"/>
    <w:rsid w:val="00B97240"/>
    <w:rsid w:val="00B97284"/>
    <w:rsid w:val="00B97B13"/>
    <w:rsid w:val="00B97C2A"/>
    <w:rsid w:val="00BA02CE"/>
    <w:rsid w:val="00BA2906"/>
    <w:rsid w:val="00BA37CD"/>
    <w:rsid w:val="00BA3927"/>
    <w:rsid w:val="00BA3BBC"/>
    <w:rsid w:val="00BA44C1"/>
    <w:rsid w:val="00BA5955"/>
    <w:rsid w:val="00BA5C0D"/>
    <w:rsid w:val="00BA7F26"/>
    <w:rsid w:val="00BB01CE"/>
    <w:rsid w:val="00BB0610"/>
    <w:rsid w:val="00BB0741"/>
    <w:rsid w:val="00BB0C3D"/>
    <w:rsid w:val="00BB1A66"/>
    <w:rsid w:val="00BB1F4D"/>
    <w:rsid w:val="00BB45AA"/>
    <w:rsid w:val="00BB487E"/>
    <w:rsid w:val="00BB4A87"/>
    <w:rsid w:val="00BB6900"/>
    <w:rsid w:val="00BB6F41"/>
    <w:rsid w:val="00BB721F"/>
    <w:rsid w:val="00BB7F6C"/>
    <w:rsid w:val="00BC00A6"/>
    <w:rsid w:val="00BC2231"/>
    <w:rsid w:val="00BC3F51"/>
    <w:rsid w:val="00BC7786"/>
    <w:rsid w:val="00BD0616"/>
    <w:rsid w:val="00BD154D"/>
    <w:rsid w:val="00BD1860"/>
    <w:rsid w:val="00BD1B91"/>
    <w:rsid w:val="00BD23AB"/>
    <w:rsid w:val="00BD253C"/>
    <w:rsid w:val="00BD4240"/>
    <w:rsid w:val="00BD4514"/>
    <w:rsid w:val="00BD4B9E"/>
    <w:rsid w:val="00BD4E2B"/>
    <w:rsid w:val="00BD5522"/>
    <w:rsid w:val="00BD5727"/>
    <w:rsid w:val="00BD6DA8"/>
    <w:rsid w:val="00BD77A5"/>
    <w:rsid w:val="00BD7AAE"/>
    <w:rsid w:val="00BD7C1C"/>
    <w:rsid w:val="00BE0D71"/>
    <w:rsid w:val="00BE100D"/>
    <w:rsid w:val="00BE1588"/>
    <w:rsid w:val="00BE15B3"/>
    <w:rsid w:val="00BE38BA"/>
    <w:rsid w:val="00BE4555"/>
    <w:rsid w:val="00BE45F5"/>
    <w:rsid w:val="00BE5759"/>
    <w:rsid w:val="00BE5FFB"/>
    <w:rsid w:val="00BE768F"/>
    <w:rsid w:val="00BF0049"/>
    <w:rsid w:val="00BF123B"/>
    <w:rsid w:val="00BF1745"/>
    <w:rsid w:val="00BF1DFC"/>
    <w:rsid w:val="00BF2697"/>
    <w:rsid w:val="00BF2B39"/>
    <w:rsid w:val="00BF4E22"/>
    <w:rsid w:val="00BF4FA5"/>
    <w:rsid w:val="00BF68C9"/>
    <w:rsid w:val="00BF6B7A"/>
    <w:rsid w:val="00C00035"/>
    <w:rsid w:val="00C00697"/>
    <w:rsid w:val="00C006A6"/>
    <w:rsid w:val="00C007EA"/>
    <w:rsid w:val="00C02805"/>
    <w:rsid w:val="00C02FFC"/>
    <w:rsid w:val="00C04438"/>
    <w:rsid w:val="00C04E07"/>
    <w:rsid w:val="00C052FF"/>
    <w:rsid w:val="00C05304"/>
    <w:rsid w:val="00C05358"/>
    <w:rsid w:val="00C053DE"/>
    <w:rsid w:val="00C057AD"/>
    <w:rsid w:val="00C05974"/>
    <w:rsid w:val="00C0668A"/>
    <w:rsid w:val="00C0787F"/>
    <w:rsid w:val="00C11215"/>
    <w:rsid w:val="00C11543"/>
    <w:rsid w:val="00C121BA"/>
    <w:rsid w:val="00C1359B"/>
    <w:rsid w:val="00C15062"/>
    <w:rsid w:val="00C158AD"/>
    <w:rsid w:val="00C17B32"/>
    <w:rsid w:val="00C17BAD"/>
    <w:rsid w:val="00C17D5E"/>
    <w:rsid w:val="00C23A51"/>
    <w:rsid w:val="00C26366"/>
    <w:rsid w:val="00C26929"/>
    <w:rsid w:val="00C26CAF"/>
    <w:rsid w:val="00C26FB1"/>
    <w:rsid w:val="00C2778B"/>
    <w:rsid w:val="00C30532"/>
    <w:rsid w:val="00C307E7"/>
    <w:rsid w:val="00C30A98"/>
    <w:rsid w:val="00C31696"/>
    <w:rsid w:val="00C32565"/>
    <w:rsid w:val="00C32FD8"/>
    <w:rsid w:val="00C331AF"/>
    <w:rsid w:val="00C345BD"/>
    <w:rsid w:val="00C3491C"/>
    <w:rsid w:val="00C35552"/>
    <w:rsid w:val="00C359BC"/>
    <w:rsid w:val="00C37FA6"/>
    <w:rsid w:val="00C405F3"/>
    <w:rsid w:val="00C40D35"/>
    <w:rsid w:val="00C42F3E"/>
    <w:rsid w:val="00C437D2"/>
    <w:rsid w:val="00C4428C"/>
    <w:rsid w:val="00C44DC9"/>
    <w:rsid w:val="00C454FC"/>
    <w:rsid w:val="00C46C0B"/>
    <w:rsid w:val="00C47406"/>
    <w:rsid w:val="00C47B60"/>
    <w:rsid w:val="00C50588"/>
    <w:rsid w:val="00C50BAA"/>
    <w:rsid w:val="00C50C49"/>
    <w:rsid w:val="00C50D46"/>
    <w:rsid w:val="00C50F52"/>
    <w:rsid w:val="00C53367"/>
    <w:rsid w:val="00C5515F"/>
    <w:rsid w:val="00C5635C"/>
    <w:rsid w:val="00C56F86"/>
    <w:rsid w:val="00C600B8"/>
    <w:rsid w:val="00C618F7"/>
    <w:rsid w:val="00C6283D"/>
    <w:rsid w:val="00C63141"/>
    <w:rsid w:val="00C64856"/>
    <w:rsid w:val="00C6496A"/>
    <w:rsid w:val="00C64D6E"/>
    <w:rsid w:val="00C66AEA"/>
    <w:rsid w:val="00C67011"/>
    <w:rsid w:val="00C670A5"/>
    <w:rsid w:val="00C70874"/>
    <w:rsid w:val="00C71827"/>
    <w:rsid w:val="00C71E12"/>
    <w:rsid w:val="00C723EF"/>
    <w:rsid w:val="00C72BC9"/>
    <w:rsid w:val="00C72E2A"/>
    <w:rsid w:val="00C73ABE"/>
    <w:rsid w:val="00C73BEB"/>
    <w:rsid w:val="00C747FD"/>
    <w:rsid w:val="00C74816"/>
    <w:rsid w:val="00C751F9"/>
    <w:rsid w:val="00C753EE"/>
    <w:rsid w:val="00C76959"/>
    <w:rsid w:val="00C77EAE"/>
    <w:rsid w:val="00C80A14"/>
    <w:rsid w:val="00C812ED"/>
    <w:rsid w:val="00C81508"/>
    <w:rsid w:val="00C8500E"/>
    <w:rsid w:val="00C85BF7"/>
    <w:rsid w:val="00C86145"/>
    <w:rsid w:val="00C8747C"/>
    <w:rsid w:val="00C87B2F"/>
    <w:rsid w:val="00C91472"/>
    <w:rsid w:val="00C914FF"/>
    <w:rsid w:val="00C91EC2"/>
    <w:rsid w:val="00C926B6"/>
    <w:rsid w:val="00C93265"/>
    <w:rsid w:val="00C93386"/>
    <w:rsid w:val="00C9364A"/>
    <w:rsid w:val="00C94661"/>
    <w:rsid w:val="00C94EE8"/>
    <w:rsid w:val="00C953C6"/>
    <w:rsid w:val="00C95E82"/>
    <w:rsid w:val="00C96CA5"/>
    <w:rsid w:val="00C96CAC"/>
    <w:rsid w:val="00C97C99"/>
    <w:rsid w:val="00CA0222"/>
    <w:rsid w:val="00CA0E72"/>
    <w:rsid w:val="00CA1EB7"/>
    <w:rsid w:val="00CA226A"/>
    <w:rsid w:val="00CA3712"/>
    <w:rsid w:val="00CA3F2F"/>
    <w:rsid w:val="00CA4537"/>
    <w:rsid w:val="00CA4E7F"/>
    <w:rsid w:val="00CA6668"/>
    <w:rsid w:val="00CA6A90"/>
    <w:rsid w:val="00CA6C82"/>
    <w:rsid w:val="00CA6CFC"/>
    <w:rsid w:val="00CA7830"/>
    <w:rsid w:val="00CA792A"/>
    <w:rsid w:val="00CB0D72"/>
    <w:rsid w:val="00CB115B"/>
    <w:rsid w:val="00CB18EA"/>
    <w:rsid w:val="00CB1A69"/>
    <w:rsid w:val="00CB30E7"/>
    <w:rsid w:val="00CB4503"/>
    <w:rsid w:val="00CB49A0"/>
    <w:rsid w:val="00CB5358"/>
    <w:rsid w:val="00CB6690"/>
    <w:rsid w:val="00CB76BD"/>
    <w:rsid w:val="00CC02BC"/>
    <w:rsid w:val="00CC1699"/>
    <w:rsid w:val="00CC1CE9"/>
    <w:rsid w:val="00CC1DA8"/>
    <w:rsid w:val="00CC2C92"/>
    <w:rsid w:val="00CC4030"/>
    <w:rsid w:val="00CC48E7"/>
    <w:rsid w:val="00CC4E00"/>
    <w:rsid w:val="00CC5185"/>
    <w:rsid w:val="00CC52ED"/>
    <w:rsid w:val="00CC58AA"/>
    <w:rsid w:val="00CC6B3F"/>
    <w:rsid w:val="00CD1925"/>
    <w:rsid w:val="00CD2248"/>
    <w:rsid w:val="00CD29AC"/>
    <w:rsid w:val="00CD2CDF"/>
    <w:rsid w:val="00CD3C08"/>
    <w:rsid w:val="00CD42C2"/>
    <w:rsid w:val="00CD483F"/>
    <w:rsid w:val="00CD57E1"/>
    <w:rsid w:val="00CD5F80"/>
    <w:rsid w:val="00CD70E9"/>
    <w:rsid w:val="00CD71BE"/>
    <w:rsid w:val="00CD7B55"/>
    <w:rsid w:val="00CD7D7E"/>
    <w:rsid w:val="00CE0304"/>
    <w:rsid w:val="00CE0A83"/>
    <w:rsid w:val="00CE1281"/>
    <w:rsid w:val="00CE13CE"/>
    <w:rsid w:val="00CE1687"/>
    <w:rsid w:val="00CE4E86"/>
    <w:rsid w:val="00CE64DA"/>
    <w:rsid w:val="00CE6603"/>
    <w:rsid w:val="00CE785A"/>
    <w:rsid w:val="00CF0340"/>
    <w:rsid w:val="00CF107E"/>
    <w:rsid w:val="00CF159D"/>
    <w:rsid w:val="00CF25A6"/>
    <w:rsid w:val="00CF2B88"/>
    <w:rsid w:val="00CF3780"/>
    <w:rsid w:val="00CF482D"/>
    <w:rsid w:val="00CF4A45"/>
    <w:rsid w:val="00CF51E9"/>
    <w:rsid w:val="00CF6010"/>
    <w:rsid w:val="00D0010E"/>
    <w:rsid w:val="00D01FFC"/>
    <w:rsid w:val="00D02C02"/>
    <w:rsid w:val="00D02D81"/>
    <w:rsid w:val="00D03694"/>
    <w:rsid w:val="00D03AB0"/>
    <w:rsid w:val="00D04330"/>
    <w:rsid w:val="00D04EAC"/>
    <w:rsid w:val="00D0502F"/>
    <w:rsid w:val="00D06E0A"/>
    <w:rsid w:val="00D07040"/>
    <w:rsid w:val="00D10832"/>
    <w:rsid w:val="00D10C52"/>
    <w:rsid w:val="00D116C8"/>
    <w:rsid w:val="00D116FE"/>
    <w:rsid w:val="00D13E54"/>
    <w:rsid w:val="00D14077"/>
    <w:rsid w:val="00D141DF"/>
    <w:rsid w:val="00D14D85"/>
    <w:rsid w:val="00D176FF"/>
    <w:rsid w:val="00D17A73"/>
    <w:rsid w:val="00D20179"/>
    <w:rsid w:val="00D20A6A"/>
    <w:rsid w:val="00D20BDB"/>
    <w:rsid w:val="00D2149E"/>
    <w:rsid w:val="00D21BB2"/>
    <w:rsid w:val="00D230A1"/>
    <w:rsid w:val="00D24498"/>
    <w:rsid w:val="00D24652"/>
    <w:rsid w:val="00D24AA1"/>
    <w:rsid w:val="00D24F03"/>
    <w:rsid w:val="00D26445"/>
    <w:rsid w:val="00D2787F"/>
    <w:rsid w:val="00D30624"/>
    <w:rsid w:val="00D30639"/>
    <w:rsid w:val="00D31335"/>
    <w:rsid w:val="00D318FE"/>
    <w:rsid w:val="00D32373"/>
    <w:rsid w:val="00D3354D"/>
    <w:rsid w:val="00D3382D"/>
    <w:rsid w:val="00D33E32"/>
    <w:rsid w:val="00D34C77"/>
    <w:rsid w:val="00D367A1"/>
    <w:rsid w:val="00D37A9C"/>
    <w:rsid w:val="00D4278D"/>
    <w:rsid w:val="00D44057"/>
    <w:rsid w:val="00D44983"/>
    <w:rsid w:val="00D44DAA"/>
    <w:rsid w:val="00D458D1"/>
    <w:rsid w:val="00D462AB"/>
    <w:rsid w:val="00D46DBD"/>
    <w:rsid w:val="00D476ED"/>
    <w:rsid w:val="00D478D9"/>
    <w:rsid w:val="00D50490"/>
    <w:rsid w:val="00D5094B"/>
    <w:rsid w:val="00D513BB"/>
    <w:rsid w:val="00D5185C"/>
    <w:rsid w:val="00D51B9E"/>
    <w:rsid w:val="00D52756"/>
    <w:rsid w:val="00D53350"/>
    <w:rsid w:val="00D5348E"/>
    <w:rsid w:val="00D53FE5"/>
    <w:rsid w:val="00D54250"/>
    <w:rsid w:val="00D55A7C"/>
    <w:rsid w:val="00D56279"/>
    <w:rsid w:val="00D567B0"/>
    <w:rsid w:val="00D56A51"/>
    <w:rsid w:val="00D574F8"/>
    <w:rsid w:val="00D601F2"/>
    <w:rsid w:val="00D61AAC"/>
    <w:rsid w:val="00D64B14"/>
    <w:rsid w:val="00D6507B"/>
    <w:rsid w:val="00D67565"/>
    <w:rsid w:val="00D70AA3"/>
    <w:rsid w:val="00D7127E"/>
    <w:rsid w:val="00D72EEA"/>
    <w:rsid w:val="00D73072"/>
    <w:rsid w:val="00D74BF8"/>
    <w:rsid w:val="00D75321"/>
    <w:rsid w:val="00D7590C"/>
    <w:rsid w:val="00D771C4"/>
    <w:rsid w:val="00D772B4"/>
    <w:rsid w:val="00D77A1D"/>
    <w:rsid w:val="00D825D4"/>
    <w:rsid w:val="00D8276A"/>
    <w:rsid w:val="00D83B52"/>
    <w:rsid w:val="00D83BF8"/>
    <w:rsid w:val="00D83E4A"/>
    <w:rsid w:val="00D845C3"/>
    <w:rsid w:val="00D851F7"/>
    <w:rsid w:val="00D85E61"/>
    <w:rsid w:val="00D8666F"/>
    <w:rsid w:val="00D870F6"/>
    <w:rsid w:val="00D87CCA"/>
    <w:rsid w:val="00D914BF"/>
    <w:rsid w:val="00D91CA5"/>
    <w:rsid w:val="00D9226C"/>
    <w:rsid w:val="00D92479"/>
    <w:rsid w:val="00D927CF"/>
    <w:rsid w:val="00D92F2C"/>
    <w:rsid w:val="00D9450D"/>
    <w:rsid w:val="00D9736D"/>
    <w:rsid w:val="00D97385"/>
    <w:rsid w:val="00D97483"/>
    <w:rsid w:val="00D97667"/>
    <w:rsid w:val="00D976FF"/>
    <w:rsid w:val="00D97B3B"/>
    <w:rsid w:val="00D97F14"/>
    <w:rsid w:val="00DA06A8"/>
    <w:rsid w:val="00DA1DDC"/>
    <w:rsid w:val="00DA21AE"/>
    <w:rsid w:val="00DA2244"/>
    <w:rsid w:val="00DA2D44"/>
    <w:rsid w:val="00DA36C0"/>
    <w:rsid w:val="00DA3EE9"/>
    <w:rsid w:val="00DA425A"/>
    <w:rsid w:val="00DA4735"/>
    <w:rsid w:val="00DA4AE3"/>
    <w:rsid w:val="00DA4DA6"/>
    <w:rsid w:val="00DA575D"/>
    <w:rsid w:val="00DA5D32"/>
    <w:rsid w:val="00DA61E6"/>
    <w:rsid w:val="00DA6E2B"/>
    <w:rsid w:val="00DB139D"/>
    <w:rsid w:val="00DB24C8"/>
    <w:rsid w:val="00DB3619"/>
    <w:rsid w:val="00DB3CFC"/>
    <w:rsid w:val="00DB42E3"/>
    <w:rsid w:val="00DB6232"/>
    <w:rsid w:val="00DB6FA6"/>
    <w:rsid w:val="00DB7328"/>
    <w:rsid w:val="00DC22D5"/>
    <w:rsid w:val="00DC2645"/>
    <w:rsid w:val="00DC3103"/>
    <w:rsid w:val="00DC3822"/>
    <w:rsid w:val="00DC3F65"/>
    <w:rsid w:val="00DC4840"/>
    <w:rsid w:val="00DC4A18"/>
    <w:rsid w:val="00DC56FE"/>
    <w:rsid w:val="00DC5943"/>
    <w:rsid w:val="00DC6BBF"/>
    <w:rsid w:val="00DC6CC6"/>
    <w:rsid w:val="00DC7278"/>
    <w:rsid w:val="00DD020E"/>
    <w:rsid w:val="00DD0250"/>
    <w:rsid w:val="00DD0259"/>
    <w:rsid w:val="00DD06E8"/>
    <w:rsid w:val="00DD1F50"/>
    <w:rsid w:val="00DD24FA"/>
    <w:rsid w:val="00DD33C4"/>
    <w:rsid w:val="00DD35B7"/>
    <w:rsid w:val="00DD3771"/>
    <w:rsid w:val="00DD5A7A"/>
    <w:rsid w:val="00DD6839"/>
    <w:rsid w:val="00DD693C"/>
    <w:rsid w:val="00DD69A5"/>
    <w:rsid w:val="00DD75AF"/>
    <w:rsid w:val="00DE04F6"/>
    <w:rsid w:val="00DE09BE"/>
    <w:rsid w:val="00DE0BEB"/>
    <w:rsid w:val="00DE106E"/>
    <w:rsid w:val="00DE10E0"/>
    <w:rsid w:val="00DE13AA"/>
    <w:rsid w:val="00DE1700"/>
    <w:rsid w:val="00DE34D1"/>
    <w:rsid w:val="00DE47DF"/>
    <w:rsid w:val="00DE4B31"/>
    <w:rsid w:val="00DE5F0D"/>
    <w:rsid w:val="00DE67A0"/>
    <w:rsid w:val="00DE7572"/>
    <w:rsid w:val="00DF06D9"/>
    <w:rsid w:val="00DF0B6F"/>
    <w:rsid w:val="00DF21B7"/>
    <w:rsid w:val="00DF228D"/>
    <w:rsid w:val="00DF2862"/>
    <w:rsid w:val="00DF2C11"/>
    <w:rsid w:val="00DF4041"/>
    <w:rsid w:val="00DF4A6A"/>
    <w:rsid w:val="00DF4EB3"/>
    <w:rsid w:val="00DF5D7C"/>
    <w:rsid w:val="00DF5F77"/>
    <w:rsid w:val="00E00F3D"/>
    <w:rsid w:val="00E016FB"/>
    <w:rsid w:val="00E0211A"/>
    <w:rsid w:val="00E02347"/>
    <w:rsid w:val="00E026DD"/>
    <w:rsid w:val="00E02B70"/>
    <w:rsid w:val="00E02D29"/>
    <w:rsid w:val="00E038A6"/>
    <w:rsid w:val="00E038EB"/>
    <w:rsid w:val="00E03C6F"/>
    <w:rsid w:val="00E03CEC"/>
    <w:rsid w:val="00E04A99"/>
    <w:rsid w:val="00E04E8B"/>
    <w:rsid w:val="00E05351"/>
    <w:rsid w:val="00E0564C"/>
    <w:rsid w:val="00E0569A"/>
    <w:rsid w:val="00E05BAE"/>
    <w:rsid w:val="00E0661B"/>
    <w:rsid w:val="00E0710D"/>
    <w:rsid w:val="00E10EF9"/>
    <w:rsid w:val="00E10F8D"/>
    <w:rsid w:val="00E11D27"/>
    <w:rsid w:val="00E11D5A"/>
    <w:rsid w:val="00E11DE5"/>
    <w:rsid w:val="00E121BB"/>
    <w:rsid w:val="00E1260A"/>
    <w:rsid w:val="00E129F3"/>
    <w:rsid w:val="00E13ACD"/>
    <w:rsid w:val="00E1718A"/>
    <w:rsid w:val="00E20585"/>
    <w:rsid w:val="00E2133F"/>
    <w:rsid w:val="00E21811"/>
    <w:rsid w:val="00E2266D"/>
    <w:rsid w:val="00E236BC"/>
    <w:rsid w:val="00E236C5"/>
    <w:rsid w:val="00E236D7"/>
    <w:rsid w:val="00E2376C"/>
    <w:rsid w:val="00E24B4C"/>
    <w:rsid w:val="00E24E60"/>
    <w:rsid w:val="00E25631"/>
    <w:rsid w:val="00E26D86"/>
    <w:rsid w:val="00E27006"/>
    <w:rsid w:val="00E27C4D"/>
    <w:rsid w:val="00E30A76"/>
    <w:rsid w:val="00E31724"/>
    <w:rsid w:val="00E321B5"/>
    <w:rsid w:val="00E33293"/>
    <w:rsid w:val="00E33772"/>
    <w:rsid w:val="00E33827"/>
    <w:rsid w:val="00E346ED"/>
    <w:rsid w:val="00E36664"/>
    <w:rsid w:val="00E371ED"/>
    <w:rsid w:val="00E37A07"/>
    <w:rsid w:val="00E37C86"/>
    <w:rsid w:val="00E37D6B"/>
    <w:rsid w:val="00E4160C"/>
    <w:rsid w:val="00E43319"/>
    <w:rsid w:val="00E4362F"/>
    <w:rsid w:val="00E4388C"/>
    <w:rsid w:val="00E45EA1"/>
    <w:rsid w:val="00E4641A"/>
    <w:rsid w:val="00E4668A"/>
    <w:rsid w:val="00E46FAE"/>
    <w:rsid w:val="00E50199"/>
    <w:rsid w:val="00E50C8D"/>
    <w:rsid w:val="00E55934"/>
    <w:rsid w:val="00E56530"/>
    <w:rsid w:val="00E56F5F"/>
    <w:rsid w:val="00E57B69"/>
    <w:rsid w:val="00E6147F"/>
    <w:rsid w:val="00E61535"/>
    <w:rsid w:val="00E6267A"/>
    <w:rsid w:val="00E62DEC"/>
    <w:rsid w:val="00E63BBE"/>
    <w:rsid w:val="00E647E3"/>
    <w:rsid w:val="00E66D3E"/>
    <w:rsid w:val="00E676E0"/>
    <w:rsid w:val="00E67933"/>
    <w:rsid w:val="00E67C79"/>
    <w:rsid w:val="00E705C0"/>
    <w:rsid w:val="00E7122D"/>
    <w:rsid w:val="00E712A1"/>
    <w:rsid w:val="00E713A3"/>
    <w:rsid w:val="00E72604"/>
    <w:rsid w:val="00E72788"/>
    <w:rsid w:val="00E73364"/>
    <w:rsid w:val="00E73617"/>
    <w:rsid w:val="00E73B3F"/>
    <w:rsid w:val="00E75A70"/>
    <w:rsid w:val="00E80FFF"/>
    <w:rsid w:val="00E81191"/>
    <w:rsid w:val="00E8123B"/>
    <w:rsid w:val="00E8159B"/>
    <w:rsid w:val="00E8276B"/>
    <w:rsid w:val="00E829DD"/>
    <w:rsid w:val="00E82AF3"/>
    <w:rsid w:val="00E83CB8"/>
    <w:rsid w:val="00E84FB4"/>
    <w:rsid w:val="00E853F8"/>
    <w:rsid w:val="00E85B33"/>
    <w:rsid w:val="00E85E21"/>
    <w:rsid w:val="00E8646E"/>
    <w:rsid w:val="00E8748F"/>
    <w:rsid w:val="00E8787A"/>
    <w:rsid w:val="00E90203"/>
    <w:rsid w:val="00E90ABF"/>
    <w:rsid w:val="00E9284E"/>
    <w:rsid w:val="00E93E33"/>
    <w:rsid w:val="00E9662A"/>
    <w:rsid w:val="00E96F24"/>
    <w:rsid w:val="00E96FA3"/>
    <w:rsid w:val="00E979B5"/>
    <w:rsid w:val="00EA02C3"/>
    <w:rsid w:val="00EA1488"/>
    <w:rsid w:val="00EA2503"/>
    <w:rsid w:val="00EA2EC6"/>
    <w:rsid w:val="00EA4F60"/>
    <w:rsid w:val="00EA5249"/>
    <w:rsid w:val="00EA5814"/>
    <w:rsid w:val="00EA66CD"/>
    <w:rsid w:val="00EA7041"/>
    <w:rsid w:val="00EB0101"/>
    <w:rsid w:val="00EB0640"/>
    <w:rsid w:val="00EB0F35"/>
    <w:rsid w:val="00EB11EA"/>
    <w:rsid w:val="00EB1A95"/>
    <w:rsid w:val="00EB2AE4"/>
    <w:rsid w:val="00EB35A5"/>
    <w:rsid w:val="00EB510C"/>
    <w:rsid w:val="00EB5154"/>
    <w:rsid w:val="00EB5D4A"/>
    <w:rsid w:val="00EB786A"/>
    <w:rsid w:val="00EC0A3B"/>
    <w:rsid w:val="00EC0FF0"/>
    <w:rsid w:val="00EC21FF"/>
    <w:rsid w:val="00EC2296"/>
    <w:rsid w:val="00EC2DDA"/>
    <w:rsid w:val="00EC2E70"/>
    <w:rsid w:val="00EC3CCC"/>
    <w:rsid w:val="00EC50BE"/>
    <w:rsid w:val="00EC7344"/>
    <w:rsid w:val="00EC79B1"/>
    <w:rsid w:val="00EC7E94"/>
    <w:rsid w:val="00EC7EA8"/>
    <w:rsid w:val="00ED0426"/>
    <w:rsid w:val="00ED06B1"/>
    <w:rsid w:val="00ED1054"/>
    <w:rsid w:val="00ED19B2"/>
    <w:rsid w:val="00ED3A52"/>
    <w:rsid w:val="00ED6CA0"/>
    <w:rsid w:val="00ED78FD"/>
    <w:rsid w:val="00EE2D59"/>
    <w:rsid w:val="00EE3A55"/>
    <w:rsid w:val="00EE3DE0"/>
    <w:rsid w:val="00EE3F84"/>
    <w:rsid w:val="00EE47AE"/>
    <w:rsid w:val="00EE5A04"/>
    <w:rsid w:val="00EE65DA"/>
    <w:rsid w:val="00EE71B6"/>
    <w:rsid w:val="00EE7361"/>
    <w:rsid w:val="00EF0F8A"/>
    <w:rsid w:val="00EF18C1"/>
    <w:rsid w:val="00EF1E67"/>
    <w:rsid w:val="00EF303C"/>
    <w:rsid w:val="00EF342D"/>
    <w:rsid w:val="00EF3839"/>
    <w:rsid w:val="00EF4E40"/>
    <w:rsid w:val="00EF58A5"/>
    <w:rsid w:val="00EF5A81"/>
    <w:rsid w:val="00EF5B55"/>
    <w:rsid w:val="00EF5ED9"/>
    <w:rsid w:val="00EF7AB9"/>
    <w:rsid w:val="00EF7F81"/>
    <w:rsid w:val="00EF7F83"/>
    <w:rsid w:val="00F01E52"/>
    <w:rsid w:val="00F02A4A"/>
    <w:rsid w:val="00F02DBF"/>
    <w:rsid w:val="00F0549C"/>
    <w:rsid w:val="00F07AE1"/>
    <w:rsid w:val="00F07FF7"/>
    <w:rsid w:val="00F1090E"/>
    <w:rsid w:val="00F12E3F"/>
    <w:rsid w:val="00F13166"/>
    <w:rsid w:val="00F14236"/>
    <w:rsid w:val="00F144BF"/>
    <w:rsid w:val="00F1542C"/>
    <w:rsid w:val="00F235D2"/>
    <w:rsid w:val="00F249D3"/>
    <w:rsid w:val="00F24B7F"/>
    <w:rsid w:val="00F25ADA"/>
    <w:rsid w:val="00F25D68"/>
    <w:rsid w:val="00F25EF0"/>
    <w:rsid w:val="00F275CB"/>
    <w:rsid w:val="00F27800"/>
    <w:rsid w:val="00F2789A"/>
    <w:rsid w:val="00F3147A"/>
    <w:rsid w:val="00F32357"/>
    <w:rsid w:val="00F33419"/>
    <w:rsid w:val="00F3540D"/>
    <w:rsid w:val="00F35B71"/>
    <w:rsid w:val="00F37394"/>
    <w:rsid w:val="00F374F5"/>
    <w:rsid w:val="00F37D30"/>
    <w:rsid w:val="00F42BA5"/>
    <w:rsid w:val="00F43842"/>
    <w:rsid w:val="00F4405F"/>
    <w:rsid w:val="00F446C8"/>
    <w:rsid w:val="00F44B57"/>
    <w:rsid w:val="00F4563A"/>
    <w:rsid w:val="00F4779D"/>
    <w:rsid w:val="00F5053C"/>
    <w:rsid w:val="00F50F2B"/>
    <w:rsid w:val="00F50F57"/>
    <w:rsid w:val="00F51CF5"/>
    <w:rsid w:val="00F52146"/>
    <w:rsid w:val="00F551A6"/>
    <w:rsid w:val="00F55306"/>
    <w:rsid w:val="00F5546C"/>
    <w:rsid w:val="00F56519"/>
    <w:rsid w:val="00F56A8F"/>
    <w:rsid w:val="00F57457"/>
    <w:rsid w:val="00F57869"/>
    <w:rsid w:val="00F60665"/>
    <w:rsid w:val="00F6126D"/>
    <w:rsid w:val="00F61728"/>
    <w:rsid w:val="00F63A2E"/>
    <w:rsid w:val="00F64137"/>
    <w:rsid w:val="00F6551A"/>
    <w:rsid w:val="00F67A2B"/>
    <w:rsid w:val="00F70B1E"/>
    <w:rsid w:val="00F710BE"/>
    <w:rsid w:val="00F715AF"/>
    <w:rsid w:val="00F74839"/>
    <w:rsid w:val="00F75223"/>
    <w:rsid w:val="00F755AD"/>
    <w:rsid w:val="00F756DF"/>
    <w:rsid w:val="00F7578D"/>
    <w:rsid w:val="00F8015D"/>
    <w:rsid w:val="00F8165C"/>
    <w:rsid w:val="00F81B1B"/>
    <w:rsid w:val="00F81E11"/>
    <w:rsid w:val="00F839DB"/>
    <w:rsid w:val="00F84CD4"/>
    <w:rsid w:val="00F854FD"/>
    <w:rsid w:val="00F868CD"/>
    <w:rsid w:val="00F87C5F"/>
    <w:rsid w:val="00F90DBF"/>
    <w:rsid w:val="00F91517"/>
    <w:rsid w:val="00F916D5"/>
    <w:rsid w:val="00F92360"/>
    <w:rsid w:val="00F9344C"/>
    <w:rsid w:val="00F93553"/>
    <w:rsid w:val="00F94DCE"/>
    <w:rsid w:val="00F95C09"/>
    <w:rsid w:val="00F96256"/>
    <w:rsid w:val="00F96413"/>
    <w:rsid w:val="00F96F99"/>
    <w:rsid w:val="00FA05BC"/>
    <w:rsid w:val="00FA0EC0"/>
    <w:rsid w:val="00FA16A2"/>
    <w:rsid w:val="00FA2A25"/>
    <w:rsid w:val="00FA4191"/>
    <w:rsid w:val="00FA5FFE"/>
    <w:rsid w:val="00FA6351"/>
    <w:rsid w:val="00FA6DC7"/>
    <w:rsid w:val="00FA7640"/>
    <w:rsid w:val="00FA79D1"/>
    <w:rsid w:val="00FB01C8"/>
    <w:rsid w:val="00FB11B6"/>
    <w:rsid w:val="00FB1937"/>
    <w:rsid w:val="00FB21E5"/>
    <w:rsid w:val="00FB5AA7"/>
    <w:rsid w:val="00FB6329"/>
    <w:rsid w:val="00FB6C5E"/>
    <w:rsid w:val="00FB6E20"/>
    <w:rsid w:val="00FB733F"/>
    <w:rsid w:val="00FC13F5"/>
    <w:rsid w:val="00FC3546"/>
    <w:rsid w:val="00FC493C"/>
    <w:rsid w:val="00FC5048"/>
    <w:rsid w:val="00FC5220"/>
    <w:rsid w:val="00FC6F2C"/>
    <w:rsid w:val="00FD1381"/>
    <w:rsid w:val="00FD1436"/>
    <w:rsid w:val="00FD28AD"/>
    <w:rsid w:val="00FD4BB0"/>
    <w:rsid w:val="00FD5D15"/>
    <w:rsid w:val="00FE0054"/>
    <w:rsid w:val="00FE16D3"/>
    <w:rsid w:val="00FE3567"/>
    <w:rsid w:val="00FE40D6"/>
    <w:rsid w:val="00FE5BDD"/>
    <w:rsid w:val="00FE5F04"/>
    <w:rsid w:val="00FE688D"/>
    <w:rsid w:val="00FE6F29"/>
    <w:rsid w:val="00FF0815"/>
    <w:rsid w:val="00FF0D33"/>
    <w:rsid w:val="00FF0E01"/>
    <w:rsid w:val="00FF145F"/>
    <w:rsid w:val="00FF2CD2"/>
    <w:rsid w:val="00FF3E29"/>
    <w:rsid w:val="012515C4"/>
    <w:rsid w:val="017E546A"/>
    <w:rsid w:val="0199101D"/>
    <w:rsid w:val="01A00F3E"/>
    <w:rsid w:val="01B56C27"/>
    <w:rsid w:val="01D36797"/>
    <w:rsid w:val="02215BE2"/>
    <w:rsid w:val="024F3E90"/>
    <w:rsid w:val="025E56E7"/>
    <w:rsid w:val="026E399B"/>
    <w:rsid w:val="02C56B9D"/>
    <w:rsid w:val="02FB30F1"/>
    <w:rsid w:val="02FF7A73"/>
    <w:rsid w:val="030374D8"/>
    <w:rsid w:val="03157FE7"/>
    <w:rsid w:val="033B6292"/>
    <w:rsid w:val="03420113"/>
    <w:rsid w:val="0342688A"/>
    <w:rsid w:val="03EF1BF3"/>
    <w:rsid w:val="0424663D"/>
    <w:rsid w:val="04347511"/>
    <w:rsid w:val="04625ACE"/>
    <w:rsid w:val="047E1E56"/>
    <w:rsid w:val="04BA2023"/>
    <w:rsid w:val="04E00720"/>
    <w:rsid w:val="0547303A"/>
    <w:rsid w:val="054D1E6D"/>
    <w:rsid w:val="05717BA7"/>
    <w:rsid w:val="05750233"/>
    <w:rsid w:val="05765F06"/>
    <w:rsid w:val="057B1DD8"/>
    <w:rsid w:val="05886B6E"/>
    <w:rsid w:val="05BD2C1F"/>
    <w:rsid w:val="05ED0934"/>
    <w:rsid w:val="05F0235A"/>
    <w:rsid w:val="05F0693D"/>
    <w:rsid w:val="06341430"/>
    <w:rsid w:val="063532A0"/>
    <w:rsid w:val="06367EB7"/>
    <w:rsid w:val="06524E48"/>
    <w:rsid w:val="0655055B"/>
    <w:rsid w:val="067E4A97"/>
    <w:rsid w:val="06A9158E"/>
    <w:rsid w:val="06C8505D"/>
    <w:rsid w:val="06DC6675"/>
    <w:rsid w:val="071D7440"/>
    <w:rsid w:val="076C0375"/>
    <w:rsid w:val="07AD6345"/>
    <w:rsid w:val="07DB6EEE"/>
    <w:rsid w:val="081E26D0"/>
    <w:rsid w:val="0846492E"/>
    <w:rsid w:val="08681993"/>
    <w:rsid w:val="08953B37"/>
    <w:rsid w:val="08A2799E"/>
    <w:rsid w:val="08C420CC"/>
    <w:rsid w:val="08D04D1F"/>
    <w:rsid w:val="08E92ED7"/>
    <w:rsid w:val="08EA6CBD"/>
    <w:rsid w:val="0920678E"/>
    <w:rsid w:val="092352BA"/>
    <w:rsid w:val="09375513"/>
    <w:rsid w:val="09447EBE"/>
    <w:rsid w:val="09B44E7C"/>
    <w:rsid w:val="0A4C69F3"/>
    <w:rsid w:val="0A5A593A"/>
    <w:rsid w:val="0AB05ECE"/>
    <w:rsid w:val="0ABF33A8"/>
    <w:rsid w:val="0AC522CC"/>
    <w:rsid w:val="0B0C2DAB"/>
    <w:rsid w:val="0B2B47F1"/>
    <w:rsid w:val="0B2C73B1"/>
    <w:rsid w:val="0B542C4B"/>
    <w:rsid w:val="0B64538D"/>
    <w:rsid w:val="0B6F5879"/>
    <w:rsid w:val="0B792C38"/>
    <w:rsid w:val="0B8F2EF5"/>
    <w:rsid w:val="0BA91B23"/>
    <w:rsid w:val="0BC547A8"/>
    <w:rsid w:val="0BC765E8"/>
    <w:rsid w:val="0BF34299"/>
    <w:rsid w:val="0C053137"/>
    <w:rsid w:val="0C562DF0"/>
    <w:rsid w:val="0C8C1036"/>
    <w:rsid w:val="0C96269A"/>
    <w:rsid w:val="0C965A5C"/>
    <w:rsid w:val="0CE1202E"/>
    <w:rsid w:val="0CF17D86"/>
    <w:rsid w:val="0D034CFE"/>
    <w:rsid w:val="0D1976EB"/>
    <w:rsid w:val="0D1D62F5"/>
    <w:rsid w:val="0D34787E"/>
    <w:rsid w:val="0D3F0513"/>
    <w:rsid w:val="0D7902FD"/>
    <w:rsid w:val="0DEB3454"/>
    <w:rsid w:val="0E2A2D10"/>
    <w:rsid w:val="0E624AA7"/>
    <w:rsid w:val="0E6F6748"/>
    <w:rsid w:val="0E753703"/>
    <w:rsid w:val="0E7669A3"/>
    <w:rsid w:val="0E9B2A02"/>
    <w:rsid w:val="0EB0017C"/>
    <w:rsid w:val="0EE160BB"/>
    <w:rsid w:val="0EFD2274"/>
    <w:rsid w:val="0F0A6E1F"/>
    <w:rsid w:val="0F486702"/>
    <w:rsid w:val="0F73174D"/>
    <w:rsid w:val="0FBE24E5"/>
    <w:rsid w:val="0FD8338F"/>
    <w:rsid w:val="0FDF7C36"/>
    <w:rsid w:val="100405A7"/>
    <w:rsid w:val="100B43C8"/>
    <w:rsid w:val="100E63F6"/>
    <w:rsid w:val="10101691"/>
    <w:rsid w:val="10294D09"/>
    <w:rsid w:val="10737B0E"/>
    <w:rsid w:val="10A65B52"/>
    <w:rsid w:val="10C3319F"/>
    <w:rsid w:val="10FB7DF7"/>
    <w:rsid w:val="116827CB"/>
    <w:rsid w:val="117E421D"/>
    <w:rsid w:val="11A16408"/>
    <w:rsid w:val="11D45F72"/>
    <w:rsid w:val="12094A72"/>
    <w:rsid w:val="1213019E"/>
    <w:rsid w:val="123139E6"/>
    <w:rsid w:val="12317CDB"/>
    <w:rsid w:val="124B075F"/>
    <w:rsid w:val="124C123D"/>
    <w:rsid w:val="12540E2B"/>
    <w:rsid w:val="12A75650"/>
    <w:rsid w:val="12C21C7D"/>
    <w:rsid w:val="12E237B9"/>
    <w:rsid w:val="12EF5A91"/>
    <w:rsid w:val="12FE1C75"/>
    <w:rsid w:val="13201BC0"/>
    <w:rsid w:val="133D4980"/>
    <w:rsid w:val="13483CDA"/>
    <w:rsid w:val="1371153C"/>
    <w:rsid w:val="13BE2DB5"/>
    <w:rsid w:val="13D353FB"/>
    <w:rsid w:val="13D525E9"/>
    <w:rsid w:val="14252044"/>
    <w:rsid w:val="143C28C1"/>
    <w:rsid w:val="14403A1C"/>
    <w:rsid w:val="1490598B"/>
    <w:rsid w:val="14BB6070"/>
    <w:rsid w:val="15571C98"/>
    <w:rsid w:val="15747AD2"/>
    <w:rsid w:val="15766462"/>
    <w:rsid w:val="157D4BDF"/>
    <w:rsid w:val="15823CFE"/>
    <w:rsid w:val="15B14D7D"/>
    <w:rsid w:val="15C03F81"/>
    <w:rsid w:val="15CA2909"/>
    <w:rsid w:val="16043426"/>
    <w:rsid w:val="16234538"/>
    <w:rsid w:val="16293DA4"/>
    <w:rsid w:val="169074A1"/>
    <w:rsid w:val="1707638B"/>
    <w:rsid w:val="17444A1F"/>
    <w:rsid w:val="179856A3"/>
    <w:rsid w:val="17C74238"/>
    <w:rsid w:val="18405C4A"/>
    <w:rsid w:val="185537DE"/>
    <w:rsid w:val="18752CD0"/>
    <w:rsid w:val="18C87DAE"/>
    <w:rsid w:val="18CC35B7"/>
    <w:rsid w:val="18D244D3"/>
    <w:rsid w:val="18E67040"/>
    <w:rsid w:val="19136DE8"/>
    <w:rsid w:val="191F1A47"/>
    <w:rsid w:val="19212219"/>
    <w:rsid w:val="194B3FF9"/>
    <w:rsid w:val="19670574"/>
    <w:rsid w:val="196D0302"/>
    <w:rsid w:val="1A523E1A"/>
    <w:rsid w:val="1A8C6258"/>
    <w:rsid w:val="1A992D10"/>
    <w:rsid w:val="1AB07E2D"/>
    <w:rsid w:val="1AC85810"/>
    <w:rsid w:val="1B34558F"/>
    <w:rsid w:val="1B6D10D2"/>
    <w:rsid w:val="1BC141E8"/>
    <w:rsid w:val="1C5A4E45"/>
    <w:rsid w:val="1C6A7E8B"/>
    <w:rsid w:val="1C775C44"/>
    <w:rsid w:val="1CE12CE0"/>
    <w:rsid w:val="1D124427"/>
    <w:rsid w:val="1D183933"/>
    <w:rsid w:val="1D4E6EB6"/>
    <w:rsid w:val="1D605842"/>
    <w:rsid w:val="1D683530"/>
    <w:rsid w:val="1DAD522A"/>
    <w:rsid w:val="1DC20199"/>
    <w:rsid w:val="1DED3F3A"/>
    <w:rsid w:val="1E1E2DE9"/>
    <w:rsid w:val="1E3612D0"/>
    <w:rsid w:val="1E670192"/>
    <w:rsid w:val="1E872FCB"/>
    <w:rsid w:val="1E981AFC"/>
    <w:rsid w:val="1EA30E5E"/>
    <w:rsid w:val="1ED07733"/>
    <w:rsid w:val="1EFD5366"/>
    <w:rsid w:val="1F2A12A3"/>
    <w:rsid w:val="1F5157C4"/>
    <w:rsid w:val="1F641931"/>
    <w:rsid w:val="1F700D2D"/>
    <w:rsid w:val="1F94603C"/>
    <w:rsid w:val="1F9B0D4E"/>
    <w:rsid w:val="200734A1"/>
    <w:rsid w:val="20A96600"/>
    <w:rsid w:val="20BD7922"/>
    <w:rsid w:val="20F244CD"/>
    <w:rsid w:val="211A5F06"/>
    <w:rsid w:val="213608D5"/>
    <w:rsid w:val="21643072"/>
    <w:rsid w:val="216D5A1E"/>
    <w:rsid w:val="217C6B87"/>
    <w:rsid w:val="218F3734"/>
    <w:rsid w:val="21C4094C"/>
    <w:rsid w:val="21C44C50"/>
    <w:rsid w:val="21E913FF"/>
    <w:rsid w:val="22153965"/>
    <w:rsid w:val="223469B0"/>
    <w:rsid w:val="22957DE3"/>
    <w:rsid w:val="22C92E93"/>
    <w:rsid w:val="22D9403D"/>
    <w:rsid w:val="230B35A8"/>
    <w:rsid w:val="230B3AEA"/>
    <w:rsid w:val="23240E85"/>
    <w:rsid w:val="236E36FC"/>
    <w:rsid w:val="238E68DC"/>
    <w:rsid w:val="239F1C8D"/>
    <w:rsid w:val="23A65D04"/>
    <w:rsid w:val="23BF23AF"/>
    <w:rsid w:val="247A1E69"/>
    <w:rsid w:val="24863878"/>
    <w:rsid w:val="24B4150A"/>
    <w:rsid w:val="24EB2E2F"/>
    <w:rsid w:val="25585215"/>
    <w:rsid w:val="256A36AF"/>
    <w:rsid w:val="25774DA9"/>
    <w:rsid w:val="25A7546A"/>
    <w:rsid w:val="25A91DEB"/>
    <w:rsid w:val="25E054BF"/>
    <w:rsid w:val="25E309FD"/>
    <w:rsid w:val="26010D9D"/>
    <w:rsid w:val="261254C6"/>
    <w:rsid w:val="261B26A5"/>
    <w:rsid w:val="2690215C"/>
    <w:rsid w:val="26A84CD7"/>
    <w:rsid w:val="26B80661"/>
    <w:rsid w:val="277D4FC6"/>
    <w:rsid w:val="278E3170"/>
    <w:rsid w:val="279D4C94"/>
    <w:rsid w:val="27CA069C"/>
    <w:rsid w:val="288B7711"/>
    <w:rsid w:val="289B03CF"/>
    <w:rsid w:val="28AC6795"/>
    <w:rsid w:val="28B676A0"/>
    <w:rsid w:val="28D448AF"/>
    <w:rsid w:val="28DC7F0B"/>
    <w:rsid w:val="28E82799"/>
    <w:rsid w:val="290916DC"/>
    <w:rsid w:val="29392F5F"/>
    <w:rsid w:val="29415A08"/>
    <w:rsid w:val="296D1AD1"/>
    <w:rsid w:val="2986210B"/>
    <w:rsid w:val="29876A35"/>
    <w:rsid w:val="298F51F3"/>
    <w:rsid w:val="29C22421"/>
    <w:rsid w:val="29EC79F1"/>
    <w:rsid w:val="2A12368A"/>
    <w:rsid w:val="2A682B7E"/>
    <w:rsid w:val="2AD347AD"/>
    <w:rsid w:val="2B021792"/>
    <w:rsid w:val="2B826D5D"/>
    <w:rsid w:val="2B84293B"/>
    <w:rsid w:val="2BA8256B"/>
    <w:rsid w:val="2C366B98"/>
    <w:rsid w:val="2C4F0CCA"/>
    <w:rsid w:val="2CD241E0"/>
    <w:rsid w:val="2CEF0889"/>
    <w:rsid w:val="2D306F11"/>
    <w:rsid w:val="2D39169B"/>
    <w:rsid w:val="2D4A5D25"/>
    <w:rsid w:val="2D520103"/>
    <w:rsid w:val="2DA3771B"/>
    <w:rsid w:val="2DAA46DD"/>
    <w:rsid w:val="2DE51610"/>
    <w:rsid w:val="2E0905F4"/>
    <w:rsid w:val="2E090614"/>
    <w:rsid w:val="2E1A5BA3"/>
    <w:rsid w:val="2E1E635A"/>
    <w:rsid w:val="2E2856F9"/>
    <w:rsid w:val="2E4D6152"/>
    <w:rsid w:val="2E5154A2"/>
    <w:rsid w:val="2E8B4411"/>
    <w:rsid w:val="2F015FA7"/>
    <w:rsid w:val="2F0F7D0F"/>
    <w:rsid w:val="2F263432"/>
    <w:rsid w:val="2F54479E"/>
    <w:rsid w:val="2F762EA3"/>
    <w:rsid w:val="2FC0208F"/>
    <w:rsid w:val="2FD35D0C"/>
    <w:rsid w:val="2FEF7A32"/>
    <w:rsid w:val="300D26C5"/>
    <w:rsid w:val="304270A6"/>
    <w:rsid w:val="30704BD6"/>
    <w:rsid w:val="30D55451"/>
    <w:rsid w:val="30DC16AF"/>
    <w:rsid w:val="3103208F"/>
    <w:rsid w:val="314C7AA3"/>
    <w:rsid w:val="3186394D"/>
    <w:rsid w:val="31912DF3"/>
    <w:rsid w:val="31DC5022"/>
    <w:rsid w:val="321438FF"/>
    <w:rsid w:val="32923278"/>
    <w:rsid w:val="32C831C6"/>
    <w:rsid w:val="33073821"/>
    <w:rsid w:val="33262658"/>
    <w:rsid w:val="337230D9"/>
    <w:rsid w:val="337F12D0"/>
    <w:rsid w:val="33845DD3"/>
    <w:rsid w:val="33904D97"/>
    <w:rsid w:val="33A97DAC"/>
    <w:rsid w:val="33E07DD2"/>
    <w:rsid w:val="34394D78"/>
    <w:rsid w:val="346D5B3A"/>
    <w:rsid w:val="347400C1"/>
    <w:rsid w:val="34777E61"/>
    <w:rsid w:val="34B25525"/>
    <w:rsid w:val="34DA61B4"/>
    <w:rsid w:val="34F308B0"/>
    <w:rsid w:val="34F64325"/>
    <w:rsid w:val="35140040"/>
    <w:rsid w:val="35341633"/>
    <w:rsid w:val="3545783E"/>
    <w:rsid w:val="35497D44"/>
    <w:rsid w:val="354B1DD8"/>
    <w:rsid w:val="356258E5"/>
    <w:rsid w:val="35630F93"/>
    <w:rsid w:val="35CD630B"/>
    <w:rsid w:val="35D6582F"/>
    <w:rsid w:val="361B2CE4"/>
    <w:rsid w:val="364D3478"/>
    <w:rsid w:val="36573E07"/>
    <w:rsid w:val="36B46B9C"/>
    <w:rsid w:val="36D6108D"/>
    <w:rsid w:val="36E0172D"/>
    <w:rsid w:val="37054E22"/>
    <w:rsid w:val="3730691E"/>
    <w:rsid w:val="373322E7"/>
    <w:rsid w:val="377FC3B7"/>
    <w:rsid w:val="37AC43D8"/>
    <w:rsid w:val="37B64869"/>
    <w:rsid w:val="37C700A6"/>
    <w:rsid w:val="37CA41F0"/>
    <w:rsid w:val="37CB26BA"/>
    <w:rsid w:val="380D6333"/>
    <w:rsid w:val="381710C0"/>
    <w:rsid w:val="3835155A"/>
    <w:rsid w:val="38573FD4"/>
    <w:rsid w:val="385B6984"/>
    <w:rsid w:val="38620D86"/>
    <w:rsid w:val="387267D4"/>
    <w:rsid w:val="38970F1F"/>
    <w:rsid w:val="38BB05FF"/>
    <w:rsid w:val="38BB0913"/>
    <w:rsid w:val="38C458FC"/>
    <w:rsid w:val="38F3647C"/>
    <w:rsid w:val="39066D0D"/>
    <w:rsid w:val="39187FDD"/>
    <w:rsid w:val="391D07F7"/>
    <w:rsid w:val="392928C6"/>
    <w:rsid w:val="39820FA3"/>
    <w:rsid w:val="39D017D8"/>
    <w:rsid w:val="39DA3D19"/>
    <w:rsid w:val="39F80D42"/>
    <w:rsid w:val="3AA06E5E"/>
    <w:rsid w:val="3AD75A2E"/>
    <w:rsid w:val="3AF64493"/>
    <w:rsid w:val="3AFA7AC4"/>
    <w:rsid w:val="3B1071F3"/>
    <w:rsid w:val="3B1C2289"/>
    <w:rsid w:val="3B47337D"/>
    <w:rsid w:val="3BA00D1A"/>
    <w:rsid w:val="3BA743A8"/>
    <w:rsid w:val="3BAE575A"/>
    <w:rsid w:val="3BBD5521"/>
    <w:rsid w:val="3BCA5DDF"/>
    <w:rsid w:val="3BED3BAB"/>
    <w:rsid w:val="3C231859"/>
    <w:rsid w:val="3C526D1A"/>
    <w:rsid w:val="3C7B2842"/>
    <w:rsid w:val="3C8F4B65"/>
    <w:rsid w:val="3CCE4299"/>
    <w:rsid w:val="3CE30E1E"/>
    <w:rsid w:val="3CF12008"/>
    <w:rsid w:val="3D127C65"/>
    <w:rsid w:val="3D2E3D9C"/>
    <w:rsid w:val="3D64530F"/>
    <w:rsid w:val="3D730D72"/>
    <w:rsid w:val="3D896CC3"/>
    <w:rsid w:val="3DD52B7C"/>
    <w:rsid w:val="3E0177A7"/>
    <w:rsid w:val="3E266547"/>
    <w:rsid w:val="3E5500EC"/>
    <w:rsid w:val="3E87726F"/>
    <w:rsid w:val="3E9B4E11"/>
    <w:rsid w:val="3EE53B65"/>
    <w:rsid w:val="3F271176"/>
    <w:rsid w:val="3F3034A9"/>
    <w:rsid w:val="3F3C57D8"/>
    <w:rsid w:val="3F485D0B"/>
    <w:rsid w:val="3F5D194E"/>
    <w:rsid w:val="3F6063B5"/>
    <w:rsid w:val="3F9B5FD2"/>
    <w:rsid w:val="3F9F1B17"/>
    <w:rsid w:val="3FC2359C"/>
    <w:rsid w:val="3FD04217"/>
    <w:rsid w:val="3FFD6B66"/>
    <w:rsid w:val="404909D4"/>
    <w:rsid w:val="40675AEA"/>
    <w:rsid w:val="40960E79"/>
    <w:rsid w:val="40FA7754"/>
    <w:rsid w:val="41222F10"/>
    <w:rsid w:val="41456D0B"/>
    <w:rsid w:val="4168223F"/>
    <w:rsid w:val="418D31A8"/>
    <w:rsid w:val="418F7DB9"/>
    <w:rsid w:val="41A5769A"/>
    <w:rsid w:val="41BC5004"/>
    <w:rsid w:val="41CA0060"/>
    <w:rsid w:val="41DC3DBF"/>
    <w:rsid w:val="42122241"/>
    <w:rsid w:val="425B42A3"/>
    <w:rsid w:val="4267745F"/>
    <w:rsid w:val="428D425E"/>
    <w:rsid w:val="42B717A5"/>
    <w:rsid w:val="42BA0E65"/>
    <w:rsid w:val="42BD7546"/>
    <w:rsid w:val="42D53ED9"/>
    <w:rsid w:val="430E5F5B"/>
    <w:rsid w:val="43517B59"/>
    <w:rsid w:val="43615AD0"/>
    <w:rsid w:val="437B1D3C"/>
    <w:rsid w:val="438B4F68"/>
    <w:rsid w:val="43F32C44"/>
    <w:rsid w:val="43F42951"/>
    <w:rsid w:val="44056103"/>
    <w:rsid w:val="443D6FE4"/>
    <w:rsid w:val="44657254"/>
    <w:rsid w:val="44852115"/>
    <w:rsid w:val="44C33240"/>
    <w:rsid w:val="44E85C62"/>
    <w:rsid w:val="45346DB9"/>
    <w:rsid w:val="456E44A1"/>
    <w:rsid w:val="45736225"/>
    <w:rsid w:val="458020D5"/>
    <w:rsid w:val="45C21949"/>
    <w:rsid w:val="45C51229"/>
    <w:rsid w:val="45EA380F"/>
    <w:rsid w:val="46610DCA"/>
    <w:rsid w:val="46976A7C"/>
    <w:rsid w:val="46C26AF7"/>
    <w:rsid w:val="46E0134A"/>
    <w:rsid w:val="46E0710D"/>
    <w:rsid w:val="46E3697F"/>
    <w:rsid w:val="470E79A7"/>
    <w:rsid w:val="477D5644"/>
    <w:rsid w:val="478838B8"/>
    <w:rsid w:val="4795243E"/>
    <w:rsid w:val="47D3022E"/>
    <w:rsid w:val="47F90D77"/>
    <w:rsid w:val="4839632C"/>
    <w:rsid w:val="48535D6D"/>
    <w:rsid w:val="48786FA1"/>
    <w:rsid w:val="48EE1468"/>
    <w:rsid w:val="4914417A"/>
    <w:rsid w:val="49356232"/>
    <w:rsid w:val="49441291"/>
    <w:rsid w:val="496C1203"/>
    <w:rsid w:val="49727BDB"/>
    <w:rsid w:val="49E56619"/>
    <w:rsid w:val="4A0A26D2"/>
    <w:rsid w:val="4A29289A"/>
    <w:rsid w:val="4A3E3073"/>
    <w:rsid w:val="4A467202"/>
    <w:rsid w:val="4A7A0A15"/>
    <w:rsid w:val="4AAA4283"/>
    <w:rsid w:val="4AC63074"/>
    <w:rsid w:val="4AD560E3"/>
    <w:rsid w:val="4B2D23FE"/>
    <w:rsid w:val="4B504DB9"/>
    <w:rsid w:val="4B5A4F93"/>
    <w:rsid w:val="4B9A2A00"/>
    <w:rsid w:val="4BBB11C6"/>
    <w:rsid w:val="4C163ED9"/>
    <w:rsid w:val="4C5365B2"/>
    <w:rsid w:val="4C637F87"/>
    <w:rsid w:val="4C726D49"/>
    <w:rsid w:val="4C8247BA"/>
    <w:rsid w:val="4CC068A6"/>
    <w:rsid w:val="4CF2390C"/>
    <w:rsid w:val="4D0F1986"/>
    <w:rsid w:val="4D250EA8"/>
    <w:rsid w:val="4D65081F"/>
    <w:rsid w:val="4DB86C76"/>
    <w:rsid w:val="4DBD7A5B"/>
    <w:rsid w:val="4DE84AD8"/>
    <w:rsid w:val="4E053AC9"/>
    <w:rsid w:val="4E0A3E72"/>
    <w:rsid w:val="4E2C4123"/>
    <w:rsid w:val="4E436141"/>
    <w:rsid w:val="4E4C4207"/>
    <w:rsid w:val="4E533E16"/>
    <w:rsid w:val="4E7F7214"/>
    <w:rsid w:val="4E9E6376"/>
    <w:rsid w:val="4EB0773F"/>
    <w:rsid w:val="4F18431E"/>
    <w:rsid w:val="4F190F29"/>
    <w:rsid w:val="4F3A7286"/>
    <w:rsid w:val="4F473E7D"/>
    <w:rsid w:val="4F4D2573"/>
    <w:rsid w:val="4FF8187C"/>
    <w:rsid w:val="501F2486"/>
    <w:rsid w:val="50224539"/>
    <w:rsid w:val="50230393"/>
    <w:rsid w:val="503A271F"/>
    <w:rsid w:val="5071748F"/>
    <w:rsid w:val="507462E3"/>
    <w:rsid w:val="50A753EC"/>
    <w:rsid w:val="50E31B6F"/>
    <w:rsid w:val="5107796B"/>
    <w:rsid w:val="516C4C9A"/>
    <w:rsid w:val="518A7358"/>
    <w:rsid w:val="51AC0AF0"/>
    <w:rsid w:val="51AD21E0"/>
    <w:rsid w:val="51BF1F00"/>
    <w:rsid w:val="51BF7025"/>
    <w:rsid w:val="51C44439"/>
    <w:rsid w:val="51D17317"/>
    <w:rsid w:val="51E16780"/>
    <w:rsid w:val="521D4EF8"/>
    <w:rsid w:val="52412504"/>
    <w:rsid w:val="52815C2B"/>
    <w:rsid w:val="52A233D3"/>
    <w:rsid w:val="52B7716F"/>
    <w:rsid w:val="52BA3DC2"/>
    <w:rsid w:val="52E6334A"/>
    <w:rsid w:val="52F14418"/>
    <w:rsid w:val="52FE06E9"/>
    <w:rsid w:val="53115106"/>
    <w:rsid w:val="534404B3"/>
    <w:rsid w:val="535B24B7"/>
    <w:rsid w:val="536B30F1"/>
    <w:rsid w:val="538F119C"/>
    <w:rsid w:val="54503C6B"/>
    <w:rsid w:val="545874BB"/>
    <w:rsid w:val="54747B8D"/>
    <w:rsid w:val="547E5A01"/>
    <w:rsid w:val="54B44ECA"/>
    <w:rsid w:val="54D20681"/>
    <w:rsid w:val="55651BAC"/>
    <w:rsid w:val="55C12BFE"/>
    <w:rsid w:val="55DA1082"/>
    <w:rsid w:val="55F4749E"/>
    <w:rsid w:val="561305EE"/>
    <w:rsid w:val="56142398"/>
    <w:rsid w:val="563155A1"/>
    <w:rsid w:val="56C74908"/>
    <w:rsid w:val="56EF05B6"/>
    <w:rsid w:val="57517B92"/>
    <w:rsid w:val="576A7F01"/>
    <w:rsid w:val="580F4589"/>
    <w:rsid w:val="58440EAD"/>
    <w:rsid w:val="585D52C3"/>
    <w:rsid w:val="589841AC"/>
    <w:rsid w:val="59150550"/>
    <w:rsid w:val="59176CCF"/>
    <w:rsid w:val="5933195A"/>
    <w:rsid w:val="59A75542"/>
    <w:rsid w:val="59C9163E"/>
    <w:rsid w:val="5A29236C"/>
    <w:rsid w:val="5A2A3283"/>
    <w:rsid w:val="5A460A54"/>
    <w:rsid w:val="5A853B47"/>
    <w:rsid w:val="5ADF720B"/>
    <w:rsid w:val="5AFD11C6"/>
    <w:rsid w:val="5B073FF2"/>
    <w:rsid w:val="5B2458E1"/>
    <w:rsid w:val="5B4201CC"/>
    <w:rsid w:val="5BBE70C1"/>
    <w:rsid w:val="5BF06A2C"/>
    <w:rsid w:val="5C1205B2"/>
    <w:rsid w:val="5C3274EC"/>
    <w:rsid w:val="5C716B8D"/>
    <w:rsid w:val="5CA16269"/>
    <w:rsid w:val="5CC25334"/>
    <w:rsid w:val="5CE71B1E"/>
    <w:rsid w:val="5CF9524C"/>
    <w:rsid w:val="5D4648AF"/>
    <w:rsid w:val="5D544BC6"/>
    <w:rsid w:val="5D6A3254"/>
    <w:rsid w:val="5DA57A3D"/>
    <w:rsid w:val="5DA84F1A"/>
    <w:rsid w:val="5DB91782"/>
    <w:rsid w:val="5DBA5AF7"/>
    <w:rsid w:val="5DEB73AE"/>
    <w:rsid w:val="5DF83F69"/>
    <w:rsid w:val="5E0A7804"/>
    <w:rsid w:val="5E253F93"/>
    <w:rsid w:val="5E29294E"/>
    <w:rsid w:val="5E56739D"/>
    <w:rsid w:val="5E7229A5"/>
    <w:rsid w:val="5E7E95BF"/>
    <w:rsid w:val="5E906AAD"/>
    <w:rsid w:val="5E9E05D9"/>
    <w:rsid w:val="5EB7389F"/>
    <w:rsid w:val="5EB74653"/>
    <w:rsid w:val="5ECE5FDF"/>
    <w:rsid w:val="5F0E74C6"/>
    <w:rsid w:val="5F3550B3"/>
    <w:rsid w:val="5F4C1222"/>
    <w:rsid w:val="5F6579DD"/>
    <w:rsid w:val="5F671ECB"/>
    <w:rsid w:val="5F952FD8"/>
    <w:rsid w:val="600357A2"/>
    <w:rsid w:val="60165A14"/>
    <w:rsid w:val="60385FF7"/>
    <w:rsid w:val="60450F19"/>
    <w:rsid w:val="60790EC0"/>
    <w:rsid w:val="60E40B84"/>
    <w:rsid w:val="60E42EFC"/>
    <w:rsid w:val="60F0717A"/>
    <w:rsid w:val="611729C1"/>
    <w:rsid w:val="61463E7C"/>
    <w:rsid w:val="61682A8A"/>
    <w:rsid w:val="6184208A"/>
    <w:rsid w:val="62252F4A"/>
    <w:rsid w:val="6254545A"/>
    <w:rsid w:val="62550AF8"/>
    <w:rsid w:val="62584DAB"/>
    <w:rsid w:val="625D0ECE"/>
    <w:rsid w:val="62912ACE"/>
    <w:rsid w:val="62AB1F72"/>
    <w:rsid w:val="62EF4398"/>
    <w:rsid w:val="63294ED0"/>
    <w:rsid w:val="634747E3"/>
    <w:rsid w:val="63807109"/>
    <w:rsid w:val="638E5CCA"/>
    <w:rsid w:val="6399358F"/>
    <w:rsid w:val="63A7038A"/>
    <w:rsid w:val="63B71F3C"/>
    <w:rsid w:val="63DD2435"/>
    <w:rsid w:val="64292F23"/>
    <w:rsid w:val="64822052"/>
    <w:rsid w:val="656A04E9"/>
    <w:rsid w:val="657D0159"/>
    <w:rsid w:val="65876215"/>
    <w:rsid w:val="66274758"/>
    <w:rsid w:val="66476B53"/>
    <w:rsid w:val="668A51EA"/>
    <w:rsid w:val="66C876EF"/>
    <w:rsid w:val="66E1630F"/>
    <w:rsid w:val="670E3E49"/>
    <w:rsid w:val="671B3347"/>
    <w:rsid w:val="67726E78"/>
    <w:rsid w:val="67901010"/>
    <w:rsid w:val="679524BC"/>
    <w:rsid w:val="67BC36C8"/>
    <w:rsid w:val="67E132FA"/>
    <w:rsid w:val="67F16D4C"/>
    <w:rsid w:val="68063BFA"/>
    <w:rsid w:val="681F306F"/>
    <w:rsid w:val="6824745A"/>
    <w:rsid w:val="684276FB"/>
    <w:rsid w:val="685800F2"/>
    <w:rsid w:val="688D0575"/>
    <w:rsid w:val="689B700A"/>
    <w:rsid w:val="68F24605"/>
    <w:rsid w:val="68F6521C"/>
    <w:rsid w:val="69054339"/>
    <w:rsid w:val="692C66EB"/>
    <w:rsid w:val="693B2D18"/>
    <w:rsid w:val="693C237B"/>
    <w:rsid w:val="697F71AA"/>
    <w:rsid w:val="699E684C"/>
    <w:rsid w:val="69B257DB"/>
    <w:rsid w:val="6A1547CC"/>
    <w:rsid w:val="6A1A174D"/>
    <w:rsid w:val="6A4B0DC7"/>
    <w:rsid w:val="6A5815B9"/>
    <w:rsid w:val="6A6A6370"/>
    <w:rsid w:val="6A814397"/>
    <w:rsid w:val="6A9039CC"/>
    <w:rsid w:val="6B097507"/>
    <w:rsid w:val="6B331A3C"/>
    <w:rsid w:val="6B350211"/>
    <w:rsid w:val="6B3D05F4"/>
    <w:rsid w:val="6B4E6342"/>
    <w:rsid w:val="6B714BBD"/>
    <w:rsid w:val="6BDA0B66"/>
    <w:rsid w:val="6C0453DD"/>
    <w:rsid w:val="6C156F89"/>
    <w:rsid w:val="6C31526C"/>
    <w:rsid w:val="6C6E4143"/>
    <w:rsid w:val="6C835F4E"/>
    <w:rsid w:val="6C990521"/>
    <w:rsid w:val="6CB73B9C"/>
    <w:rsid w:val="6CC973B3"/>
    <w:rsid w:val="6CD429A0"/>
    <w:rsid w:val="6CDE6577"/>
    <w:rsid w:val="6CFF5543"/>
    <w:rsid w:val="6D232D00"/>
    <w:rsid w:val="6D251E9B"/>
    <w:rsid w:val="6D405251"/>
    <w:rsid w:val="6D527D69"/>
    <w:rsid w:val="6D723030"/>
    <w:rsid w:val="6DDB30F4"/>
    <w:rsid w:val="6E0645E7"/>
    <w:rsid w:val="6E4B2AED"/>
    <w:rsid w:val="6E58002C"/>
    <w:rsid w:val="6E672FB8"/>
    <w:rsid w:val="6E7A6286"/>
    <w:rsid w:val="6E8739CF"/>
    <w:rsid w:val="6E982AE0"/>
    <w:rsid w:val="6ECA58A5"/>
    <w:rsid w:val="6EE154E1"/>
    <w:rsid w:val="6F5021A6"/>
    <w:rsid w:val="6FCC19E8"/>
    <w:rsid w:val="6FE3646C"/>
    <w:rsid w:val="6FE56FC2"/>
    <w:rsid w:val="6FFF4606"/>
    <w:rsid w:val="70195C14"/>
    <w:rsid w:val="701A2277"/>
    <w:rsid w:val="70863C31"/>
    <w:rsid w:val="708D1447"/>
    <w:rsid w:val="70A76F48"/>
    <w:rsid w:val="70B56724"/>
    <w:rsid w:val="70D44234"/>
    <w:rsid w:val="70D86FAD"/>
    <w:rsid w:val="70E10DB4"/>
    <w:rsid w:val="710B3031"/>
    <w:rsid w:val="710B329D"/>
    <w:rsid w:val="71512F71"/>
    <w:rsid w:val="71617B42"/>
    <w:rsid w:val="71A57A7F"/>
    <w:rsid w:val="720F63AF"/>
    <w:rsid w:val="722D6D59"/>
    <w:rsid w:val="724A6305"/>
    <w:rsid w:val="72940D9C"/>
    <w:rsid w:val="72B53724"/>
    <w:rsid w:val="73081AEE"/>
    <w:rsid w:val="7329783F"/>
    <w:rsid w:val="732B1F02"/>
    <w:rsid w:val="7394443D"/>
    <w:rsid w:val="73A369BC"/>
    <w:rsid w:val="73A9196A"/>
    <w:rsid w:val="73C52DD8"/>
    <w:rsid w:val="742642F5"/>
    <w:rsid w:val="7473585B"/>
    <w:rsid w:val="74847742"/>
    <w:rsid w:val="754A7940"/>
    <w:rsid w:val="75805A87"/>
    <w:rsid w:val="75A332EB"/>
    <w:rsid w:val="75B32C34"/>
    <w:rsid w:val="75B82733"/>
    <w:rsid w:val="769D44FC"/>
    <w:rsid w:val="76B11640"/>
    <w:rsid w:val="76EA50F8"/>
    <w:rsid w:val="776764FB"/>
    <w:rsid w:val="77B14472"/>
    <w:rsid w:val="77B71A7B"/>
    <w:rsid w:val="77C15DBF"/>
    <w:rsid w:val="77C77873"/>
    <w:rsid w:val="77F37D7B"/>
    <w:rsid w:val="78056103"/>
    <w:rsid w:val="78326ED5"/>
    <w:rsid w:val="78496FD5"/>
    <w:rsid w:val="785F6AD5"/>
    <w:rsid w:val="7864675B"/>
    <w:rsid w:val="786F0DDF"/>
    <w:rsid w:val="786F3FAD"/>
    <w:rsid w:val="78776B71"/>
    <w:rsid w:val="7882775E"/>
    <w:rsid w:val="78925845"/>
    <w:rsid w:val="78A84CE1"/>
    <w:rsid w:val="78BE2903"/>
    <w:rsid w:val="78C872DA"/>
    <w:rsid w:val="790479B0"/>
    <w:rsid w:val="79082450"/>
    <w:rsid w:val="79523D1C"/>
    <w:rsid w:val="795600F2"/>
    <w:rsid w:val="79664BC0"/>
    <w:rsid w:val="79721334"/>
    <w:rsid w:val="799D670D"/>
    <w:rsid w:val="79B315E7"/>
    <w:rsid w:val="79E037C8"/>
    <w:rsid w:val="79EC483E"/>
    <w:rsid w:val="7A093047"/>
    <w:rsid w:val="7A1527A5"/>
    <w:rsid w:val="7A2C762A"/>
    <w:rsid w:val="7A611E3D"/>
    <w:rsid w:val="7A7205FB"/>
    <w:rsid w:val="7A8B4978"/>
    <w:rsid w:val="7A946A29"/>
    <w:rsid w:val="7A9E62BF"/>
    <w:rsid w:val="7AAB1B43"/>
    <w:rsid w:val="7ACB52B9"/>
    <w:rsid w:val="7B057B77"/>
    <w:rsid w:val="7B133695"/>
    <w:rsid w:val="7B3E63A7"/>
    <w:rsid w:val="7B5C2D88"/>
    <w:rsid w:val="7B690991"/>
    <w:rsid w:val="7BB91B26"/>
    <w:rsid w:val="7BD2D242"/>
    <w:rsid w:val="7BEC55A9"/>
    <w:rsid w:val="7BF37F4F"/>
    <w:rsid w:val="7C0A4D96"/>
    <w:rsid w:val="7C2B0491"/>
    <w:rsid w:val="7C465E0B"/>
    <w:rsid w:val="7C4F6097"/>
    <w:rsid w:val="7C934146"/>
    <w:rsid w:val="7CED0644"/>
    <w:rsid w:val="7CF974D7"/>
    <w:rsid w:val="7DD26209"/>
    <w:rsid w:val="7DE35F0A"/>
    <w:rsid w:val="7DEC39DA"/>
    <w:rsid w:val="7E3940E0"/>
    <w:rsid w:val="7E8458A8"/>
    <w:rsid w:val="7EC75AB6"/>
    <w:rsid w:val="7ECD10CE"/>
    <w:rsid w:val="7EE351E7"/>
    <w:rsid w:val="7EF6995F"/>
    <w:rsid w:val="7F1E5CFC"/>
    <w:rsid w:val="7F2D615B"/>
    <w:rsid w:val="7F320DCA"/>
    <w:rsid w:val="7F363046"/>
    <w:rsid w:val="7F6E54E3"/>
    <w:rsid w:val="7FD81DB8"/>
    <w:rsid w:val="7FDC0A24"/>
    <w:rsid w:val="B7B9C1C2"/>
    <w:rsid w:val="BFDF393C"/>
    <w:rsid w:val="CF7E408C"/>
    <w:rsid w:val="D6D64402"/>
    <w:rsid w:val="DEFF8A5A"/>
    <w:rsid w:val="F4E7C6B3"/>
    <w:rsid w:val="FF7B852D"/>
    <w:rsid w:val="FFF763C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nhideWhenUsed="0" w:uiPriority="1" w:semiHidden="0" w:name="heading 6"/>
    <w:lsdException w:qFormat="1" w:uiPriority="9" w:name="heading 7"/>
    <w:lsdException w:qFormat="1" w:uiPriority="9"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0" w:semiHidden="0"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qFormat="1" w:uiPriority="0" w:semiHidden="0" w:name="Body Text 3"/>
    <w:lsdException w:qFormat="1" w:uiPriority="99" w:name="Body Text Indent 2"/>
    <w:lsdException w:qFormat="1"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9"/>
    <w:qFormat/>
    <w:uiPriority w:val="9"/>
    <w:pPr>
      <w:keepNext/>
      <w:keepLines/>
      <w:spacing w:before="340" w:after="330" w:line="360" w:lineRule="auto"/>
      <w:outlineLvl w:val="0"/>
    </w:pPr>
    <w:rPr>
      <w:b/>
      <w:bCs/>
      <w:kern w:val="44"/>
      <w:sz w:val="44"/>
      <w:szCs w:val="44"/>
    </w:rPr>
  </w:style>
  <w:style w:type="paragraph" w:styleId="4">
    <w:name w:val="heading 2"/>
    <w:basedOn w:val="1"/>
    <w:next w:val="1"/>
    <w:link w:val="52"/>
    <w:unhideWhenUsed/>
    <w:qFormat/>
    <w:uiPriority w:val="9"/>
    <w:pPr>
      <w:keepNext/>
      <w:keepLines/>
      <w:spacing w:before="260" w:after="260"/>
      <w:outlineLvl w:val="1"/>
    </w:pPr>
    <w:rPr>
      <w:rFonts w:asciiTheme="majorHAnsi" w:hAnsiTheme="majorHAnsi" w:eastAsiaTheme="majorEastAsia" w:cstheme="majorBidi"/>
      <w:b/>
      <w:bCs/>
      <w:sz w:val="32"/>
      <w:szCs w:val="32"/>
    </w:rPr>
  </w:style>
  <w:style w:type="paragraph" w:styleId="5">
    <w:name w:val="heading 3"/>
    <w:basedOn w:val="1"/>
    <w:next w:val="1"/>
    <w:link w:val="110"/>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4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qFormat/>
    <w:uiPriority w:val="1"/>
    <w:pPr>
      <w:ind w:left="823"/>
      <w:outlineLvl w:val="4"/>
    </w:pPr>
    <w:rPr>
      <w:rFonts w:ascii="Microsoft JhengHei" w:hAnsi="Microsoft JhengHei" w:eastAsia="Microsoft JhengHei" w:cs="Microsoft JhengHei"/>
      <w:b/>
      <w:bCs/>
      <w:sz w:val="28"/>
      <w:szCs w:val="28"/>
      <w:lang w:val="zh-CN" w:bidi="zh-CN"/>
    </w:rPr>
  </w:style>
  <w:style w:type="paragraph" w:styleId="8">
    <w:name w:val="heading 6"/>
    <w:basedOn w:val="1"/>
    <w:next w:val="1"/>
    <w:qFormat/>
    <w:uiPriority w:val="1"/>
    <w:pPr>
      <w:ind w:left="400"/>
      <w:outlineLvl w:val="5"/>
    </w:pPr>
    <w:rPr>
      <w:rFonts w:ascii="宋体" w:hAnsi="宋体" w:eastAsia="宋体" w:cs="宋体"/>
      <w:sz w:val="28"/>
      <w:szCs w:val="28"/>
      <w:lang w:val="zh-CN" w:bidi="zh-CN"/>
    </w:rPr>
  </w:style>
  <w:style w:type="paragraph" w:styleId="9">
    <w:name w:val="heading 9"/>
    <w:basedOn w:val="1"/>
    <w:next w:val="1"/>
    <w:link w:val="96"/>
    <w:qFormat/>
    <w:uiPriority w:val="0"/>
    <w:pPr>
      <w:keepNext/>
      <w:keepLines/>
      <w:widowControl/>
      <w:tabs>
        <w:tab w:val="left" w:pos="1584"/>
      </w:tabs>
      <w:spacing w:before="240" w:after="64" w:line="319" w:lineRule="auto"/>
      <w:ind w:left="1584" w:hanging="1584"/>
      <w:jc w:val="left"/>
      <w:outlineLvl w:val="8"/>
    </w:pPr>
    <w:rPr>
      <w:rFonts w:ascii="Arial" w:hAnsi="Arial" w:eastAsia="黑体" w:cs="Times New Roman"/>
      <w:kern w:val="0"/>
      <w:szCs w:val="21"/>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62"/>
    <w:unhideWhenUsed/>
    <w:qFormat/>
    <w:uiPriority w:val="99"/>
    <w:pPr>
      <w:spacing w:after="120"/>
    </w:pPr>
  </w:style>
  <w:style w:type="paragraph" w:styleId="10">
    <w:name w:val="toc 7"/>
    <w:basedOn w:val="1"/>
    <w:next w:val="1"/>
    <w:unhideWhenUsed/>
    <w:qFormat/>
    <w:uiPriority w:val="39"/>
    <w:pPr>
      <w:ind w:left="2520" w:leftChars="1200"/>
    </w:pPr>
  </w:style>
  <w:style w:type="paragraph" w:styleId="11">
    <w:name w:val="Document Map"/>
    <w:basedOn w:val="1"/>
    <w:link w:val="68"/>
    <w:unhideWhenUsed/>
    <w:qFormat/>
    <w:uiPriority w:val="99"/>
    <w:rPr>
      <w:rFonts w:ascii="宋体" w:eastAsia="宋体"/>
      <w:sz w:val="18"/>
      <w:szCs w:val="18"/>
    </w:rPr>
  </w:style>
  <w:style w:type="paragraph" w:styleId="12">
    <w:name w:val="annotation text"/>
    <w:basedOn w:val="1"/>
    <w:link w:val="64"/>
    <w:unhideWhenUsed/>
    <w:qFormat/>
    <w:uiPriority w:val="99"/>
    <w:pPr>
      <w:jc w:val="left"/>
    </w:pPr>
    <w:rPr>
      <w:rFonts w:ascii="Times New Roman" w:hAnsi="Times New Roman" w:eastAsia="宋体" w:cs="Times New Roman"/>
      <w:szCs w:val="24"/>
    </w:rPr>
  </w:style>
  <w:style w:type="paragraph" w:styleId="13">
    <w:name w:val="Body Text 3"/>
    <w:basedOn w:val="1"/>
    <w:link w:val="59"/>
    <w:unhideWhenUsed/>
    <w:qFormat/>
    <w:uiPriority w:val="0"/>
    <w:pPr>
      <w:spacing w:after="120"/>
    </w:pPr>
    <w:rPr>
      <w:sz w:val="16"/>
      <w:szCs w:val="16"/>
    </w:rPr>
  </w:style>
  <w:style w:type="paragraph" w:styleId="14">
    <w:name w:val="Body Text Indent"/>
    <w:basedOn w:val="1"/>
    <w:next w:val="15"/>
    <w:unhideWhenUsed/>
    <w:qFormat/>
    <w:uiPriority w:val="99"/>
    <w:pPr>
      <w:spacing w:after="120"/>
      <w:ind w:left="420" w:leftChars="200"/>
    </w:pPr>
  </w:style>
  <w:style w:type="paragraph" w:styleId="15">
    <w:name w:val="envelope return"/>
    <w:basedOn w:val="1"/>
    <w:qFormat/>
    <w:uiPriority w:val="0"/>
    <w:pPr>
      <w:snapToGrid w:val="0"/>
    </w:pPr>
    <w:rPr>
      <w:rFonts w:ascii="Arial" w:hAnsi="Arial" w:cs="Arial"/>
    </w:rPr>
  </w:style>
  <w:style w:type="paragraph" w:styleId="16">
    <w:name w:val="toc 5"/>
    <w:basedOn w:val="1"/>
    <w:next w:val="1"/>
    <w:unhideWhenUsed/>
    <w:qFormat/>
    <w:uiPriority w:val="39"/>
    <w:pPr>
      <w:ind w:left="1680" w:leftChars="800"/>
    </w:pPr>
  </w:style>
  <w:style w:type="paragraph" w:styleId="17">
    <w:name w:val="toc 3"/>
    <w:basedOn w:val="1"/>
    <w:next w:val="1"/>
    <w:unhideWhenUsed/>
    <w:qFormat/>
    <w:uiPriority w:val="39"/>
    <w:pPr>
      <w:ind w:left="840" w:leftChars="400"/>
    </w:pPr>
  </w:style>
  <w:style w:type="paragraph" w:styleId="18">
    <w:name w:val="Plain Text"/>
    <w:basedOn w:val="1"/>
    <w:next w:val="1"/>
    <w:link w:val="58"/>
    <w:qFormat/>
    <w:uiPriority w:val="0"/>
    <w:pPr>
      <w:autoSpaceDE w:val="0"/>
      <w:autoSpaceDN w:val="0"/>
      <w:adjustRightInd w:val="0"/>
      <w:jc w:val="left"/>
    </w:pPr>
    <w:rPr>
      <w:rFonts w:ascii="宋体"/>
      <w:szCs w:val="24"/>
    </w:rPr>
  </w:style>
  <w:style w:type="paragraph" w:styleId="19">
    <w:name w:val="toc 8"/>
    <w:basedOn w:val="1"/>
    <w:next w:val="1"/>
    <w:unhideWhenUsed/>
    <w:qFormat/>
    <w:uiPriority w:val="39"/>
    <w:pPr>
      <w:ind w:left="2940" w:leftChars="1400"/>
    </w:pPr>
  </w:style>
  <w:style w:type="paragraph" w:styleId="20">
    <w:name w:val="Date"/>
    <w:basedOn w:val="1"/>
    <w:next w:val="1"/>
    <w:link w:val="55"/>
    <w:unhideWhenUsed/>
    <w:qFormat/>
    <w:uiPriority w:val="99"/>
    <w:pPr>
      <w:ind w:left="100" w:leftChars="2500"/>
    </w:pPr>
  </w:style>
  <w:style w:type="paragraph" w:styleId="21">
    <w:name w:val="Body Text Indent 2"/>
    <w:basedOn w:val="1"/>
    <w:link w:val="101"/>
    <w:semiHidden/>
    <w:unhideWhenUsed/>
    <w:qFormat/>
    <w:uiPriority w:val="99"/>
    <w:pPr>
      <w:spacing w:after="120" w:line="480" w:lineRule="auto"/>
      <w:ind w:left="420" w:leftChars="200"/>
    </w:pPr>
  </w:style>
  <w:style w:type="paragraph" w:styleId="22">
    <w:name w:val="Balloon Text"/>
    <w:basedOn w:val="1"/>
    <w:link w:val="54"/>
    <w:unhideWhenUsed/>
    <w:qFormat/>
    <w:uiPriority w:val="99"/>
    <w:rPr>
      <w:sz w:val="18"/>
      <w:szCs w:val="18"/>
    </w:rPr>
  </w:style>
  <w:style w:type="paragraph" w:styleId="23">
    <w:name w:val="footer"/>
    <w:basedOn w:val="1"/>
    <w:link w:val="57"/>
    <w:unhideWhenUsed/>
    <w:qFormat/>
    <w:uiPriority w:val="99"/>
    <w:pPr>
      <w:tabs>
        <w:tab w:val="center" w:pos="4153"/>
        <w:tab w:val="right" w:pos="8306"/>
      </w:tabs>
      <w:snapToGrid w:val="0"/>
      <w:jc w:val="left"/>
    </w:pPr>
    <w:rPr>
      <w:sz w:val="18"/>
      <w:szCs w:val="18"/>
    </w:rPr>
  </w:style>
  <w:style w:type="paragraph" w:styleId="24">
    <w:name w:val="header"/>
    <w:basedOn w:val="1"/>
    <w:link w:val="56"/>
    <w:unhideWhenUsed/>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unhideWhenUsed/>
    <w:qFormat/>
    <w:uiPriority w:val="39"/>
  </w:style>
  <w:style w:type="paragraph" w:styleId="26">
    <w:name w:val="toc 4"/>
    <w:basedOn w:val="1"/>
    <w:next w:val="1"/>
    <w:unhideWhenUsed/>
    <w:qFormat/>
    <w:uiPriority w:val="39"/>
    <w:pPr>
      <w:ind w:left="1260" w:leftChars="600"/>
    </w:pPr>
  </w:style>
  <w:style w:type="paragraph" w:styleId="27">
    <w:name w:val="toc 6"/>
    <w:basedOn w:val="1"/>
    <w:next w:val="1"/>
    <w:unhideWhenUsed/>
    <w:qFormat/>
    <w:uiPriority w:val="39"/>
    <w:pPr>
      <w:ind w:left="2100" w:leftChars="1000"/>
    </w:pPr>
  </w:style>
  <w:style w:type="paragraph" w:styleId="28">
    <w:name w:val="Body Text Indent 3"/>
    <w:basedOn w:val="1"/>
    <w:link w:val="97"/>
    <w:semiHidden/>
    <w:unhideWhenUsed/>
    <w:qFormat/>
    <w:uiPriority w:val="99"/>
    <w:pPr>
      <w:spacing w:after="120"/>
      <w:ind w:left="420" w:leftChars="200"/>
    </w:pPr>
    <w:rPr>
      <w:sz w:val="16"/>
      <w:szCs w:val="16"/>
    </w:rPr>
  </w:style>
  <w:style w:type="paragraph" w:styleId="29">
    <w:name w:val="toc 2"/>
    <w:basedOn w:val="1"/>
    <w:next w:val="1"/>
    <w:unhideWhenUsed/>
    <w:qFormat/>
    <w:uiPriority w:val="39"/>
    <w:pPr>
      <w:ind w:left="420" w:leftChars="200"/>
    </w:pPr>
  </w:style>
  <w:style w:type="paragraph" w:styleId="30">
    <w:name w:val="toc 9"/>
    <w:basedOn w:val="1"/>
    <w:next w:val="1"/>
    <w:unhideWhenUsed/>
    <w:qFormat/>
    <w:uiPriority w:val="39"/>
    <w:pPr>
      <w:ind w:left="3360" w:leftChars="1600"/>
    </w:pPr>
  </w:style>
  <w:style w:type="paragraph" w:styleId="31">
    <w:name w:val="Message Header"/>
    <w:basedOn w:val="1"/>
    <w:unhideWhenUsed/>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cs="Arial"/>
    </w:rPr>
  </w:style>
  <w:style w:type="paragraph" w:styleId="32">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33">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34">
    <w:name w:val="Title"/>
    <w:basedOn w:val="1"/>
    <w:next w:val="1"/>
    <w:link w:val="91"/>
    <w:qFormat/>
    <w:uiPriority w:val="0"/>
    <w:pPr>
      <w:spacing w:before="240" w:after="60"/>
      <w:jc w:val="center"/>
      <w:outlineLvl w:val="0"/>
    </w:pPr>
    <w:rPr>
      <w:rFonts w:ascii="Cambria" w:hAnsi="Cambria" w:eastAsia="宋体" w:cs="Times New Roman"/>
      <w:b/>
      <w:bCs/>
      <w:sz w:val="32"/>
      <w:szCs w:val="32"/>
    </w:rPr>
  </w:style>
  <w:style w:type="paragraph" w:styleId="35">
    <w:name w:val="annotation subject"/>
    <w:basedOn w:val="12"/>
    <w:next w:val="12"/>
    <w:link w:val="65"/>
    <w:unhideWhenUsed/>
    <w:qFormat/>
    <w:uiPriority w:val="99"/>
    <w:rPr>
      <w:b/>
      <w:bCs/>
    </w:rPr>
  </w:style>
  <w:style w:type="paragraph" w:styleId="36">
    <w:name w:val="Body Text First Indent"/>
    <w:basedOn w:val="2"/>
    <w:qFormat/>
    <w:uiPriority w:val="0"/>
    <w:pPr>
      <w:ind w:firstLine="420" w:firstLineChars="100"/>
    </w:pPr>
    <w:rPr>
      <w:szCs w:val="24"/>
    </w:rPr>
  </w:style>
  <w:style w:type="paragraph" w:styleId="37">
    <w:name w:val="Body Text First Indent 2"/>
    <w:basedOn w:val="14"/>
    <w:next w:val="36"/>
    <w:qFormat/>
    <w:uiPriority w:val="99"/>
    <w:pPr>
      <w:ind w:firstLine="420" w:firstLineChars="200"/>
    </w:pPr>
  </w:style>
  <w:style w:type="table" w:styleId="39">
    <w:name w:val="Table Grid"/>
    <w:basedOn w:val="3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41">
    <w:name w:val="Strong"/>
    <w:qFormat/>
    <w:uiPriority w:val="0"/>
    <w:rPr>
      <w:b/>
      <w:bCs/>
    </w:rPr>
  </w:style>
  <w:style w:type="character" w:styleId="42">
    <w:name w:val="page number"/>
    <w:basedOn w:val="40"/>
    <w:qFormat/>
    <w:uiPriority w:val="99"/>
  </w:style>
  <w:style w:type="character" w:styleId="43">
    <w:name w:val="Emphasis"/>
    <w:basedOn w:val="40"/>
    <w:qFormat/>
    <w:uiPriority w:val="20"/>
    <w:rPr>
      <w:i/>
    </w:rPr>
  </w:style>
  <w:style w:type="character" w:styleId="44">
    <w:name w:val="Hyperlink"/>
    <w:basedOn w:val="40"/>
    <w:unhideWhenUsed/>
    <w:qFormat/>
    <w:uiPriority w:val="99"/>
    <w:rPr>
      <w:color w:val="0563C1" w:themeColor="hyperlink"/>
      <w:u w:val="single"/>
      <w14:textFill>
        <w14:solidFill>
          <w14:schemeClr w14:val="hlink"/>
        </w14:solidFill>
      </w14:textFill>
    </w:rPr>
  </w:style>
  <w:style w:type="character" w:styleId="45">
    <w:name w:val="annotation reference"/>
    <w:basedOn w:val="40"/>
    <w:unhideWhenUsed/>
    <w:qFormat/>
    <w:uiPriority w:val="99"/>
    <w:rPr>
      <w:sz w:val="21"/>
      <w:szCs w:val="21"/>
    </w:rPr>
  </w:style>
  <w:style w:type="paragraph" w:customStyle="1" w:styleId="46">
    <w:name w:val="Heading1"/>
    <w:basedOn w:val="1"/>
    <w:next w:val="1"/>
    <w:qFormat/>
    <w:uiPriority w:val="0"/>
    <w:pPr>
      <w:keepNext/>
      <w:widowControl/>
      <w:jc w:val="left"/>
      <w:textAlignment w:val="baseline"/>
    </w:pPr>
    <w:rPr>
      <w:rFonts w:eastAsia="黑体"/>
      <w:b/>
      <w:kern w:val="0"/>
      <w:sz w:val="20"/>
      <w:szCs w:val="20"/>
      <w:lang w:val="en-GB"/>
    </w:rPr>
  </w:style>
  <w:style w:type="character" w:customStyle="1" w:styleId="47">
    <w:name w:val="标题 3 字符"/>
    <w:basedOn w:val="40"/>
    <w:link w:val="5"/>
    <w:qFormat/>
    <w:uiPriority w:val="9"/>
    <w:rPr>
      <w:b/>
      <w:bCs/>
      <w:sz w:val="32"/>
      <w:szCs w:val="32"/>
    </w:rPr>
  </w:style>
  <w:style w:type="character" w:customStyle="1" w:styleId="48">
    <w:name w:val="标题 4 Char"/>
    <w:basedOn w:val="40"/>
    <w:link w:val="6"/>
    <w:qFormat/>
    <w:uiPriority w:val="9"/>
    <w:rPr>
      <w:rFonts w:asciiTheme="majorHAnsi" w:hAnsiTheme="majorHAnsi" w:eastAsiaTheme="majorEastAsia" w:cstheme="majorBidi"/>
      <w:b/>
      <w:bCs/>
      <w:sz w:val="28"/>
      <w:szCs w:val="28"/>
    </w:rPr>
  </w:style>
  <w:style w:type="character" w:customStyle="1" w:styleId="49">
    <w:name w:val="标题 1 Char"/>
    <w:basedOn w:val="40"/>
    <w:link w:val="3"/>
    <w:qFormat/>
    <w:uiPriority w:val="9"/>
    <w:rPr>
      <w:rFonts w:asciiTheme="minorHAnsi" w:hAnsiTheme="minorHAnsi" w:eastAsiaTheme="minorEastAsia"/>
      <w:b/>
      <w:bCs/>
      <w:kern w:val="44"/>
      <w:sz w:val="44"/>
      <w:szCs w:val="44"/>
    </w:rPr>
  </w:style>
  <w:style w:type="paragraph" w:customStyle="1" w:styleId="50">
    <w:name w:val="样式 标题 1 + 四号 段前: 0 磅 段后: 0 磅 行距: 1.5 倍行距"/>
    <w:basedOn w:val="51"/>
    <w:next w:val="1"/>
    <w:qFormat/>
    <w:uiPriority w:val="0"/>
    <w:pPr>
      <w:adjustRightInd w:val="0"/>
      <w:snapToGrid w:val="0"/>
      <w:spacing w:line="360" w:lineRule="auto"/>
      <w:ind w:firstLine="200" w:firstLineChars="200"/>
      <w:jc w:val="center"/>
    </w:pPr>
    <w:rPr>
      <w:sz w:val="28"/>
      <w:szCs w:val="20"/>
    </w:rPr>
  </w:style>
  <w:style w:type="paragraph" w:customStyle="1" w:styleId="51">
    <w:name w:val="1正文"/>
    <w:basedOn w:val="1"/>
    <w:qFormat/>
    <w:uiPriority w:val="0"/>
    <w:pPr>
      <w:spacing w:line="500" w:lineRule="exact"/>
      <w:ind w:firstLine="588" w:firstLineChars="196"/>
    </w:pPr>
    <w:rPr>
      <w:rFonts w:eastAsia="楷体_GB2312"/>
      <w:sz w:val="30"/>
      <w:szCs w:val="30"/>
    </w:rPr>
  </w:style>
  <w:style w:type="character" w:customStyle="1" w:styleId="52">
    <w:name w:val="标题 2 Char"/>
    <w:basedOn w:val="40"/>
    <w:link w:val="4"/>
    <w:qFormat/>
    <w:uiPriority w:val="9"/>
    <w:rPr>
      <w:rFonts w:asciiTheme="majorHAnsi" w:hAnsiTheme="majorHAnsi" w:eastAsiaTheme="majorEastAsia" w:cstheme="majorBidi"/>
      <w:b/>
      <w:bCs/>
      <w:sz w:val="32"/>
      <w:szCs w:val="32"/>
    </w:rPr>
  </w:style>
  <w:style w:type="paragraph" w:customStyle="1" w:styleId="53">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54">
    <w:name w:val="批注框文本 Char"/>
    <w:basedOn w:val="40"/>
    <w:link w:val="22"/>
    <w:semiHidden/>
    <w:qFormat/>
    <w:uiPriority w:val="99"/>
    <w:rPr>
      <w:sz w:val="18"/>
      <w:szCs w:val="18"/>
    </w:rPr>
  </w:style>
  <w:style w:type="character" w:customStyle="1" w:styleId="55">
    <w:name w:val="日期 Char"/>
    <w:basedOn w:val="40"/>
    <w:link w:val="20"/>
    <w:semiHidden/>
    <w:qFormat/>
    <w:uiPriority w:val="99"/>
  </w:style>
  <w:style w:type="character" w:customStyle="1" w:styleId="56">
    <w:name w:val="页眉 Char"/>
    <w:basedOn w:val="40"/>
    <w:link w:val="24"/>
    <w:qFormat/>
    <w:uiPriority w:val="99"/>
    <w:rPr>
      <w:sz w:val="18"/>
      <w:szCs w:val="18"/>
    </w:rPr>
  </w:style>
  <w:style w:type="character" w:customStyle="1" w:styleId="57">
    <w:name w:val="页脚 Char"/>
    <w:basedOn w:val="40"/>
    <w:link w:val="23"/>
    <w:qFormat/>
    <w:uiPriority w:val="99"/>
    <w:rPr>
      <w:sz w:val="18"/>
      <w:szCs w:val="18"/>
    </w:rPr>
  </w:style>
  <w:style w:type="character" w:customStyle="1" w:styleId="58">
    <w:name w:val="纯文本 Char1"/>
    <w:link w:val="18"/>
    <w:qFormat/>
    <w:uiPriority w:val="0"/>
    <w:rPr>
      <w:rFonts w:ascii="宋体"/>
      <w:szCs w:val="24"/>
    </w:rPr>
  </w:style>
  <w:style w:type="character" w:customStyle="1" w:styleId="59">
    <w:name w:val="正文文本 3 Char1"/>
    <w:link w:val="13"/>
    <w:qFormat/>
    <w:uiPriority w:val="0"/>
    <w:rPr>
      <w:sz w:val="16"/>
      <w:szCs w:val="16"/>
    </w:rPr>
  </w:style>
  <w:style w:type="character" w:customStyle="1" w:styleId="60">
    <w:name w:val="纯文本 Char"/>
    <w:basedOn w:val="40"/>
    <w:qFormat/>
    <w:uiPriority w:val="0"/>
    <w:rPr>
      <w:rFonts w:ascii="宋体" w:hAnsi="Courier New" w:eastAsia="宋体" w:cs="Courier New"/>
      <w:szCs w:val="21"/>
    </w:rPr>
  </w:style>
  <w:style w:type="character" w:customStyle="1" w:styleId="61">
    <w:name w:val="正文文本 3 Char"/>
    <w:basedOn w:val="40"/>
    <w:qFormat/>
    <w:uiPriority w:val="0"/>
    <w:rPr>
      <w:sz w:val="16"/>
      <w:szCs w:val="16"/>
    </w:rPr>
  </w:style>
  <w:style w:type="character" w:customStyle="1" w:styleId="62">
    <w:name w:val="正文文本 Char"/>
    <w:basedOn w:val="40"/>
    <w:link w:val="2"/>
    <w:semiHidden/>
    <w:qFormat/>
    <w:uiPriority w:val="99"/>
  </w:style>
  <w:style w:type="paragraph" w:customStyle="1" w:styleId="63">
    <w:name w:val="正文1"/>
    <w:qFormat/>
    <w:uiPriority w:val="0"/>
    <w:pPr>
      <w:widowControl w:val="0"/>
      <w:jc w:val="both"/>
    </w:pPr>
    <w:rPr>
      <w:rFonts w:ascii="Times New Roman" w:hAnsi="Times New Roman" w:eastAsia="宋体" w:cs="Times New Roman"/>
      <w:kern w:val="2"/>
      <w:sz w:val="18"/>
      <w:szCs w:val="24"/>
      <w:lang w:val="en-US" w:eastAsia="zh-CN" w:bidi="ar-SA"/>
    </w:rPr>
  </w:style>
  <w:style w:type="character" w:customStyle="1" w:styleId="64">
    <w:name w:val="批注文字 Char"/>
    <w:basedOn w:val="40"/>
    <w:link w:val="12"/>
    <w:semiHidden/>
    <w:qFormat/>
    <w:uiPriority w:val="99"/>
    <w:rPr>
      <w:rFonts w:ascii="Times New Roman" w:hAnsi="Times New Roman" w:eastAsia="宋体" w:cs="Times New Roman"/>
      <w:szCs w:val="24"/>
    </w:rPr>
  </w:style>
  <w:style w:type="character" w:customStyle="1" w:styleId="65">
    <w:name w:val="批注主题 Char"/>
    <w:basedOn w:val="64"/>
    <w:link w:val="35"/>
    <w:semiHidden/>
    <w:qFormat/>
    <w:uiPriority w:val="99"/>
    <w:rPr>
      <w:rFonts w:ascii="Times New Roman" w:hAnsi="Times New Roman" w:eastAsia="宋体" w:cs="Times New Roman"/>
      <w:b/>
      <w:bCs/>
      <w:szCs w:val="24"/>
    </w:rPr>
  </w:style>
  <w:style w:type="paragraph" w:customStyle="1" w:styleId="66">
    <w:name w:val="Table Paragraph"/>
    <w:basedOn w:val="1"/>
    <w:qFormat/>
    <w:uiPriority w:val="0"/>
    <w:pPr>
      <w:autoSpaceDE w:val="0"/>
      <w:autoSpaceDN w:val="0"/>
      <w:spacing w:line="300" w:lineRule="auto"/>
      <w:jc w:val="left"/>
    </w:pPr>
    <w:rPr>
      <w:rFonts w:ascii="宋体" w:hAnsi="宋体" w:eastAsia="宋体" w:cs="宋体"/>
      <w:kern w:val="0"/>
      <w:lang w:eastAsia="en-US"/>
    </w:rPr>
  </w:style>
  <w:style w:type="paragraph" w:customStyle="1" w:styleId="67">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68">
    <w:name w:val="文档结构图 Char"/>
    <w:basedOn w:val="40"/>
    <w:link w:val="11"/>
    <w:semiHidden/>
    <w:qFormat/>
    <w:uiPriority w:val="99"/>
    <w:rPr>
      <w:rFonts w:ascii="宋体" w:eastAsia="宋体"/>
      <w:sz w:val="18"/>
      <w:szCs w:val="18"/>
    </w:rPr>
  </w:style>
  <w:style w:type="paragraph" w:customStyle="1" w:styleId="69">
    <w:name w:val="标题1"/>
    <w:basedOn w:val="1"/>
    <w:next w:val="1"/>
    <w:qFormat/>
    <w:uiPriority w:val="0"/>
    <w:pPr>
      <w:spacing w:before="240" w:after="60"/>
      <w:jc w:val="center"/>
      <w:outlineLvl w:val="0"/>
    </w:pPr>
    <w:rPr>
      <w:rFonts w:ascii="Cambria" w:hAnsi="Cambria"/>
      <w:b/>
      <w:bCs/>
      <w:sz w:val="32"/>
      <w:szCs w:val="32"/>
    </w:rPr>
  </w:style>
  <w:style w:type="paragraph" w:customStyle="1" w:styleId="70">
    <w:name w:val="WPSOffice手动目录 1"/>
    <w:qFormat/>
    <w:uiPriority w:val="0"/>
    <w:rPr>
      <w:rFonts w:ascii="Times New Roman" w:hAnsi="Times New Roman" w:eastAsia="宋体" w:cs="Times New Roman"/>
      <w:lang w:val="en-US" w:eastAsia="zh-CN" w:bidi="ar-SA"/>
    </w:rPr>
  </w:style>
  <w:style w:type="paragraph" w:customStyle="1" w:styleId="7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73">
    <w:name w:val="列出段落1"/>
    <w:basedOn w:val="1"/>
    <w:qFormat/>
    <w:uiPriority w:val="34"/>
    <w:pPr>
      <w:ind w:firstLine="420" w:firstLineChars="200"/>
    </w:pPr>
  </w:style>
  <w:style w:type="paragraph" w:customStyle="1" w:styleId="74">
    <w:name w:val="09正文_wh"/>
    <w:qFormat/>
    <w:uiPriority w:val="0"/>
    <w:pPr>
      <w:spacing w:line="300" w:lineRule="auto"/>
      <w:ind w:firstLine="200" w:firstLineChars="200"/>
      <w:jc w:val="both"/>
    </w:pPr>
    <w:rPr>
      <w:rFonts w:ascii="Calibri" w:hAnsi="Calibri" w:eastAsia="宋体" w:cs="Times New Roman"/>
      <w:sz w:val="28"/>
      <w:szCs w:val="28"/>
      <w:lang w:val="en-US" w:eastAsia="zh-CN" w:bidi="ar-SA"/>
    </w:rPr>
  </w:style>
  <w:style w:type="paragraph" w:customStyle="1" w:styleId="75">
    <w:name w:val="纯文本1"/>
    <w:basedOn w:val="1"/>
    <w:next w:val="1"/>
    <w:qFormat/>
    <w:uiPriority w:val="0"/>
    <w:pPr>
      <w:autoSpaceDE w:val="0"/>
      <w:autoSpaceDN w:val="0"/>
      <w:adjustRightInd w:val="0"/>
      <w:jc w:val="left"/>
    </w:pPr>
    <w:rPr>
      <w:rFonts w:ascii="宋体"/>
      <w:szCs w:val="24"/>
    </w:rPr>
  </w:style>
  <w:style w:type="paragraph" w:customStyle="1" w:styleId="76">
    <w:name w:val="子款"/>
    <w:basedOn w:val="1"/>
    <w:qFormat/>
    <w:uiPriority w:val="0"/>
    <w:pPr>
      <w:numPr>
        <w:ilvl w:val="0"/>
        <w:numId w:val="1"/>
      </w:numPr>
      <w:tabs>
        <w:tab w:val="left" w:pos="720"/>
      </w:tabs>
      <w:spacing w:line="300" w:lineRule="exact"/>
    </w:pPr>
    <w:rPr>
      <w:rFonts w:ascii="Arial" w:hAnsi="Arial" w:eastAsia="宋体" w:cs="Times New Roman"/>
      <w:szCs w:val="20"/>
    </w:rPr>
  </w:style>
  <w:style w:type="character" w:customStyle="1" w:styleId="77">
    <w:name w:val="页脚 字符2"/>
    <w:qFormat/>
    <w:uiPriority w:val="0"/>
    <w:rPr>
      <w:kern w:val="2"/>
      <w:sz w:val="18"/>
      <w:szCs w:val="18"/>
    </w:rPr>
  </w:style>
  <w:style w:type="character" w:customStyle="1" w:styleId="78">
    <w:name w:val="未处理的提及1"/>
    <w:basedOn w:val="40"/>
    <w:unhideWhenUsed/>
    <w:qFormat/>
    <w:uiPriority w:val="99"/>
    <w:rPr>
      <w:color w:val="605E5C"/>
      <w:shd w:val="clear" w:color="auto" w:fill="E1DFDD"/>
    </w:rPr>
  </w:style>
  <w:style w:type="character" w:customStyle="1" w:styleId="79">
    <w:name w:val="font141"/>
    <w:basedOn w:val="40"/>
    <w:qFormat/>
    <w:uiPriority w:val="0"/>
    <w:rPr>
      <w:rFonts w:hint="eastAsia" w:ascii="宋体" w:hAnsi="宋体" w:eastAsia="宋体" w:cs="宋体"/>
      <w:color w:val="000000"/>
      <w:sz w:val="20"/>
      <w:szCs w:val="20"/>
      <w:u w:val="none"/>
    </w:rPr>
  </w:style>
  <w:style w:type="character" w:customStyle="1" w:styleId="80">
    <w:name w:val="font151"/>
    <w:basedOn w:val="40"/>
    <w:qFormat/>
    <w:uiPriority w:val="0"/>
    <w:rPr>
      <w:rFonts w:hint="default" w:ascii="Times New Roman" w:hAnsi="Times New Roman" w:cs="Times New Roman"/>
      <w:color w:val="000000"/>
      <w:sz w:val="20"/>
      <w:szCs w:val="20"/>
      <w:u w:val="none"/>
    </w:rPr>
  </w:style>
  <w:style w:type="character" w:customStyle="1" w:styleId="81">
    <w:name w:val="font81"/>
    <w:basedOn w:val="40"/>
    <w:qFormat/>
    <w:uiPriority w:val="0"/>
    <w:rPr>
      <w:rFonts w:hint="default" w:ascii="Times New Roman" w:hAnsi="Times New Roman" w:cs="Times New Roman"/>
      <w:color w:val="000000"/>
      <w:sz w:val="20"/>
      <w:szCs w:val="20"/>
      <w:u w:val="none"/>
    </w:rPr>
  </w:style>
  <w:style w:type="character" w:customStyle="1" w:styleId="82">
    <w:name w:val="font71"/>
    <w:basedOn w:val="40"/>
    <w:qFormat/>
    <w:uiPriority w:val="0"/>
    <w:rPr>
      <w:rFonts w:hint="eastAsia" w:ascii="宋体" w:hAnsi="宋体" w:eastAsia="宋体" w:cs="宋体"/>
      <w:color w:val="000000"/>
      <w:sz w:val="20"/>
      <w:szCs w:val="20"/>
      <w:u w:val="none"/>
    </w:rPr>
  </w:style>
  <w:style w:type="character" w:customStyle="1" w:styleId="83">
    <w:name w:val="font131"/>
    <w:basedOn w:val="40"/>
    <w:qFormat/>
    <w:uiPriority w:val="0"/>
    <w:rPr>
      <w:rFonts w:hint="default" w:ascii="Times New Roman" w:hAnsi="Times New Roman" w:cs="Times New Roman"/>
      <w:color w:val="000000"/>
      <w:sz w:val="20"/>
      <w:szCs w:val="20"/>
      <w:u w:val="none"/>
    </w:rPr>
  </w:style>
  <w:style w:type="character" w:customStyle="1" w:styleId="84">
    <w:name w:val="font41"/>
    <w:basedOn w:val="40"/>
    <w:qFormat/>
    <w:uiPriority w:val="0"/>
    <w:rPr>
      <w:rFonts w:hint="eastAsia" w:ascii="宋体" w:hAnsi="宋体" w:eastAsia="宋体" w:cs="宋体"/>
      <w:color w:val="000000"/>
      <w:sz w:val="20"/>
      <w:szCs w:val="20"/>
      <w:u w:val="none"/>
    </w:rPr>
  </w:style>
  <w:style w:type="character" w:customStyle="1" w:styleId="85">
    <w:name w:val="font31"/>
    <w:basedOn w:val="40"/>
    <w:qFormat/>
    <w:uiPriority w:val="0"/>
    <w:rPr>
      <w:rFonts w:hint="eastAsia" w:ascii="宋体" w:hAnsi="宋体" w:eastAsia="宋体" w:cs="宋体"/>
      <w:color w:val="000000"/>
      <w:sz w:val="20"/>
      <w:szCs w:val="20"/>
      <w:u w:val="none"/>
    </w:rPr>
  </w:style>
  <w:style w:type="character" w:customStyle="1" w:styleId="86">
    <w:name w:val="font21"/>
    <w:basedOn w:val="40"/>
    <w:qFormat/>
    <w:uiPriority w:val="0"/>
    <w:rPr>
      <w:rFonts w:hint="default" w:ascii="Times New Roman" w:hAnsi="Times New Roman" w:cs="Times New Roman"/>
      <w:color w:val="000000"/>
      <w:sz w:val="20"/>
      <w:szCs w:val="20"/>
      <w:u w:val="none"/>
    </w:rPr>
  </w:style>
  <w:style w:type="character" w:customStyle="1" w:styleId="87">
    <w:name w:val="font91"/>
    <w:basedOn w:val="40"/>
    <w:qFormat/>
    <w:uiPriority w:val="0"/>
    <w:rPr>
      <w:rFonts w:hint="eastAsia" w:ascii="宋体" w:hAnsi="宋体" w:eastAsia="宋体" w:cs="宋体"/>
      <w:color w:val="000000"/>
      <w:sz w:val="20"/>
      <w:szCs w:val="20"/>
      <w:u w:val="none"/>
    </w:rPr>
  </w:style>
  <w:style w:type="character" w:customStyle="1" w:styleId="88">
    <w:name w:val="font11"/>
    <w:basedOn w:val="40"/>
    <w:qFormat/>
    <w:uiPriority w:val="0"/>
    <w:rPr>
      <w:rFonts w:hint="default" w:ascii="Times New Roman" w:hAnsi="Times New Roman" w:cs="Times New Roman"/>
      <w:color w:val="000000"/>
      <w:sz w:val="20"/>
      <w:szCs w:val="20"/>
      <w:u w:val="none"/>
    </w:rPr>
  </w:style>
  <w:style w:type="character" w:customStyle="1" w:styleId="89">
    <w:name w:val="K&amp;W Normal Char"/>
    <w:link w:val="90"/>
    <w:qFormat/>
    <w:uiPriority w:val="0"/>
    <w:rPr>
      <w:rFonts w:ascii="Arial" w:hAnsi="Arial" w:eastAsia="楷体_GB2312"/>
      <w:color w:val="000000"/>
      <w:sz w:val="24"/>
      <w:lang w:eastAsia="en-US"/>
    </w:rPr>
  </w:style>
  <w:style w:type="paragraph" w:customStyle="1" w:styleId="90">
    <w:name w:val="K&amp;W Normal"/>
    <w:link w:val="89"/>
    <w:qFormat/>
    <w:uiPriority w:val="0"/>
    <w:pPr>
      <w:spacing w:after="360" w:line="320" w:lineRule="atLeast"/>
      <w:jc w:val="both"/>
    </w:pPr>
    <w:rPr>
      <w:rFonts w:ascii="Arial" w:hAnsi="Arial" w:eastAsia="楷体_GB2312" w:cs="Times New Roman"/>
      <w:color w:val="000000"/>
      <w:sz w:val="24"/>
      <w:lang w:val="en-US" w:eastAsia="en-US" w:bidi="ar-SA"/>
    </w:rPr>
  </w:style>
  <w:style w:type="character" w:customStyle="1" w:styleId="91">
    <w:name w:val="标题 Char"/>
    <w:basedOn w:val="40"/>
    <w:link w:val="34"/>
    <w:qFormat/>
    <w:uiPriority w:val="0"/>
    <w:rPr>
      <w:rFonts w:ascii="Cambria" w:hAnsi="Cambria"/>
      <w:b/>
      <w:bCs/>
      <w:kern w:val="2"/>
      <w:sz w:val="32"/>
      <w:szCs w:val="32"/>
    </w:rPr>
  </w:style>
  <w:style w:type="paragraph" w:customStyle="1" w:styleId="92">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styleId="93">
    <w:name w:val="List Paragraph"/>
    <w:basedOn w:val="1"/>
    <w:link w:val="103"/>
    <w:qFormat/>
    <w:uiPriority w:val="0"/>
    <w:pPr>
      <w:ind w:firstLine="420" w:firstLineChars="200"/>
    </w:pPr>
  </w:style>
  <w:style w:type="paragraph" w:customStyle="1" w:styleId="94">
    <w:name w:val="列表段落1"/>
    <w:qFormat/>
    <w:uiPriority w:val="0"/>
    <w:pPr>
      <w:widowControl w:val="0"/>
      <w:ind w:firstLine="420" w:firstLineChars="200"/>
      <w:jc w:val="both"/>
    </w:pPr>
    <w:rPr>
      <w:rFonts w:hint="eastAsia" w:ascii="仿宋" w:hAnsi="仿宋" w:eastAsia="仿宋" w:cs="Times New Roman"/>
      <w:kern w:val="2"/>
      <w:sz w:val="32"/>
      <w:szCs w:val="32"/>
      <w:lang w:val="en-US" w:eastAsia="zh-CN" w:bidi="ar-SA"/>
    </w:rPr>
  </w:style>
  <w:style w:type="paragraph" w:customStyle="1" w:styleId="95">
    <w:name w:val="表格专用"/>
    <w:qFormat/>
    <w:uiPriority w:val="0"/>
    <w:pPr>
      <w:widowControl w:val="0"/>
      <w:ind w:firstLine="200" w:firstLineChars="200"/>
      <w:jc w:val="both"/>
    </w:pPr>
    <w:rPr>
      <w:rFonts w:hint="eastAsia" w:ascii="仿宋" w:hAnsi="仿宋" w:eastAsia="仿宋" w:cs="Times New Roman"/>
      <w:kern w:val="2"/>
      <w:sz w:val="32"/>
      <w:szCs w:val="32"/>
      <w:lang w:val="en-US" w:eastAsia="zh-CN" w:bidi="ar-SA"/>
    </w:rPr>
  </w:style>
  <w:style w:type="character" w:customStyle="1" w:styleId="96">
    <w:name w:val="标题 9 Char"/>
    <w:basedOn w:val="40"/>
    <w:link w:val="9"/>
    <w:qFormat/>
    <w:uiPriority w:val="0"/>
    <w:rPr>
      <w:rFonts w:ascii="Arial" w:hAnsi="Arial" w:eastAsia="黑体"/>
      <w:sz w:val="21"/>
      <w:szCs w:val="21"/>
    </w:rPr>
  </w:style>
  <w:style w:type="character" w:customStyle="1" w:styleId="97">
    <w:name w:val="正文文本缩进 3 Char"/>
    <w:basedOn w:val="40"/>
    <w:link w:val="28"/>
    <w:semiHidden/>
    <w:qFormat/>
    <w:uiPriority w:val="99"/>
    <w:rPr>
      <w:rFonts w:asciiTheme="minorHAnsi" w:hAnsiTheme="minorHAnsi" w:eastAsiaTheme="minorEastAsia" w:cstheme="minorBidi"/>
      <w:kern w:val="2"/>
      <w:sz w:val="16"/>
      <w:szCs w:val="16"/>
    </w:rPr>
  </w:style>
  <w:style w:type="paragraph" w:customStyle="1" w:styleId="98">
    <w:name w:val="段落文"/>
    <w:basedOn w:val="1"/>
    <w:qFormat/>
    <w:uiPriority w:val="0"/>
    <w:pPr>
      <w:ind w:firstLine="200" w:firstLineChars="200"/>
    </w:pPr>
    <w:rPr>
      <w:rFonts w:ascii="Times New Roman" w:hAnsi="Times New Roman" w:eastAsia="宋体" w:cs="Times New Roman"/>
      <w:szCs w:val="20"/>
    </w:rPr>
  </w:style>
  <w:style w:type="paragraph" w:customStyle="1" w:styleId="99">
    <w:name w:val="*正文"/>
    <w:basedOn w:val="1"/>
    <w:qFormat/>
    <w:uiPriority w:val="0"/>
    <w:pPr>
      <w:spacing w:line="440" w:lineRule="exact"/>
      <w:ind w:firstLine="200"/>
    </w:pPr>
    <w:rPr>
      <w:rFonts w:ascii="华文仿宋" w:hAnsi="华文仿宋" w:eastAsia="华文仿宋" w:cs="Times New Roman"/>
      <w:sz w:val="20"/>
      <w:szCs w:val="20"/>
    </w:rPr>
  </w:style>
  <w:style w:type="paragraph" w:customStyle="1" w:styleId="100">
    <w:name w:val="È±Ê¡ÎÄ±¾"/>
    <w:basedOn w:val="1"/>
    <w:qFormat/>
    <w:uiPriority w:val="0"/>
    <w:pPr>
      <w:widowControl/>
      <w:overflowPunct w:val="0"/>
      <w:autoSpaceDE w:val="0"/>
      <w:autoSpaceDN w:val="0"/>
      <w:adjustRightInd w:val="0"/>
      <w:jc w:val="left"/>
      <w:textAlignment w:val="baseline"/>
    </w:pPr>
    <w:rPr>
      <w:kern w:val="0"/>
      <w:sz w:val="24"/>
      <w:szCs w:val="20"/>
    </w:rPr>
  </w:style>
  <w:style w:type="character" w:customStyle="1" w:styleId="101">
    <w:name w:val="正文文本缩进 2 Char"/>
    <w:basedOn w:val="40"/>
    <w:link w:val="21"/>
    <w:semiHidden/>
    <w:qFormat/>
    <w:uiPriority w:val="99"/>
    <w:rPr>
      <w:rFonts w:asciiTheme="minorHAnsi" w:hAnsiTheme="minorHAnsi" w:eastAsiaTheme="minorEastAsia" w:cstheme="minorBidi"/>
      <w:kern w:val="2"/>
      <w:sz w:val="21"/>
      <w:szCs w:val="22"/>
    </w:rPr>
  </w:style>
  <w:style w:type="paragraph" w:customStyle="1" w:styleId="102">
    <w:name w:val="opening2"/>
    <w:basedOn w:val="1"/>
    <w:qFormat/>
    <w:uiPriority w:val="0"/>
    <w:pPr>
      <w:widowControl/>
      <w:spacing w:before="100" w:beforeAutospacing="1" w:after="100" w:afterAutospacing="1"/>
      <w:jc w:val="left"/>
    </w:pPr>
    <w:rPr>
      <w:rFonts w:ascii="宋体" w:hAnsi="宋体" w:eastAsia="宋体" w:cs="宋体"/>
      <w:color w:val="000000"/>
      <w:kern w:val="0"/>
      <w:sz w:val="23"/>
      <w:szCs w:val="23"/>
    </w:rPr>
  </w:style>
  <w:style w:type="character" w:customStyle="1" w:styleId="103">
    <w:name w:val="列出段落 Char"/>
    <w:link w:val="93"/>
    <w:qFormat/>
    <w:locked/>
    <w:uiPriority w:val="0"/>
    <w:rPr>
      <w:rFonts w:asciiTheme="minorHAnsi" w:hAnsiTheme="minorHAnsi" w:eastAsiaTheme="minorEastAsia" w:cstheme="minorBidi"/>
      <w:kern w:val="2"/>
      <w:sz w:val="21"/>
      <w:szCs w:val="22"/>
    </w:rPr>
  </w:style>
  <w:style w:type="paragraph" w:customStyle="1" w:styleId="104">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table" w:customStyle="1" w:styleId="105">
    <w:name w:val="Table Normal"/>
    <w:unhideWhenUsed/>
    <w:qFormat/>
    <w:uiPriority w:val="0"/>
    <w:tblPr>
      <w:tblLayout w:type="fixed"/>
      <w:tblCellMar>
        <w:top w:w="0" w:type="dxa"/>
        <w:left w:w="0" w:type="dxa"/>
        <w:bottom w:w="0" w:type="dxa"/>
        <w:right w:w="0" w:type="dxa"/>
      </w:tblCellMar>
    </w:tblPr>
  </w:style>
  <w:style w:type="paragraph" w:customStyle="1" w:styleId="106">
    <w:name w:val="修订3"/>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07">
    <w:name w:val="my正文"/>
    <w:basedOn w:val="1"/>
    <w:qFormat/>
    <w:uiPriority w:val="0"/>
    <w:pPr>
      <w:widowControl/>
      <w:spacing w:line="600" w:lineRule="exact"/>
      <w:ind w:firstLine="720" w:firstLineChars="200"/>
      <w:jc w:val="left"/>
    </w:pPr>
    <w:rPr>
      <w:rFonts w:ascii="Times New Roman" w:hAnsi="Times New Roman" w:eastAsia="方正仿宋_GBK" w:cs="Times New Roman"/>
      <w:kern w:val="0"/>
      <w:sz w:val="28"/>
      <w:szCs w:val="20"/>
    </w:rPr>
  </w:style>
  <w:style w:type="paragraph" w:customStyle="1" w:styleId="108">
    <w:name w:val="正文缩进1"/>
    <w:basedOn w:val="1"/>
    <w:qFormat/>
    <w:uiPriority w:val="0"/>
    <w:pPr>
      <w:widowControl/>
      <w:ind w:firstLine="420"/>
      <w:jc w:val="left"/>
    </w:pPr>
    <w:rPr>
      <w:kern w:val="0"/>
      <w:sz w:val="20"/>
      <w:szCs w:val="20"/>
    </w:rPr>
  </w:style>
  <w:style w:type="character" w:customStyle="1" w:styleId="109">
    <w:name w:val="页码1"/>
    <w:qFormat/>
    <w:uiPriority w:val="0"/>
  </w:style>
  <w:style w:type="character" w:customStyle="1" w:styleId="110">
    <w:name w:val="标题 3 Char"/>
    <w:link w:val="5"/>
    <w:qFormat/>
    <w:uiPriority w:val="0"/>
    <w:rPr>
      <w:rFonts w:eastAsia="宋体"/>
      <w:b/>
      <w:bCs/>
      <w:kern w:val="2"/>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云南西南招标有限公司</Company>
  <Pages>77</Pages>
  <Words>17112</Words>
  <Characters>18132</Characters>
  <Lines>309</Lines>
  <Paragraphs>87</Paragraphs>
  <TotalTime>20</TotalTime>
  <ScaleCrop>false</ScaleCrop>
  <LinksUpToDate>false</LinksUpToDate>
  <CharactersWithSpaces>18338</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2025-04-15T11:56:00Z</dcterms:created>
  <dc:creator>段雨薇</dc:creator>
  <cp:lastModifiedBy>贾艳艳</cp:lastModifiedBy>
  <cp:lastPrinted>2025-04-11T08:25:00Z</cp:lastPrinted>
  <dcterms:modified xsi:type="dcterms:W3CDTF">2025-04-16T07:22:28Z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y fmtid="{D5CDD505-2E9C-101B-9397-08002B2CF9AE}" pid="3" name="ICV">
    <vt:lpwstr>3778CBAFB292481C988036B1433FD793_13</vt:lpwstr>
  </property>
  <property fmtid="{D5CDD505-2E9C-101B-9397-08002B2CF9AE}" pid="4" name="KSOTemplateDocerSaveRecord">
    <vt:lpwstr>eyJoZGlkIjoiZThhNDVjYmZhYWEyNjYxMjQzMDkxYzM2ZGI2NDIzNmQiLCJ1c2VySWQiOiI3OTczNzgzNzcifQ==</vt:lpwstr>
  </property>
</Properties>
</file>